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中宋" w:eastAsia="方正小标宋简体" w:cs="华文中宋"/>
          <w:sz w:val="44"/>
          <w:szCs w:val="44"/>
        </w:rPr>
      </w:pPr>
      <w:bookmarkStart w:id="0" w:name="_Toc62721745"/>
    </w:p>
    <w:p>
      <w:pPr>
        <w:jc w:val="center"/>
        <w:rPr>
          <w:rFonts w:ascii="方正小标宋简体" w:hAnsi="华文中宋" w:eastAsia="方正小标宋简体" w:cs="华文中宋"/>
          <w:sz w:val="44"/>
          <w:szCs w:val="44"/>
        </w:rPr>
      </w:pPr>
    </w:p>
    <w:p>
      <w:pPr>
        <w:jc w:val="center"/>
        <w:rPr>
          <w:rFonts w:ascii="方正小标宋简体" w:hAnsi="华文中宋" w:eastAsia="方正小标宋简体" w:cs="华文中宋"/>
          <w:sz w:val="44"/>
          <w:szCs w:val="44"/>
        </w:rPr>
      </w:pPr>
    </w:p>
    <w:p>
      <w:pPr>
        <w:jc w:val="center"/>
        <w:rPr>
          <w:rFonts w:ascii="方正小标宋简体" w:hAnsi="华文中宋" w:eastAsia="方正小标宋简体" w:cs="华文中宋"/>
          <w:sz w:val="44"/>
          <w:szCs w:val="44"/>
        </w:rPr>
      </w:pPr>
      <w:r>
        <w:rPr>
          <w:rFonts w:hint="eastAsia" w:ascii="方正小标宋简体" w:hAnsi="华文中宋" w:eastAsia="方正小标宋简体" w:cs="华文中宋"/>
          <w:sz w:val="44"/>
          <w:szCs w:val="44"/>
        </w:rPr>
        <w:t>2022年100个城市</w:t>
      </w:r>
    </w:p>
    <w:p>
      <w:pPr>
        <w:jc w:val="center"/>
        <w:rPr>
          <w:rFonts w:ascii="方正小标宋简体" w:hAnsi="华文中宋" w:eastAsia="方正小标宋简体" w:cs="华文中宋"/>
          <w:sz w:val="44"/>
          <w:szCs w:val="44"/>
        </w:rPr>
      </w:pPr>
      <w:r>
        <w:rPr>
          <w:rFonts w:hint="eastAsia" w:ascii="方正小标宋简体" w:hAnsi="华文中宋" w:eastAsia="方正小标宋简体" w:cs="华文中宋"/>
          <w:sz w:val="44"/>
          <w:szCs w:val="44"/>
        </w:rPr>
        <w:t>消费者满意度测评报告</w:t>
      </w:r>
    </w:p>
    <w:p>
      <w:pPr>
        <w:jc w:val="center"/>
        <w:rPr>
          <w:rFonts w:ascii="方正小标宋简体" w:hAnsi="华文中宋" w:eastAsia="方正小标宋简体" w:cs="华文中宋"/>
          <w:sz w:val="44"/>
          <w:szCs w:val="44"/>
        </w:rPr>
      </w:pPr>
    </w:p>
    <w:p>
      <w:pPr>
        <w:jc w:val="center"/>
        <w:rPr>
          <w:rFonts w:ascii="方正小标宋简体" w:hAnsi="华文中宋" w:eastAsia="方正小标宋简体" w:cs="华文中宋"/>
          <w:sz w:val="44"/>
          <w:szCs w:val="44"/>
        </w:rPr>
      </w:pPr>
    </w:p>
    <w:p>
      <w:pPr>
        <w:jc w:val="center"/>
        <w:rPr>
          <w:rFonts w:ascii="方正小标宋简体" w:hAnsi="华文中宋" w:eastAsia="方正小标宋简体" w:cs="华文中宋"/>
          <w:sz w:val="44"/>
          <w:szCs w:val="44"/>
        </w:rPr>
      </w:pPr>
    </w:p>
    <w:p>
      <w:pPr>
        <w:jc w:val="center"/>
        <w:rPr>
          <w:rFonts w:ascii="方正小标宋简体" w:hAnsi="华文中宋" w:eastAsia="方正小标宋简体" w:cs="华文中宋"/>
          <w:sz w:val="44"/>
          <w:szCs w:val="44"/>
        </w:rPr>
      </w:pPr>
    </w:p>
    <w:p>
      <w:pPr>
        <w:spacing w:before="190"/>
        <w:rPr>
          <w:rFonts w:ascii="黑体" w:hAnsi="黑体" w:eastAsia="黑体"/>
          <w:b/>
          <w:color w:val="000000" w:themeColor="text1"/>
          <w:sz w:val="36"/>
          <w:szCs w:val="32"/>
          <w14:textFill>
            <w14:solidFill>
              <w14:schemeClr w14:val="tx1"/>
            </w14:solidFill>
          </w14:textFill>
        </w:rPr>
      </w:pPr>
    </w:p>
    <w:p>
      <w:pPr>
        <w:spacing w:before="190"/>
        <w:ind w:firstLine="161" w:firstLineChars="50"/>
        <w:jc w:val="center"/>
        <w:rPr>
          <w:rFonts w:ascii="黑体" w:hAnsi="黑体" w:eastAsia="黑体"/>
          <w:b/>
          <w:color w:val="000000" w:themeColor="text1"/>
          <w:sz w:val="36"/>
          <w:szCs w:val="32"/>
          <w14:textFill>
            <w14:solidFill>
              <w14:schemeClr w14:val="tx1"/>
            </w14:solidFill>
          </w14:textFill>
        </w:rPr>
      </w:pPr>
      <w:r>
        <w:rPr>
          <w:rFonts w:ascii="仿宋" w:hAnsi="仿宋" w:cs="仿宋_GB2312"/>
          <w:b/>
          <w:sz w:val="32"/>
          <w:szCs w:val="36"/>
        </w:rPr>
        <w:drawing>
          <wp:anchor distT="0" distB="0" distL="114300" distR="114300" simplePos="0" relativeHeight="251659264" behindDoc="1" locked="0" layoutInCell="1" allowOverlap="1">
            <wp:simplePos x="0" y="0"/>
            <wp:positionH relativeFrom="column">
              <wp:posOffset>1837055</wp:posOffset>
            </wp:positionH>
            <wp:positionV relativeFrom="paragraph">
              <wp:posOffset>112395</wp:posOffset>
            </wp:positionV>
            <wp:extent cx="1562735" cy="1501140"/>
            <wp:effectExtent l="0" t="0" r="0" b="0"/>
            <wp:wrapTight wrapText="bothSides">
              <wp:wrapPolygon>
                <wp:start x="0" y="0"/>
                <wp:lineTo x="0" y="21381"/>
                <wp:lineTo x="21328" y="21381"/>
                <wp:lineTo x="21328" y="0"/>
                <wp:lineTo x="0" y="0"/>
              </wp:wrapPolygon>
            </wp:wrapTight>
            <wp:docPr id="9" name="图片 9" descr="D:\汤哲--中国消费者协会工作\20150804中消协工作\005--协会事务\图片素材\协会logo\扫描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汤哲--中国消费者协会工作\20150804中消协工作\005--协会事务\图片素材\协会logo\扫描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62735" cy="1501140"/>
                    </a:xfrm>
                    <a:prstGeom prst="rect">
                      <a:avLst/>
                    </a:prstGeom>
                    <a:noFill/>
                    <a:ln>
                      <a:noFill/>
                    </a:ln>
                  </pic:spPr>
                </pic:pic>
              </a:graphicData>
            </a:graphic>
          </wp:anchor>
        </w:drawing>
      </w:r>
    </w:p>
    <w:p>
      <w:pPr>
        <w:spacing w:before="190"/>
        <w:ind w:firstLine="181" w:firstLineChars="50"/>
        <w:jc w:val="center"/>
        <w:rPr>
          <w:rFonts w:ascii="黑体" w:hAnsi="黑体" w:eastAsia="黑体"/>
          <w:b/>
          <w:color w:val="000000" w:themeColor="text1"/>
          <w:sz w:val="36"/>
          <w:szCs w:val="32"/>
          <w14:textFill>
            <w14:solidFill>
              <w14:schemeClr w14:val="tx1"/>
            </w14:solidFill>
          </w14:textFill>
        </w:rPr>
      </w:pPr>
    </w:p>
    <w:p>
      <w:pPr>
        <w:spacing w:line="80" w:lineRule="atLeast"/>
        <w:ind w:firstLine="199" w:firstLineChars="55"/>
        <w:rPr>
          <w:rFonts w:ascii="仿宋" w:hAnsi="仿宋"/>
          <w:b/>
          <w:bCs/>
          <w:sz w:val="36"/>
          <w:szCs w:val="36"/>
        </w:rPr>
      </w:pPr>
    </w:p>
    <w:p>
      <w:pPr>
        <w:spacing w:line="80" w:lineRule="atLeast"/>
        <w:ind w:firstLine="199" w:firstLineChars="55"/>
        <w:rPr>
          <w:rFonts w:ascii="仿宋" w:hAnsi="仿宋"/>
          <w:b/>
          <w:bCs/>
          <w:sz w:val="36"/>
          <w:szCs w:val="36"/>
        </w:rPr>
      </w:pPr>
    </w:p>
    <w:p>
      <w:pPr>
        <w:spacing w:line="80" w:lineRule="atLeast"/>
        <w:ind w:firstLine="199" w:firstLineChars="55"/>
        <w:jc w:val="center"/>
        <w:rPr>
          <w:rFonts w:ascii="仿宋" w:hAnsi="仿宋"/>
          <w:b/>
          <w:bCs/>
          <w:sz w:val="36"/>
          <w:szCs w:val="36"/>
        </w:rPr>
      </w:pPr>
      <w:r>
        <w:rPr>
          <w:rFonts w:hint="eastAsia" w:ascii="仿宋" w:hAnsi="仿宋"/>
          <w:b/>
          <w:bCs/>
          <w:sz w:val="36"/>
          <w:szCs w:val="36"/>
        </w:rPr>
        <w:t>中国消费者协会</w:t>
      </w:r>
    </w:p>
    <w:p>
      <w:pPr>
        <w:jc w:val="center"/>
        <w:rPr>
          <w:rFonts w:ascii="华文中宋" w:hAnsi="华文中宋" w:eastAsia="华文中宋" w:cs="华文中宋"/>
          <w:szCs w:val="44"/>
        </w:rPr>
      </w:pPr>
      <w:r>
        <w:rPr>
          <w:rFonts w:hint="eastAsia" w:ascii="仿宋" w:hAnsi="仿宋"/>
          <w:b/>
          <w:bCs/>
          <w:sz w:val="36"/>
          <w:szCs w:val="36"/>
        </w:rPr>
        <w:t>20</w:t>
      </w:r>
      <w:r>
        <w:rPr>
          <w:rFonts w:ascii="仿宋" w:hAnsi="仿宋"/>
          <w:b/>
          <w:bCs/>
          <w:sz w:val="36"/>
          <w:szCs w:val="36"/>
        </w:rPr>
        <w:t>2</w:t>
      </w:r>
      <w:r>
        <w:rPr>
          <w:rFonts w:hint="eastAsia" w:ascii="仿宋" w:hAnsi="仿宋"/>
          <w:b/>
          <w:bCs/>
          <w:sz w:val="36"/>
          <w:szCs w:val="36"/>
        </w:rPr>
        <w:t>3年3月</w:t>
      </w:r>
      <w:r>
        <w:rPr>
          <w:rFonts w:ascii="华文中宋" w:hAnsi="华文中宋" w:eastAsia="华文中宋" w:cs="华文中宋"/>
          <w:szCs w:val="44"/>
        </w:rPr>
        <w:br w:type="page"/>
      </w:r>
    </w:p>
    <w:sdt>
      <w:sdtPr>
        <w:rPr>
          <w:sz w:val="21"/>
        </w:rPr>
        <w:id w:val="147455150"/>
        <w15:color w:val="DBDBDB"/>
        <w:docPartObj>
          <w:docPartGallery w:val="Table of Contents"/>
          <w:docPartUnique/>
        </w:docPartObj>
      </w:sdtPr>
      <w:sdtEndPr>
        <w:rPr>
          <w:rFonts w:ascii="华文中宋" w:hAnsi="华文中宋" w:eastAsia="华文中宋" w:cs="华文中宋"/>
          <w:sz w:val="24"/>
          <w:szCs w:val="44"/>
        </w:rPr>
      </w:sdtEndPr>
      <w:sdtContent>
        <w:p>
          <w:pPr>
            <w:jc w:val="center"/>
            <w:rPr>
              <w:rFonts w:hint="eastAsia" w:ascii="华文中宋" w:hAnsi="华文中宋" w:eastAsia="华文中宋" w:cs="华文中宋"/>
              <w:sz w:val="32"/>
              <w:szCs w:val="40"/>
            </w:rPr>
          </w:pPr>
          <w:r>
            <w:rPr>
              <w:rFonts w:hint="eastAsia" w:ascii="华文中宋" w:hAnsi="华文中宋" w:eastAsia="华文中宋" w:cs="华文中宋"/>
              <w:sz w:val="32"/>
              <w:szCs w:val="40"/>
            </w:rPr>
            <w:t>目  录</w:t>
          </w:r>
        </w:p>
        <w:p>
          <w:pPr>
            <w:jc w:val="center"/>
            <w:rPr>
              <w:rFonts w:hint="eastAsia" w:ascii="华文中宋" w:hAnsi="华文中宋" w:eastAsia="华文中宋" w:cs="华文中宋"/>
              <w:sz w:val="32"/>
              <w:szCs w:val="40"/>
            </w:rPr>
          </w:pPr>
        </w:p>
        <w:p>
          <w:pPr>
            <w:pStyle w:val="11"/>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TOC \o "1-3" \h \u </w:instrText>
          </w:r>
          <w:r>
            <w:rPr>
              <w:rFonts w:ascii="华文中宋" w:hAnsi="华文中宋" w:eastAsia="华文中宋" w:cs="华文中宋"/>
              <w:szCs w:val="44"/>
            </w:rPr>
            <w:fldChar w:fldCharType="separate"/>
          </w: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_Toc28287 </w:instrText>
          </w:r>
          <w:r>
            <w:rPr>
              <w:rFonts w:ascii="华文中宋" w:hAnsi="华文中宋" w:eastAsia="华文中宋" w:cs="华文中宋"/>
              <w:szCs w:val="44"/>
            </w:rPr>
            <w:fldChar w:fldCharType="separate"/>
          </w:r>
          <w:r>
            <w:rPr>
              <w:rFonts w:hint="eastAsia" w:ascii="方正小标宋简体" w:hAnsi="华文中宋" w:eastAsia="方正小标宋简体" w:cs="华文中宋"/>
              <w:bCs/>
              <w:szCs w:val="36"/>
            </w:rPr>
            <w:t>第一部分  消费者满意度测评工作背景</w:t>
          </w:r>
          <w:r>
            <w:tab/>
          </w:r>
          <w:r>
            <w:fldChar w:fldCharType="begin"/>
          </w:r>
          <w:r>
            <w:instrText xml:space="preserve"> PAGEREF _Toc28287 \h </w:instrText>
          </w:r>
          <w:r>
            <w:fldChar w:fldCharType="separate"/>
          </w:r>
          <w:r>
            <w:t>- 1 -</w:t>
          </w:r>
          <w:r>
            <w:fldChar w:fldCharType="end"/>
          </w:r>
          <w:r>
            <w:rPr>
              <w:rFonts w:ascii="华文中宋" w:hAnsi="华文中宋" w:eastAsia="华文中宋" w:cs="华文中宋"/>
              <w:szCs w:val="44"/>
            </w:rPr>
            <w:fldChar w:fldCharType="end"/>
          </w:r>
        </w:p>
        <w:p>
          <w:pPr>
            <w:pStyle w:val="11"/>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_Toc13313 </w:instrText>
          </w:r>
          <w:r>
            <w:rPr>
              <w:rFonts w:ascii="华文中宋" w:hAnsi="华文中宋" w:eastAsia="华文中宋" w:cs="华文中宋"/>
              <w:szCs w:val="44"/>
            </w:rPr>
            <w:fldChar w:fldCharType="separate"/>
          </w:r>
          <w:r>
            <w:rPr>
              <w:rFonts w:hint="eastAsia" w:ascii="方正小标宋简体" w:hAnsi="华文中宋" w:eastAsia="方正小标宋简体" w:cs="华文中宋"/>
              <w:bCs/>
              <w:szCs w:val="36"/>
            </w:rPr>
            <w:t>第二部分  消费者满意度测评实施说明</w:t>
          </w:r>
          <w:r>
            <w:tab/>
          </w:r>
          <w:r>
            <w:fldChar w:fldCharType="begin"/>
          </w:r>
          <w:r>
            <w:instrText xml:space="preserve"> PAGEREF _Toc13313 \h </w:instrText>
          </w:r>
          <w:r>
            <w:fldChar w:fldCharType="separate"/>
          </w:r>
          <w:r>
            <w:t>- 4 -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_Toc31801 </w:instrText>
          </w:r>
          <w:r>
            <w:rPr>
              <w:rFonts w:ascii="华文中宋" w:hAnsi="华文中宋" w:eastAsia="华文中宋" w:cs="华文中宋"/>
              <w:szCs w:val="44"/>
            </w:rPr>
            <w:fldChar w:fldCharType="separate"/>
          </w:r>
          <w:r>
            <w:rPr>
              <w:rFonts w:hint="eastAsia" w:ascii="黑体" w:hAnsi="黑体" w:eastAsia="黑体" w:cs="黑体"/>
              <w:bCs/>
              <w:i w:val="0"/>
              <w:iCs/>
              <w:szCs w:val="28"/>
            </w:rPr>
            <w:t>一、指标体系、权重及问卷设计</w:t>
          </w:r>
          <w:r>
            <w:tab/>
          </w:r>
          <w:r>
            <w:fldChar w:fldCharType="begin"/>
          </w:r>
          <w:r>
            <w:instrText xml:space="preserve"> PAGEREF _Toc31801 \h </w:instrText>
          </w:r>
          <w:r>
            <w:fldChar w:fldCharType="separate"/>
          </w:r>
          <w:r>
            <w:t>- 4 -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_Toc9421 </w:instrText>
          </w:r>
          <w:r>
            <w:rPr>
              <w:rFonts w:ascii="华文中宋" w:hAnsi="华文中宋" w:eastAsia="华文中宋" w:cs="华文中宋"/>
              <w:szCs w:val="44"/>
            </w:rPr>
            <w:fldChar w:fldCharType="separate"/>
          </w:r>
          <w:r>
            <w:rPr>
              <w:rFonts w:hint="eastAsia" w:ascii="黑体" w:hAnsi="黑体" w:eastAsia="黑体" w:cs="黑体"/>
              <w:bCs/>
              <w:i w:val="0"/>
              <w:iCs/>
              <w:szCs w:val="28"/>
            </w:rPr>
            <w:t>二、城市选取与样本量设计</w:t>
          </w:r>
          <w:r>
            <w:tab/>
          </w:r>
          <w:r>
            <w:fldChar w:fldCharType="begin"/>
          </w:r>
          <w:r>
            <w:instrText xml:space="preserve"> PAGEREF _Toc9421 \h </w:instrText>
          </w:r>
          <w:r>
            <w:fldChar w:fldCharType="separate"/>
          </w:r>
          <w:r>
            <w:t>- 6 -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_Toc1294 </w:instrText>
          </w:r>
          <w:r>
            <w:rPr>
              <w:rFonts w:ascii="华文中宋" w:hAnsi="华文中宋" w:eastAsia="华文中宋" w:cs="华文中宋"/>
              <w:szCs w:val="44"/>
            </w:rPr>
            <w:fldChar w:fldCharType="separate"/>
          </w:r>
          <w:r>
            <w:rPr>
              <w:rFonts w:hint="eastAsia" w:ascii="黑体" w:hAnsi="黑体" w:eastAsia="黑体" w:cs="黑体"/>
              <w:bCs/>
              <w:i w:val="0"/>
              <w:iCs/>
              <w:szCs w:val="28"/>
            </w:rPr>
            <w:t>三、抽样设计</w:t>
          </w:r>
          <w:r>
            <w:tab/>
          </w:r>
          <w:r>
            <w:fldChar w:fldCharType="begin"/>
          </w:r>
          <w:r>
            <w:instrText xml:space="preserve"> PAGEREF _Toc1294 \h </w:instrText>
          </w:r>
          <w:r>
            <w:fldChar w:fldCharType="separate"/>
          </w:r>
          <w:r>
            <w:t>- 9 -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_Toc32068 </w:instrText>
          </w:r>
          <w:r>
            <w:rPr>
              <w:rFonts w:ascii="华文中宋" w:hAnsi="华文中宋" w:eastAsia="华文中宋" w:cs="华文中宋"/>
              <w:szCs w:val="44"/>
            </w:rPr>
            <w:fldChar w:fldCharType="separate"/>
          </w:r>
          <w:r>
            <w:rPr>
              <w:rFonts w:hint="eastAsia" w:ascii="黑体" w:hAnsi="黑体" w:eastAsia="黑体" w:cs="黑体"/>
              <w:bCs/>
              <w:i w:val="0"/>
              <w:iCs/>
              <w:szCs w:val="28"/>
            </w:rPr>
            <w:t>四、调查方法设计</w:t>
          </w:r>
          <w:r>
            <w:tab/>
          </w:r>
          <w:r>
            <w:fldChar w:fldCharType="begin"/>
          </w:r>
          <w:r>
            <w:instrText xml:space="preserve"> PAGEREF _Toc32068 \h </w:instrText>
          </w:r>
          <w:r>
            <w:fldChar w:fldCharType="separate"/>
          </w:r>
          <w:r>
            <w:t>- 10 -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_Toc5350 </w:instrText>
          </w:r>
          <w:r>
            <w:rPr>
              <w:rFonts w:ascii="华文中宋" w:hAnsi="华文中宋" w:eastAsia="华文中宋" w:cs="华文中宋"/>
              <w:szCs w:val="44"/>
            </w:rPr>
            <w:fldChar w:fldCharType="separate"/>
          </w:r>
          <w:r>
            <w:rPr>
              <w:rFonts w:hint="eastAsia" w:ascii="黑体" w:hAnsi="黑体" w:eastAsia="黑体" w:cs="黑体"/>
              <w:bCs/>
              <w:i w:val="0"/>
              <w:iCs/>
              <w:szCs w:val="28"/>
            </w:rPr>
            <w:t>五、调查对象设计</w:t>
          </w:r>
          <w:r>
            <w:tab/>
          </w:r>
          <w:r>
            <w:fldChar w:fldCharType="begin"/>
          </w:r>
          <w:r>
            <w:instrText xml:space="preserve"> PAGEREF _Toc5350 \h </w:instrText>
          </w:r>
          <w:r>
            <w:fldChar w:fldCharType="separate"/>
          </w:r>
          <w:r>
            <w:t>- 11 -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_Toc11169 </w:instrText>
          </w:r>
          <w:r>
            <w:rPr>
              <w:rFonts w:ascii="华文中宋" w:hAnsi="华文中宋" w:eastAsia="华文中宋" w:cs="华文中宋"/>
              <w:szCs w:val="44"/>
            </w:rPr>
            <w:fldChar w:fldCharType="separate"/>
          </w:r>
          <w:r>
            <w:rPr>
              <w:rFonts w:hint="eastAsia" w:ascii="黑体" w:hAnsi="黑体" w:eastAsia="黑体" w:cs="黑体"/>
              <w:bCs/>
              <w:i w:val="0"/>
              <w:iCs/>
              <w:szCs w:val="28"/>
            </w:rPr>
            <w:t>六、调查实施和质量控制</w:t>
          </w:r>
          <w:r>
            <w:tab/>
          </w:r>
          <w:r>
            <w:fldChar w:fldCharType="begin"/>
          </w:r>
          <w:r>
            <w:instrText xml:space="preserve"> PAGEREF _Toc11169 \h </w:instrText>
          </w:r>
          <w:r>
            <w:fldChar w:fldCharType="separate"/>
          </w:r>
          <w:r>
            <w:t>- 11 -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_Toc29500 </w:instrText>
          </w:r>
          <w:r>
            <w:rPr>
              <w:rFonts w:ascii="华文中宋" w:hAnsi="华文中宋" w:eastAsia="华文中宋" w:cs="华文中宋"/>
              <w:szCs w:val="44"/>
            </w:rPr>
            <w:fldChar w:fldCharType="separate"/>
          </w:r>
          <w:r>
            <w:rPr>
              <w:rFonts w:hint="eastAsia" w:ascii="黑体" w:hAnsi="黑体" w:eastAsia="黑体" w:cs="黑体"/>
              <w:bCs/>
              <w:i w:val="0"/>
              <w:iCs/>
              <w:szCs w:val="28"/>
            </w:rPr>
            <w:t>七、信度与效度检验</w:t>
          </w:r>
          <w:r>
            <w:tab/>
          </w:r>
          <w:r>
            <w:fldChar w:fldCharType="begin"/>
          </w:r>
          <w:r>
            <w:instrText xml:space="preserve"> PAGEREF _Toc29500 \h </w:instrText>
          </w:r>
          <w:r>
            <w:fldChar w:fldCharType="separate"/>
          </w:r>
          <w:r>
            <w:t>- 12 -</w:t>
          </w:r>
          <w:r>
            <w:fldChar w:fldCharType="end"/>
          </w:r>
          <w:r>
            <w:rPr>
              <w:rFonts w:ascii="华文中宋" w:hAnsi="华文中宋" w:eastAsia="华文中宋" w:cs="华文中宋"/>
              <w:szCs w:val="44"/>
            </w:rPr>
            <w:fldChar w:fldCharType="end"/>
          </w:r>
        </w:p>
        <w:p>
          <w:pPr>
            <w:pStyle w:val="11"/>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_Toc19190 </w:instrText>
          </w:r>
          <w:r>
            <w:rPr>
              <w:rFonts w:ascii="华文中宋" w:hAnsi="华文中宋" w:eastAsia="华文中宋" w:cs="华文中宋"/>
              <w:szCs w:val="44"/>
            </w:rPr>
            <w:fldChar w:fldCharType="separate"/>
          </w:r>
          <w:r>
            <w:rPr>
              <w:rFonts w:hint="eastAsia" w:ascii="方正小标宋简体" w:hAnsi="华文中宋" w:eastAsia="方正小标宋简体" w:cs="华文中宋"/>
              <w:bCs/>
              <w:szCs w:val="28"/>
            </w:rPr>
            <w:t>第三部分  消费者满意度总体测评结果</w:t>
          </w:r>
          <w:r>
            <w:tab/>
          </w:r>
          <w:r>
            <w:fldChar w:fldCharType="begin"/>
          </w:r>
          <w:r>
            <w:instrText xml:space="preserve"> PAGEREF _Toc19190 \h </w:instrText>
          </w:r>
          <w:r>
            <w:fldChar w:fldCharType="separate"/>
          </w:r>
          <w:r>
            <w:t>- 15 -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_Toc595 </w:instrText>
          </w:r>
          <w:r>
            <w:rPr>
              <w:rFonts w:ascii="华文中宋" w:hAnsi="华文中宋" w:eastAsia="华文中宋" w:cs="华文中宋"/>
              <w:szCs w:val="44"/>
            </w:rPr>
            <w:fldChar w:fldCharType="separate"/>
          </w:r>
          <w:r>
            <w:rPr>
              <w:rFonts w:hint="eastAsia" w:ascii="黑体" w:hAnsi="黑体" w:eastAsia="黑体" w:cs="黑体"/>
              <w:bCs/>
              <w:i w:val="0"/>
              <w:iCs/>
              <w:szCs w:val="28"/>
            </w:rPr>
            <w:t>一、消费者满意度综合得分</w:t>
          </w:r>
          <w:r>
            <w:tab/>
          </w:r>
          <w:r>
            <w:fldChar w:fldCharType="begin"/>
          </w:r>
          <w:r>
            <w:instrText xml:space="preserve"> PAGEREF _Toc595 \h </w:instrText>
          </w:r>
          <w:r>
            <w:fldChar w:fldCharType="separate"/>
          </w:r>
          <w:r>
            <w:t>- 15 -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_Toc527 </w:instrText>
          </w:r>
          <w:r>
            <w:rPr>
              <w:rFonts w:ascii="华文中宋" w:hAnsi="华文中宋" w:eastAsia="华文中宋" w:cs="华文中宋"/>
              <w:szCs w:val="44"/>
            </w:rPr>
            <w:fldChar w:fldCharType="separate"/>
          </w:r>
          <w:r>
            <w:rPr>
              <w:rFonts w:hint="eastAsia" w:ascii="黑体" w:hAnsi="黑体" w:eastAsia="黑体" w:cs="黑体"/>
              <w:bCs/>
              <w:i w:val="0"/>
              <w:iCs/>
              <w:szCs w:val="28"/>
            </w:rPr>
            <w:t>二、消费者满意度一级指标得分</w:t>
          </w:r>
          <w:r>
            <w:tab/>
          </w:r>
          <w:r>
            <w:fldChar w:fldCharType="begin"/>
          </w:r>
          <w:r>
            <w:instrText xml:space="preserve"> PAGEREF _Toc527 \h </w:instrText>
          </w:r>
          <w:r>
            <w:fldChar w:fldCharType="separate"/>
          </w:r>
          <w:r>
            <w:t>- 15 -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_Toc11538 </w:instrText>
          </w:r>
          <w:r>
            <w:rPr>
              <w:rFonts w:ascii="华文中宋" w:hAnsi="华文中宋" w:eastAsia="华文中宋" w:cs="华文中宋"/>
              <w:szCs w:val="44"/>
            </w:rPr>
            <w:fldChar w:fldCharType="separate"/>
          </w:r>
          <w:r>
            <w:rPr>
              <w:rFonts w:hint="eastAsia" w:ascii="黑体" w:hAnsi="黑体" w:eastAsia="黑体" w:cs="黑体"/>
              <w:bCs/>
              <w:i w:val="0"/>
              <w:iCs/>
              <w:szCs w:val="28"/>
            </w:rPr>
            <w:t>三、消费者满意度二级指标得分</w:t>
          </w:r>
          <w:r>
            <w:tab/>
          </w:r>
          <w:r>
            <w:fldChar w:fldCharType="begin"/>
          </w:r>
          <w:r>
            <w:instrText xml:space="preserve"> PAGEREF _Toc11538 \h </w:instrText>
          </w:r>
          <w:r>
            <w:fldChar w:fldCharType="separate"/>
          </w:r>
          <w:r>
            <w:t>- 18 -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_Toc6741 </w:instrText>
          </w:r>
          <w:r>
            <w:rPr>
              <w:rFonts w:ascii="华文中宋" w:hAnsi="华文中宋" w:eastAsia="华文中宋" w:cs="华文中宋"/>
              <w:szCs w:val="44"/>
            </w:rPr>
            <w:fldChar w:fldCharType="separate"/>
          </w:r>
          <w:r>
            <w:rPr>
              <w:rFonts w:hint="eastAsia" w:ascii="黑体" w:hAnsi="黑体" w:eastAsia="黑体" w:cs="黑体"/>
              <w:bCs/>
              <w:i w:val="0"/>
              <w:iCs/>
              <w:szCs w:val="28"/>
            </w:rPr>
            <w:t>四、消费者满意度</w:t>
          </w:r>
          <w:r>
            <w:rPr>
              <w:rFonts w:hint="eastAsia" w:ascii="黑体" w:hAnsi="黑体" w:eastAsia="黑体" w:cs="黑体"/>
              <w:bCs/>
              <w:i w:val="0"/>
              <w:iCs/>
              <w:szCs w:val="32"/>
            </w:rPr>
            <w:t>三级指标得分</w:t>
          </w:r>
          <w:r>
            <w:tab/>
          </w:r>
          <w:r>
            <w:fldChar w:fldCharType="begin"/>
          </w:r>
          <w:r>
            <w:instrText xml:space="preserve"> PAGEREF _Toc6741 \h </w:instrText>
          </w:r>
          <w:r>
            <w:fldChar w:fldCharType="separate"/>
          </w:r>
          <w:r>
            <w:t>- 23 -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_Toc214 </w:instrText>
          </w:r>
          <w:r>
            <w:rPr>
              <w:rFonts w:ascii="华文中宋" w:hAnsi="华文中宋" w:eastAsia="华文中宋" w:cs="华文中宋"/>
              <w:szCs w:val="44"/>
            </w:rPr>
            <w:fldChar w:fldCharType="separate"/>
          </w:r>
          <w:r>
            <w:rPr>
              <w:rFonts w:hint="eastAsia" w:ascii="黑体" w:hAnsi="黑体" w:eastAsia="黑体" w:cs="黑体"/>
              <w:bCs/>
              <w:i w:val="0"/>
              <w:iCs/>
              <w:szCs w:val="28"/>
            </w:rPr>
            <w:t>五、消费者满意度测评指标体系优改分析</w:t>
          </w:r>
          <w:r>
            <w:tab/>
          </w:r>
          <w:r>
            <w:fldChar w:fldCharType="begin"/>
          </w:r>
          <w:r>
            <w:instrText xml:space="preserve"> PAGEREF _Toc214 \h </w:instrText>
          </w:r>
          <w:r>
            <w:fldChar w:fldCharType="separate"/>
          </w:r>
          <w:r>
            <w:t>- 27 -</w:t>
          </w:r>
          <w:r>
            <w:fldChar w:fldCharType="end"/>
          </w:r>
          <w:r>
            <w:rPr>
              <w:rFonts w:ascii="华文中宋" w:hAnsi="华文中宋" w:eastAsia="华文中宋" w:cs="华文中宋"/>
              <w:szCs w:val="44"/>
            </w:rPr>
            <w:fldChar w:fldCharType="end"/>
          </w:r>
        </w:p>
        <w:p>
          <w:pPr>
            <w:pStyle w:val="11"/>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_Toc5859 </w:instrText>
          </w:r>
          <w:r>
            <w:rPr>
              <w:rFonts w:ascii="华文中宋" w:hAnsi="华文中宋" w:eastAsia="华文中宋" w:cs="华文中宋"/>
              <w:szCs w:val="44"/>
            </w:rPr>
            <w:fldChar w:fldCharType="separate"/>
          </w:r>
          <w:r>
            <w:rPr>
              <w:rFonts w:hint="eastAsia" w:ascii="方正小标宋简体" w:hAnsi="华文中宋" w:eastAsia="方正小标宋简体" w:cs="华文中宋"/>
              <w:bCs/>
              <w:szCs w:val="28"/>
            </w:rPr>
            <w:t>第四部分  100个城市消费者满意度测评结果</w:t>
          </w:r>
          <w:r>
            <w:tab/>
          </w:r>
          <w:r>
            <w:fldChar w:fldCharType="begin"/>
          </w:r>
          <w:r>
            <w:instrText xml:space="preserve"> PAGEREF _Toc5859 \h </w:instrText>
          </w:r>
          <w:r>
            <w:fldChar w:fldCharType="separate"/>
          </w:r>
          <w:r>
            <w:t>- 34 -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_Toc15035 </w:instrText>
          </w:r>
          <w:r>
            <w:rPr>
              <w:rFonts w:ascii="华文中宋" w:hAnsi="华文中宋" w:eastAsia="华文中宋" w:cs="华文中宋"/>
              <w:szCs w:val="44"/>
            </w:rPr>
            <w:fldChar w:fldCharType="separate"/>
          </w:r>
          <w:r>
            <w:rPr>
              <w:rFonts w:hint="eastAsia" w:ascii="黑体" w:hAnsi="黑体" w:eastAsia="黑体" w:cs="黑体"/>
              <w:bCs/>
              <w:i w:val="0"/>
              <w:iCs/>
              <w:szCs w:val="32"/>
            </w:rPr>
            <w:t>一、100个城市消费者满意度得分</w:t>
          </w:r>
          <w:r>
            <w:tab/>
          </w:r>
          <w:r>
            <w:fldChar w:fldCharType="begin"/>
          </w:r>
          <w:r>
            <w:instrText xml:space="preserve"> PAGEREF _Toc15035 \h </w:instrText>
          </w:r>
          <w:r>
            <w:fldChar w:fldCharType="separate"/>
          </w:r>
          <w:r>
            <w:t>- 34 -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_Toc5420 </w:instrText>
          </w:r>
          <w:r>
            <w:rPr>
              <w:rFonts w:ascii="华文中宋" w:hAnsi="华文中宋" w:eastAsia="华文中宋" w:cs="华文中宋"/>
              <w:szCs w:val="44"/>
            </w:rPr>
            <w:fldChar w:fldCharType="separate"/>
          </w:r>
          <w:r>
            <w:rPr>
              <w:rFonts w:hint="eastAsia" w:ascii="仿宋" w:hAnsi="仿宋" w:eastAsia="仿宋" w:cs="仿宋"/>
              <w:szCs w:val="32"/>
            </w:rPr>
            <w:t>（一）100个城市消费者满意度得分及总排名</w:t>
          </w:r>
          <w:r>
            <w:tab/>
          </w:r>
          <w:r>
            <w:fldChar w:fldCharType="begin"/>
          </w:r>
          <w:r>
            <w:instrText xml:space="preserve"> PAGEREF _Toc5420 \h </w:instrText>
          </w:r>
          <w:r>
            <w:fldChar w:fldCharType="separate"/>
          </w:r>
          <w:r>
            <w:t>- 34 -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_Toc3103 </w:instrText>
          </w:r>
          <w:r>
            <w:rPr>
              <w:rFonts w:ascii="华文中宋" w:hAnsi="华文中宋" w:eastAsia="华文中宋" w:cs="华文中宋"/>
              <w:szCs w:val="44"/>
            </w:rPr>
            <w:fldChar w:fldCharType="separate"/>
          </w:r>
          <w:r>
            <w:rPr>
              <w:rFonts w:hint="eastAsia" w:ascii="仿宋" w:hAnsi="仿宋" w:eastAsia="仿宋" w:cs="仿宋"/>
              <w:szCs w:val="32"/>
            </w:rPr>
            <w:t>（二）基于社会消费品零售总额分类的各城市得分</w:t>
          </w:r>
          <w:r>
            <w:tab/>
          </w:r>
          <w:r>
            <w:fldChar w:fldCharType="begin"/>
          </w:r>
          <w:r>
            <w:instrText xml:space="preserve"> PAGEREF _Toc3103 \h </w:instrText>
          </w:r>
          <w:r>
            <w:fldChar w:fldCharType="separate"/>
          </w:r>
          <w:r>
            <w:t>- 37 -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_Toc19424 </w:instrText>
          </w:r>
          <w:r>
            <w:rPr>
              <w:rFonts w:ascii="华文中宋" w:hAnsi="华文中宋" w:eastAsia="华文中宋" w:cs="华文中宋"/>
              <w:szCs w:val="44"/>
            </w:rPr>
            <w:fldChar w:fldCharType="separate"/>
          </w:r>
          <w:r>
            <w:rPr>
              <w:rFonts w:hint="eastAsia" w:ascii="仿宋" w:hAnsi="仿宋" w:eastAsia="仿宋" w:cs="仿宋"/>
              <w:szCs w:val="32"/>
            </w:rPr>
            <w:t>（三）基于行政层级分类的各城市得分</w:t>
          </w:r>
          <w:r>
            <w:tab/>
          </w:r>
          <w:r>
            <w:fldChar w:fldCharType="begin"/>
          </w:r>
          <w:r>
            <w:instrText xml:space="preserve"> PAGEREF _Toc19424 \h </w:instrText>
          </w:r>
          <w:r>
            <w:fldChar w:fldCharType="separate"/>
          </w:r>
          <w:r>
            <w:t>- 40 -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_Toc14461 </w:instrText>
          </w:r>
          <w:r>
            <w:rPr>
              <w:rFonts w:ascii="华文中宋" w:hAnsi="华文中宋" w:eastAsia="华文中宋" w:cs="华文中宋"/>
              <w:szCs w:val="44"/>
            </w:rPr>
            <w:fldChar w:fldCharType="separate"/>
          </w:r>
          <w:r>
            <w:rPr>
              <w:rFonts w:hint="eastAsia" w:ascii="仿宋" w:hAnsi="仿宋" w:eastAsia="仿宋" w:cs="仿宋"/>
              <w:szCs w:val="32"/>
            </w:rPr>
            <w:t>（四）基于城市规模分类的各城市得分</w:t>
          </w:r>
          <w:r>
            <w:tab/>
          </w:r>
          <w:r>
            <w:fldChar w:fldCharType="begin"/>
          </w:r>
          <w:r>
            <w:instrText xml:space="preserve"> PAGEREF _Toc14461 \h </w:instrText>
          </w:r>
          <w:r>
            <w:fldChar w:fldCharType="separate"/>
          </w:r>
          <w:r>
            <w:t>- 43 -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_Toc25079 </w:instrText>
          </w:r>
          <w:r>
            <w:rPr>
              <w:rFonts w:ascii="华文中宋" w:hAnsi="华文中宋" w:eastAsia="华文中宋" w:cs="华文中宋"/>
              <w:szCs w:val="44"/>
            </w:rPr>
            <w:fldChar w:fldCharType="separate"/>
          </w:r>
          <w:r>
            <w:rPr>
              <w:rFonts w:hint="eastAsia" w:ascii="仿宋" w:hAnsi="仿宋" w:eastAsia="仿宋" w:cs="仿宋"/>
              <w:szCs w:val="32"/>
            </w:rPr>
            <w:t>（五）基于三大地理地区分类的各城市得分</w:t>
          </w:r>
          <w:r>
            <w:tab/>
          </w:r>
          <w:r>
            <w:fldChar w:fldCharType="begin"/>
          </w:r>
          <w:r>
            <w:instrText xml:space="preserve"> PAGEREF _Toc25079 \h </w:instrText>
          </w:r>
          <w:r>
            <w:fldChar w:fldCharType="separate"/>
          </w:r>
          <w:r>
            <w:t>- 46 -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_Toc32456 </w:instrText>
          </w:r>
          <w:r>
            <w:rPr>
              <w:rFonts w:ascii="华文中宋" w:hAnsi="华文中宋" w:eastAsia="华文中宋" w:cs="华文中宋"/>
              <w:szCs w:val="44"/>
            </w:rPr>
            <w:fldChar w:fldCharType="separate"/>
          </w:r>
          <w:r>
            <w:rPr>
              <w:rFonts w:hint="eastAsia" w:ascii="仿宋" w:hAnsi="仿宋" w:eastAsia="仿宋" w:cs="仿宋"/>
              <w:szCs w:val="32"/>
            </w:rPr>
            <w:t>（六）基于七大地理地区分类的各城市得分</w:t>
          </w:r>
          <w:r>
            <w:tab/>
          </w:r>
          <w:r>
            <w:fldChar w:fldCharType="begin"/>
          </w:r>
          <w:r>
            <w:instrText xml:space="preserve"> PAGEREF _Toc32456 \h </w:instrText>
          </w:r>
          <w:r>
            <w:fldChar w:fldCharType="separate"/>
          </w:r>
          <w:r>
            <w:t>- 48 -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_Toc26373 </w:instrText>
          </w:r>
          <w:r>
            <w:rPr>
              <w:rFonts w:ascii="华文中宋" w:hAnsi="华文中宋" w:eastAsia="华文中宋" w:cs="华文中宋"/>
              <w:szCs w:val="44"/>
            </w:rPr>
            <w:fldChar w:fldCharType="separate"/>
          </w:r>
          <w:r>
            <w:rPr>
              <w:rFonts w:hint="eastAsia" w:ascii="黑体" w:hAnsi="黑体" w:eastAsia="黑体" w:cs="黑体"/>
              <w:bCs/>
              <w:i w:val="0"/>
              <w:iCs/>
              <w:szCs w:val="32"/>
            </w:rPr>
            <w:t>二、100个城市一级指标得分情况</w:t>
          </w:r>
          <w:r>
            <w:tab/>
          </w:r>
          <w:r>
            <w:fldChar w:fldCharType="begin"/>
          </w:r>
          <w:r>
            <w:instrText xml:space="preserve"> PAGEREF _Toc26373 \h </w:instrText>
          </w:r>
          <w:r>
            <w:fldChar w:fldCharType="separate"/>
          </w:r>
          <w:r>
            <w:t>- 52 -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_Toc4846 </w:instrText>
          </w:r>
          <w:r>
            <w:rPr>
              <w:rFonts w:ascii="华文中宋" w:hAnsi="华文中宋" w:eastAsia="华文中宋" w:cs="华文中宋"/>
              <w:szCs w:val="44"/>
            </w:rPr>
            <w:fldChar w:fldCharType="separate"/>
          </w:r>
          <w:r>
            <w:rPr>
              <w:rFonts w:hint="eastAsia" w:ascii="黑体" w:hAnsi="黑体" w:eastAsia="黑体" w:cs="黑体"/>
              <w:bCs/>
              <w:i w:val="0"/>
              <w:iCs/>
              <w:szCs w:val="32"/>
            </w:rPr>
            <w:t>三、100个城市二级指标得分情况</w:t>
          </w:r>
          <w:r>
            <w:tab/>
          </w:r>
          <w:r>
            <w:fldChar w:fldCharType="begin"/>
          </w:r>
          <w:r>
            <w:instrText xml:space="preserve"> PAGEREF _Toc4846 \h </w:instrText>
          </w:r>
          <w:r>
            <w:fldChar w:fldCharType="separate"/>
          </w:r>
          <w:r>
            <w:t>- 60 -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_Toc16200 </w:instrText>
          </w:r>
          <w:r>
            <w:rPr>
              <w:rFonts w:ascii="华文中宋" w:hAnsi="华文中宋" w:eastAsia="华文中宋" w:cs="华文中宋"/>
              <w:szCs w:val="44"/>
            </w:rPr>
            <w:fldChar w:fldCharType="separate"/>
          </w:r>
          <w:r>
            <w:rPr>
              <w:rFonts w:hint="eastAsia" w:ascii="黑体" w:hAnsi="黑体" w:eastAsia="黑体" w:cs="黑体"/>
              <w:bCs/>
              <w:i w:val="0"/>
              <w:iCs/>
              <w:szCs w:val="32"/>
            </w:rPr>
            <w:t>四、100个城市满意度得分历年对比情况</w:t>
          </w:r>
          <w:r>
            <w:tab/>
          </w:r>
          <w:r>
            <w:fldChar w:fldCharType="begin"/>
          </w:r>
          <w:r>
            <w:instrText xml:space="preserve"> PAGEREF _Toc16200 \h </w:instrText>
          </w:r>
          <w:r>
            <w:fldChar w:fldCharType="separate"/>
          </w:r>
          <w:r>
            <w:t>- 72 -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_Toc20525 </w:instrText>
          </w:r>
          <w:r>
            <w:rPr>
              <w:rFonts w:ascii="华文中宋" w:hAnsi="华文中宋" w:eastAsia="华文中宋" w:cs="华文中宋"/>
              <w:szCs w:val="44"/>
            </w:rPr>
            <w:fldChar w:fldCharType="separate"/>
          </w:r>
          <w:r>
            <w:rPr>
              <w:rFonts w:hint="eastAsia" w:ascii="仿宋" w:hAnsi="仿宋" w:eastAsia="仿宋" w:cs="仿宋"/>
              <w:szCs w:val="32"/>
            </w:rPr>
            <w:t>（一）2021-2022年城市满意度得分对比</w:t>
          </w:r>
          <w:r>
            <w:tab/>
          </w:r>
          <w:r>
            <w:fldChar w:fldCharType="begin"/>
          </w:r>
          <w:r>
            <w:instrText xml:space="preserve"> PAGEREF _Toc20525 \h </w:instrText>
          </w:r>
          <w:r>
            <w:fldChar w:fldCharType="separate"/>
          </w:r>
          <w:r>
            <w:t>- 72 -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_Toc10511 </w:instrText>
          </w:r>
          <w:r>
            <w:rPr>
              <w:rFonts w:ascii="华文中宋" w:hAnsi="华文中宋" w:eastAsia="华文中宋" w:cs="华文中宋"/>
              <w:szCs w:val="44"/>
            </w:rPr>
            <w:fldChar w:fldCharType="separate"/>
          </w:r>
          <w:r>
            <w:rPr>
              <w:rFonts w:hint="eastAsia" w:ascii="仿宋" w:hAnsi="仿宋" w:eastAsia="仿宋" w:cs="仿宋"/>
              <w:szCs w:val="32"/>
            </w:rPr>
            <w:t>（二）2017-2022年城市满意度得分对比</w:t>
          </w:r>
          <w:r>
            <w:tab/>
          </w:r>
          <w:r>
            <w:fldChar w:fldCharType="begin"/>
          </w:r>
          <w:r>
            <w:instrText xml:space="preserve"> PAGEREF _Toc10511 \h </w:instrText>
          </w:r>
          <w:r>
            <w:fldChar w:fldCharType="separate"/>
          </w:r>
          <w:r>
            <w:t>- 74 -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_Toc21348 </w:instrText>
          </w:r>
          <w:r>
            <w:rPr>
              <w:rFonts w:ascii="华文中宋" w:hAnsi="华文中宋" w:eastAsia="华文中宋" w:cs="华文中宋"/>
              <w:szCs w:val="44"/>
            </w:rPr>
            <w:fldChar w:fldCharType="separate"/>
          </w:r>
          <w:r>
            <w:rPr>
              <w:rFonts w:hint="eastAsia" w:ascii="黑体" w:hAnsi="黑体" w:eastAsia="黑体" w:cs="黑体"/>
              <w:bCs/>
              <w:i w:val="0"/>
              <w:iCs/>
              <w:szCs w:val="32"/>
            </w:rPr>
            <w:t>五、100个城市消费信心情况对比</w:t>
          </w:r>
          <w:r>
            <w:tab/>
          </w:r>
          <w:r>
            <w:fldChar w:fldCharType="begin"/>
          </w:r>
          <w:r>
            <w:instrText xml:space="preserve"> PAGEREF _Toc21348 \h </w:instrText>
          </w:r>
          <w:r>
            <w:fldChar w:fldCharType="separate"/>
          </w:r>
          <w:r>
            <w:t>- 82 -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_Toc28265 </w:instrText>
          </w:r>
          <w:r>
            <w:rPr>
              <w:rFonts w:ascii="华文中宋" w:hAnsi="华文中宋" w:eastAsia="华文中宋" w:cs="华文中宋"/>
              <w:szCs w:val="44"/>
            </w:rPr>
            <w:fldChar w:fldCharType="separate"/>
          </w:r>
          <w:r>
            <w:rPr>
              <w:rFonts w:hint="eastAsia" w:ascii="仿宋" w:hAnsi="仿宋" w:eastAsia="仿宋" w:cs="仿宋"/>
              <w:szCs w:val="32"/>
            </w:rPr>
            <w:t>（一）消费者对于未来一年的支出计划</w:t>
          </w:r>
          <w:r>
            <w:tab/>
          </w:r>
          <w:r>
            <w:fldChar w:fldCharType="begin"/>
          </w:r>
          <w:r>
            <w:instrText xml:space="preserve"> PAGEREF _Toc28265 \h </w:instrText>
          </w:r>
          <w:r>
            <w:fldChar w:fldCharType="separate"/>
          </w:r>
          <w:r>
            <w:t>- 82 -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_Toc25726 </w:instrText>
          </w:r>
          <w:r>
            <w:rPr>
              <w:rFonts w:ascii="华文中宋" w:hAnsi="华文中宋" w:eastAsia="华文中宋" w:cs="华文中宋"/>
              <w:szCs w:val="44"/>
            </w:rPr>
            <w:fldChar w:fldCharType="separate"/>
          </w:r>
          <w:r>
            <w:rPr>
              <w:rFonts w:hint="eastAsia" w:ascii="仿宋" w:hAnsi="仿宋" w:eastAsia="仿宋" w:cs="仿宋"/>
              <w:szCs w:val="32"/>
            </w:rPr>
            <w:t>（二）消费者对于未来一年经济形势的预期</w:t>
          </w:r>
          <w:r>
            <w:tab/>
          </w:r>
          <w:r>
            <w:fldChar w:fldCharType="begin"/>
          </w:r>
          <w:r>
            <w:instrText xml:space="preserve"> PAGEREF _Toc25726 \h </w:instrText>
          </w:r>
          <w:r>
            <w:fldChar w:fldCharType="separate"/>
          </w:r>
          <w:r>
            <w:t>- 83 -</w:t>
          </w:r>
          <w:r>
            <w:fldChar w:fldCharType="end"/>
          </w:r>
          <w:r>
            <w:rPr>
              <w:rFonts w:ascii="华文中宋" w:hAnsi="华文中宋" w:eastAsia="华文中宋" w:cs="华文中宋"/>
              <w:szCs w:val="44"/>
            </w:rPr>
            <w:fldChar w:fldCharType="end"/>
          </w:r>
        </w:p>
        <w:p>
          <w:pPr>
            <w:pStyle w:val="6"/>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_Toc11583 </w:instrText>
          </w:r>
          <w:r>
            <w:rPr>
              <w:rFonts w:ascii="华文中宋" w:hAnsi="华文中宋" w:eastAsia="华文中宋" w:cs="华文中宋"/>
              <w:szCs w:val="44"/>
            </w:rPr>
            <w:fldChar w:fldCharType="separate"/>
          </w:r>
          <w:r>
            <w:rPr>
              <w:rFonts w:hint="eastAsia" w:ascii="仿宋" w:hAnsi="仿宋" w:eastAsia="仿宋" w:cs="仿宋"/>
              <w:szCs w:val="32"/>
            </w:rPr>
            <w:t>（三）消费者对于未来一年的消费信心</w:t>
          </w:r>
          <w:r>
            <w:tab/>
          </w:r>
          <w:r>
            <w:fldChar w:fldCharType="begin"/>
          </w:r>
          <w:r>
            <w:instrText xml:space="preserve"> PAGEREF _Toc11583 \h </w:instrText>
          </w:r>
          <w:r>
            <w:fldChar w:fldCharType="separate"/>
          </w:r>
          <w:r>
            <w:t>- 83 -</w:t>
          </w:r>
          <w:r>
            <w:fldChar w:fldCharType="end"/>
          </w:r>
          <w:r>
            <w:rPr>
              <w:rFonts w:ascii="华文中宋" w:hAnsi="华文中宋" w:eastAsia="华文中宋" w:cs="华文中宋"/>
              <w:szCs w:val="44"/>
            </w:rPr>
            <w:fldChar w:fldCharType="end"/>
          </w:r>
        </w:p>
        <w:p>
          <w:pPr>
            <w:pStyle w:val="11"/>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_Toc4269 </w:instrText>
          </w:r>
          <w:r>
            <w:rPr>
              <w:rFonts w:ascii="华文中宋" w:hAnsi="华文中宋" w:eastAsia="华文中宋" w:cs="华文中宋"/>
              <w:szCs w:val="44"/>
            </w:rPr>
            <w:fldChar w:fldCharType="separate"/>
          </w:r>
          <w:r>
            <w:rPr>
              <w:rFonts w:hint="eastAsia" w:ascii="方正小标宋简体" w:hAnsi="华文中宋" w:eastAsia="方正小标宋简体" w:cs="华文中宋"/>
              <w:bCs/>
              <w:szCs w:val="28"/>
            </w:rPr>
            <w:t>第五部分  关于提高消费者满意度的建议</w:t>
          </w:r>
          <w:r>
            <w:tab/>
          </w:r>
          <w:r>
            <w:fldChar w:fldCharType="begin"/>
          </w:r>
          <w:r>
            <w:instrText xml:space="preserve"> PAGEREF _Toc4269 \h </w:instrText>
          </w:r>
          <w:r>
            <w:fldChar w:fldCharType="separate"/>
          </w:r>
          <w:r>
            <w:t>- 84 -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_Toc12611 </w:instrText>
          </w:r>
          <w:r>
            <w:rPr>
              <w:rFonts w:ascii="华文中宋" w:hAnsi="华文中宋" w:eastAsia="华文中宋" w:cs="华文中宋"/>
              <w:szCs w:val="44"/>
            </w:rPr>
            <w:fldChar w:fldCharType="separate"/>
          </w:r>
          <w:r>
            <w:rPr>
              <w:rFonts w:hint="eastAsia" w:ascii="黑体" w:hAnsi="黑体" w:eastAsia="黑体" w:cs="黑体"/>
              <w:bCs/>
              <w:i w:val="0"/>
              <w:iCs/>
              <w:szCs w:val="32"/>
            </w:rPr>
            <w:t>一、</w:t>
          </w:r>
          <w:r>
            <w:rPr>
              <w:rFonts w:hint="eastAsia" w:ascii="黑体" w:hAnsi="黑体" w:eastAsia="黑体" w:cs="黑体"/>
              <w:bCs/>
              <w:i w:val="0"/>
              <w:iCs/>
              <w:szCs w:val="32"/>
              <w:lang w:val="en-US" w:eastAsia="zh-CN"/>
            </w:rPr>
            <w:t>积极</w:t>
          </w:r>
          <w:r>
            <w:rPr>
              <w:rFonts w:hint="eastAsia" w:ascii="黑体" w:hAnsi="黑体" w:eastAsia="黑体" w:cs="黑体"/>
              <w:bCs/>
              <w:i w:val="0"/>
              <w:iCs/>
              <w:szCs w:val="32"/>
            </w:rPr>
            <w:t>恢复</w:t>
          </w:r>
          <w:r>
            <w:rPr>
              <w:rFonts w:hint="eastAsia" w:ascii="黑体" w:hAnsi="黑体" w:eastAsia="黑体" w:cs="黑体"/>
              <w:bCs/>
              <w:i w:val="0"/>
              <w:iCs/>
              <w:szCs w:val="32"/>
              <w:lang w:val="en-US" w:eastAsia="zh-CN"/>
            </w:rPr>
            <w:t>和扩大</w:t>
          </w:r>
          <w:r>
            <w:rPr>
              <w:rFonts w:hint="eastAsia" w:ascii="黑体" w:hAnsi="黑体" w:eastAsia="黑体" w:cs="黑体"/>
              <w:bCs/>
              <w:i w:val="0"/>
              <w:iCs/>
              <w:szCs w:val="32"/>
            </w:rPr>
            <w:t>消费供给，助力消费</w:t>
          </w:r>
          <w:r>
            <w:rPr>
              <w:rFonts w:hint="eastAsia" w:ascii="黑体" w:hAnsi="黑体" w:eastAsia="黑体" w:cs="黑体"/>
              <w:bCs/>
              <w:i w:val="0"/>
              <w:iCs/>
              <w:szCs w:val="32"/>
              <w:lang w:val="en-US" w:eastAsia="zh-CN"/>
            </w:rPr>
            <w:t>提质</w:t>
          </w:r>
          <w:r>
            <w:rPr>
              <w:rFonts w:hint="eastAsia" w:ascii="黑体" w:hAnsi="黑体" w:eastAsia="黑体" w:cs="黑体"/>
              <w:bCs/>
              <w:i w:val="0"/>
              <w:iCs/>
              <w:szCs w:val="32"/>
            </w:rPr>
            <w:t>升级</w:t>
          </w:r>
          <w:r>
            <w:tab/>
          </w:r>
          <w:r>
            <w:fldChar w:fldCharType="begin"/>
          </w:r>
          <w:r>
            <w:instrText xml:space="preserve"> PAGEREF _Toc12611 \h </w:instrText>
          </w:r>
          <w:r>
            <w:fldChar w:fldCharType="separate"/>
          </w:r>
          <w:r>
            <w:t>- 84 -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_Toc8979 </w:instrText>
          </w:r>
          <w:r>
            <w:rPr>
              <w:rFonts w:ascii="华文中宋" w:hAnsi="华文中宋" w:eastAsia="华文中宋" w:cs="华文中宋"/>
              <w:szCs w:val="44"/>
            </w:rPr>
            <w:fldChar w:fldCharType="separate"/>
          </w:r>
          <w:r>
            <w:rPr>
              <w:rFonts w:hint="eastAsia" w:ascii="黑体" w:hAnsi="黑体" w:eastAsia="黑体" w:cs="黑体"/>
              <w:bCs/>
              <w:i w:val="0"/>
              <w:iCs/>
              <w:szCs w:val="32"/>
            </w:rPr>
            <w:t>二、着力优化消费环境，</w:t>
          </w:r>
          <w:r>
            <w:rPr>
              <w:rFonts w:hint="eastAsia" w:ascii="黑体" w:hAnsi="黑体" w:eastAsia="黑体" w:cs="黑体"/>
              <w:bCs/>
              <w:i w:val="0"/>
              <w:iCs/>
              <w:szCs w:val="32"/>
              <w:lang w:val="en-US" w:eastAsia="zh-CN"/>
            </w:rPr>
            <w:t>切实</w:t>
          </w:r>
          <w:r>
            <w:rPr>
              <w:rFonts w:hint="eastAsia" w:ascii="黑体" w:hAnsi="黑体" w:eastAsia="黑体" w:cs="黑体"/>
              <w:bCs/>
              <w:i w:val="0"/>
              <w:iCs/>
              <w:szCs w:val="32"/>
            </w:rPr>
            <w:t>发挥消费基础</w:t>
          </w:r>
          <w:r>
            <w:rPr>
              <w:rFonts w:hint="eastAsia" w:ascii="黑体" w:hAnsi="黑体" w:eastAsia="黑体" w:cs="黑体"/>
              <w:bCs/>
              <w:i w:val="0"/>
              <w:iCs/>
              <w:szCs w:val="32"/>
              <w:lang w:val="en-US" w:eastAsia="zh-CN"/>
            </w:rPr>
            <w:t>性</w:t>
          </w:r>
          <w:r>
            <w:rPr>
              <w:rFonts w:hint="eastAsia" w:ascii="黑体" w:hAnsi="黑体" w:eastAsia="黑体" w:cs="黑体"/>
              <w:bCs/>
              <w:i w:val="0"/>
              <w:iCs/>
              <w:szCs w:val="32"/>
            </w:rPr>
            <w:t>作用</w:t>
          </w:r>
          <w:r>
            <w:tab/>
          </w:r>
          <w:r>
            <w:fldChar w:fldCharType="begin"/>
          </w:r>
          <w:r>
            <w:instrText xml:space="preserve"> PAGEREF _Toc8979 \h </w:instrText>
          </w:r>
          <w:r>
            <w:fldChar w:fldCharType="separate"/>
          </w:r>
          <w:r>
            <w:t>- 85 -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_Toc30301 </w:instrText>
          </w:r>
          <w:r>
            <w:rPr>
              <w:rFonts w:ascii="华文中宋" w:hAnsi="华文中宋" w:eastAsia="华文中宋" w:cs="华文中宋"/>
              <w:szCs w:val="44"/>
            </w:rPr>
            <w:fldChar w:fldCharType="separate"/>
          </w:r>
          <w:r>
            <w:rPr>
              <w:rFonts w:hint="eastAsia" w:ascii="黑体" w:hAnsi="黑体" w:eastAsia="黑体" w:cs="黑体"/>
              <w:bCs/>
              <w:i w:val="0"/>
              <w:iCs/>
              <w:szCs w:val="32"/>
            </w:rPr>
            <w:t>三、统筹强化消费维权，巩固权益保护屏障</w:t>
          </w:r>
          <w:r>
            <w:tab/>
          </w:r>
          <w:r>
            <w:fldChar w:fldCharType="begin"/>
          </w:r>
          <w:r>
            <w:instrText xml:space="preserve"> PAGEREF _Toc30301 \h </w:instrText>
          </w:r>
          <w:r>
            <w:fldChar w:fldCharType="separate"/>
          </w:r>
          <w:r>
            <w:t>- 86 -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_Toc22528 </w:instrText>
          </w:r>
          <w:r>
            <w:rPr>
              <w:rFonts w:ascii="华文中宋" w:hAnsi="华文中宋" w:eastAsia="华文中宋" w:cs="华文中宋"/>
              <w:szCs w:val="44"/>
            </w:rPr>
            <w:fldChar w:fldCharType="separate"/>
          </w:r>
          <w:r>
            <w:rPr>
              <w:rFonts w:hint="eastAsia" w:ascii="黑体" w:hAnsi="黑体" w:eastAsia="黑体" w:cs="黑体"/>
              <w:bCs/>
              <w:i w:val="0"/>
              <w:iCs/>
              <w:szCs w:val="32"/>
            </w:rPr>
            <w:t>四、全面提振消费信心，激发消费市场活力</w:t>
          </w:r>
          <w:r>
            <w:tab/>
          </w:r>
          <w:r>
            <w:fldChar w:fldCharType="begin"/>
          </w:r>
          <w:r>
            <w:instrText xml:space="preserve"> PAGEREF _Toc22528 \h </w:instrText>
          </w:r>
          <w:r>
            <w:fldChar w:fldCharType="separate"/>
          </w:r>
          <w:r>
            <w:t>- 87 -</w:t>
          </w:r>
          <w:r>
            <w:fldChar w:fldCharType="end"/>
          </w:r>
          <w:r>
            <w:rPr>
              <w:rFonts w:ascii="华文中宋" w:hAnsi="华文中宋" w:eastAsia="华文中宋" w:cs="华文中宋"/>
              <w:szCs w:val="44"/>
            </w:rPr>
            <w:fldChar w:fldCharType="end"/>
          </w:r>
        </w:p>
        <w:p>
          <w:pPr>
            <w:pStyle w:val="11"/>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_Toc24446 </w:instrText>
          </w:r>
          <w:r>
            <w:rPr>
              <w:rFonts w:ascii="华文中宋" w:hAnsi="华文中宋" w:eastAsia="华文中宋" w:cs="华文中宋"/>
              <w:szCs w:val="44"/>
            </w:rPr>
            <w:fldChar w:fldCharType="separate"/>
          </w:r>
          <w:r>
            <w:rPr>
              <w:rFonts w:hint="eastAsia" w:ascii="方正小标宋简体" w:hAnsi="华文中宋" w:eastAsia="方正小标宋简体" w:cs="华文中宋"/>
              <w:bCs/>
              <w:szCs w:val="28"/>
            </w:rPr>
            <w:t>附  录</w:t>
          </w:r>
          <w:r>
            <w:tab/>
          </w:r>
          <w:r>
            <w:fldChar w:fldCharType="begin"/>
          </w:r>
          <w:r>
            <w:instrText xml:space="preserve"> PAGEREF _Toc24446 \h </w:instrText>
          </w:r>
          <w:r>
            <w:fldChar w:fldCharType="separate"/>
          </w:r>
          <w:r>
            <w:t>- 89 -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_Toc18175 </w:instrText>
          </w:r>
          <w:r>
            <w:rPr>
              <w:rFonts w:ascii="华文中宋" w:hAnsi="华文中宋" w:eastAsia="华文中宋" w:cs="华文中宋"/>
              <w:szCs w:val="44"/>
            </w:rPr>
            <w:fldChar w:fldCharType="separate"/>
          </w:r>
          <w:r>
            <w:rPr>
              <w:rFonts w:hint="eastAsia" w:ascii="黑体" w:hAnsi="黑体" w:eastAsia="黑体" w:cs="黑体"/>
              <w:bCs/>
              <w:i w:val="0"/>
              <w:iCs/>
              <w:szCs w:val="28"/>
            </w:rPr>
            <w:t>附录1  100个城市常住人口及社会消费品零售总额</w:t>
          </w:r>
          <w:r>
            <w:tab/>
          </w:r>
          <w:r>
            <w:fldChar w:fldCharType="begin"/>
          </w:r>
          <w:r>
            <w:instrText xml:space="preserve"> PAGEREF _Toc18175 \h </w:instrText>
          </w:r>
          <w:r>
            <w:fldChar w:fldCharType="separate"/>
          </w:r>
          <w:r>
            <w:t>- 89 -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_Toc19709 </w:instrText>
          </w:r>
          <w:r>
            <w:rPr>
              <w:rFonts w:ascii="华文中宋" w:hAnsi="华文中宋" w:eastAsia="华文中宋" w:cs="华文中宋"/>
              <w:szCs w:val="44"/>
            </w:rPr>
            <w:fldChar w:fldCharType="separate"/>
          </w:r>
          <w:r>
            <w:rPr>
              <w:rFonts w:hint="eastAsia" w:ascii="黑体" w:hAnsi="黑体" w:eastAsia="黑体" w:cs="黑体"/>
              <w:bCs/>
              <w:i w:val="0"/>
              <w:iCs/>
              <w:szCs w:val="28"/>
            </w:rPr>
            <w:t>附录2  根据人口与行政层级对城市的划分结果</w:t>
          </w:r>
          <w:r>
            <w:tab/>
          </w:r>
          <w:r>
            <w:fldChar w:fldCharType="begin"/>
          </w:r>
          <w:r>
            <w:instrText xml:space="preserve"> PAGEREF _Toc19709 \h </w:instrText>
          </w:r>
          <w:r>
            <w:fldChar w:fldCharType="separate"/>
          </w:r>
          <w:r>
            <w:t>- 92 -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_Toc8756 </w:instrText>
          </w:r>
          <w:r>
            <w:rPr>
              <w:rFonts w:ascii="华文中宋" w:hAnsi="华文中宋" w:eastAsia="华文中宋" w:cs="华文中宋"/>
              <w:szCs w:val="44"/>
            </w:rPr>
            <w:fldChar w:fldCharType="separate"/>
          </w:r>
          <w:r>
            <w:rPr>
              <w:rFonts w:hint="eastAsia" w:ascii="黑体" w:hAnsi="黑体" w:eastAsia="黑体" w:cs="黑体"/>
              <w:bCs/>
              <w:i w:val="0"/>
              <w:iCs/>
              <w:szCs w:val="28"/>
            </w:rPr>
            <w:t>附录3  根据地理位置对城市的划分结果</w:t>
          </w:r>
          <w:r>
            <w:tab/>
          </w:r>
          <w:r>
            <w:fldChar w:fldCharType="begin"/>
          </w:r>
          <w:r>
            <w:instrText xml:space="preserve"> PAGEREF _Toc8756 \h </w:instrText>
          </w:r>
          <w:r>
            <w:fldChar w:fldCharType="separate"/>
          </w:r>
          <w:r>
            <w:t>- 96 -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_Toc22250 </w:instrText>
          </w:r>
          <w:r>
            <w:rPr>
              <w:rFonts w:ascii="华文中宋" w:hAnsi="华文中宋" w:eastAsia="华文中宋" w:cs="华文中宋"/>
              <w:szCs w:val="44"/>
            </w:rPr>
            <w:fldChar w:fldCharType="separate"/>
          </w:r>
          <w:r>
            <w:rPr>
              <w:rFonts w:hint="eastAsia" w:ascii="黑体" w:hAnsi="黑体" w:eastAsia="黑体" w:cs="黑体"/>
              <w:bCs/>
              <w:i w:val="0"/>
              <w:iCs/>
              <w:szCs w:val="28"/>
            </w:rPr>
            <w:t>附录4  不同城市类别与不同消费群体满意度得分情况</w:t>
          </w:r>
          <w:r>
            <w:tab/>
          </w:r>
          <w:r>
            <w:fldChar w:fldCharType="begin"/>
          </w:r>
          <w:r>
            <w:instrText xml:space="preserve"> PAGEREF _Toc22250 \h </w:instrText>
          </w:r>
          <w:r>
            <w:fldChar w:fldCharType="separate"/>
          </w:r>
          <w:r>
            <w:t>- 100 -</w:t>
          </w:r>
          <w:r>
            <w:fldChar w:fldCharType="end"/>
          </w:r>
          <w:r>
            <w:rPr>
              <w:rFonts w:ascii="华文中宋" w:hAnsi="华文中宋" w:eastAsia="华文中宋" w:cs="华文中宋"/>
              <w:szCs w:val="44"/>
            </w:rPr>
            <w:fldChar w:fldCharType="end"/>
          </w:r>
        </w:p>
        <w:p>
          <w:pPr>
            <w:pStyle w:val="13"/>
            <w:tabs>
              <w:tab w:val="right" w:leader="dot" w:pos="8306"/>
            </w:tabs>
          </w:pPr>
          <w:r>
            <w:rPr>
              <w:rFonts w:ascii="华文中宋" w:hAnsi="华文中宋" w:eastAsia="华文中宋" w:cs="华文中宋"/>
              <w:szCs w:val="44"/>
            </w:rPr>
            <w:fldChar w:fldCharType="begin"/>
          </w:r>
          <w:r>
            <w:rPr>
              <w:rFonts w:ascii="华文中宋" w:hAnsi="华文中宋" w:eastAsia="华文中宋" w:cs="华文中宋"/>
              <w:szCs w:val="44"/>
            </w:rPr>
            <w:instrText xml:space="preserve"> HYPERLINK \l _Toc7655 </w:instrText>
          </w:r>
          <w:r>
            <w:rPr>
              <w:rFonts w:ascii="华文中宋" w:hAnsi="华文中宋" w:eastAsia="华文中宋" w:cs="华文中宋"/>
              <w:szCs w:val="44"/>
            </w:rPr>
            <w:fldChar w:fldCharType="separate"/>
          </w:r>
          <w:r>
            <w:rPr>
              <w:rFonts w:hint="eastAsia" w:ascii="黑体" w:hAnsi="黑体" w:eastAsia="黑体" w:cs="黑体"/>
              <w:bCs/>
              <w:i w:val="0"/>
              <w:iCs/>
              <w:szCs w:val="28"/>
            </w:rPr>
            <w:t>附录5  在线消费情况</w:t>
          </w:r>
          <w:r>
            <w:tab/>
          </w:r>
          <w:r>
            <w:fldChar w:fldCharType="begin"/>
          </w:r>
          <w:r>
            <w:instrText xml:space="preserve"> PAGEREF _Toc7655 \h </w:instrText>
          </w:r>
          <w:r>
            <w:fldChar w:fldCharType="separate"/>
          </w:r>
          <w:r>
            <w:t>- 108 -</w:t>
          </w:r>
          <w:r>
            <w:fldChar w:fldCharType="end"/>
          </w:r>
          <w:r>
            <w:rPr>
              <w:rFonts w:ascii="华文中宋" w:hAnsi="华文中宋" w:eastAsia="华文中宋" w:cs="华文中宋"/>
              <w:szCs w:val="44"/>
            </w:rPr>
            <w:fldChar w:fldCharType="end"/>
          </w:r>
        </w:p>
        <w:p>
          <w:r>
            <w:rPr>
              <w:rFonts w:ascii="华文中宋" w:hAnsi="华文中宋" w:eastAsia="华文中宋" w:cs="华文中宋"/>
              <w:szCs w:val="44"/>
            </w:rPr>
            <w:fldChar w:fldCharType="end"/>
          </w:r>
        </w:p>
      </w:sdtContent>
    </w:sdt>
    <w:p>
      <w:pPr>
        <w:sectPr>
          <w:footerReference r:id="rId4" w:type="default"/>
          <w:pgSz w:w="11906" w:h="16838"/>
          <w:pgMar w:top="1440" w:right="1800" w:bottom="1440" w:left="1800" w:header="851" w:footer="992" w:gutter="0"/>
          <w:pgNumType w:fmt="numberInDash" w:start="1"/>
          <w:cols w:space="425" w:num="1"/>
          <w:titlePg/>
          <w:docGrid w:type="lines" w:linePitch="326" w:charSpace="0"/>
        </w:sectPr>
      </w:pPr>
      <w:r>
        <w:br w:type="page"/>
      </w:r>
    </w:p>
    <w:p/>
    <w:p>
      <w:pPr>
        <w:pStyle w:val="2"/>
        <w:spacing w:before="489" w:beforeLines="150" w:after="326" w:afterLines="100"/>
        <w:jc w:val="center"/>
        <w:rPr>
          <w:rFonts w:ascii="方正小标宋简体" w:hAnsi="华文中宋" w:eastAsia="方正小标宋简体" w:cs="华文中宋"/>
          <w:b w:val="0"/>
          <w:bCs/>
          <w:sz w:val="40"/>
          <w:szCs w:val="36"/>
        </w:rPr>
      </w:pPr>
      <w:bookmarkStart w:id="1" w:name="_Toc28287"/>
      <w:r>
        <w:rPr>
          <w:rFonts w:hint="eastAsia" w:ascii="方正小标宋简体" w:hAnsi="华文中宋" w:eastAsia="方正小标宋简体" w:cs="华文中宋"/>
          <w:b w:val="0"/>
          <w:bCs/>
          <w:sz w:val="40"/>
          <w:szCs w:val="36"/>
        </w:rPr>
        <w:t>第一部分  消费者满意度测评工作背景</w:t>
      </w:r>
      <w:bookmarkEnd w:id="0"/>
      <w:bookmarkEnd w:id="1"/>
    </w:p>
    <w:p>
      <w:pPr>
        <w:spacing w:line="600" w:lineRule="exact"/>
        <w:ind w:firstLine="640" w:firstLineChars="200"/>
        <w:jc w:val="both"/>
        <w:rPr>
          <w:rFonts w:ascii="仿宋" w:hAnsi="仿宋" w:eastAsia="仿宋" w:cs="仿宋"/>
          <w:color w:val="1C1C1C"/>
          <w:sz w:val="32"/>
          <w:szCs w:val="32"/>
        </w:rPr>
      </w:pPr>
      <w:bookmarkStart w:id="2" w:name="_Toc62721746"/>
      <w:r>
        <w:rPr>
          <w:rFonts w:ascii="仿宋" w:hAnsi="仿宋" w:eastAsia="仿宋" w:cs="仿宋"/>
          <w:color w:val="1C1C1C"/>
          <w:sz w:val="32"/>
          <w:szCs w:val="32"/>
        </w:rPr>
        <w:t>2022年是党和国家历史上极为重要的一年，是我国踏上全面建设社会主义现代化国家、向第二个百年奋斗目标进军新征程的重要一年。2022年召开了党的二十大，大会报告指出“要坚持以推动高质量发展为主题，把实施扩大内需战略同深化供给侧结构性改革有机结合起来”“着力扩大内需，增强消费对经济发展的基础性作用”。2022年12月，中央经济工作会议指出“要把恢复和扩大消费摆在优先位置。增强消费能力，改善消费条件，创新消费场景。”</w:t>
      </w:r>
    </w:p>
    <w:p>
      <w:pPr>
        <w:spacing w:line="600" w:lineRule="exact"/>
        <w:ind w:firstLine="640" w:firstLineChars="200"/>
        <w:jc w:val="both"/>
        <w:rPr>
          <w:rFonts w:ascii="仿宋" w:hAnsi="仿宋" w:eastAsia="仿宋" w:cs="仿宋"/>
          <w:color w:val="1C1C1C"/>
          <w:sz w:val="32"/>
          <w:szCs w:val="32"/>
        </w:rPr>
      </w:pPr>
      <w:r>
        <w:rPr>
          <w:rFonts w:ascii="仿宋" w:hAnsi="仿宋" w:eastAsia="仿宋" w:cs="仿宋"/>
          <w:color w:val="1C1C1C"/>
          <w:sz w:val="32"/>
          <w:szCs w:val="32"/>
        </w:rPr>
        <w:t>2022年，党中央统筹疫情防控和经济社会发展，应对超预期因素冲击，保持了经济社会大局稳定。同时，我们也看到，在国际复杂严峻环境和国内疫情扰动影响下，我国消费市场受到了一定的冲击。最终消费对经济增长的贡献率</w:t>
      </w:r>
      <w:r>
        <w:rPr>
          <w:rFonts w:hint="eastAsia" w:ascii="仿宋" w:hAnsi="仿宋" w:eastAsia="仿宋" w:cs="仿宋"/>
          <w:color w:val="1C1C1C"/>
          <w:sz w:val="32"/>
          <w:szCs w:val="32"/>
        </w:rPr>
        <w:t>有所</w:t>
      </w:r>
      <w:r>
        <w:rPr>
          <w:rFonts w:ascii="仿宋" w:hAnsi="仿宋" w:eastAsia="仿宋" w:cs="仿宋"/>
          <w:color w:val="1C1C1C"/>
          <w:sz w:val="32"/>
          <w:szCs w:val="32"/>
        </w:rPr>
        <w:t>减弱，社会消费品零售总额、全国居民人均消费支出有所降低。2022年，最终消费支出拉动经济增长1.0个百分点，对经济增长贡献率仅为32.8%，较2021年下降25.5%，也大幅低于2017—2019年平均59.5%的水平。社会消费品零售总额439733亿元，较2021年下降0.2%。全国居民人均消费支出24538元，比上年名义增长1.8%，扣除价格因素影响，实际下降0.2%。</w:t>
      </w:r>
    </w:p>
    <w:p>
      <w:pPr>
        <w:spacing w:line="60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党中央、国务院把恢复和扩大消费摆在优先位置，高度重视消费环境改善、消费者权益保护。</w:t>
      </w:r>
      <w:r>
        <w:rPr>
          <w:rFonts w:ascii="仿宋" w:hAnsi="仿宋" w:eastAsia="仿宋" w:cs="仿宋"/>
          <w:color w:val="1C1C1C"/>
          <w:sz w:val="32"/>
          <w:szCs w:val="32"/>
        </w:rPr>
        <w:t>2022年3月，政府工作报告指出要“推动消费持续恢复”“提高产品和服务质量，强化消费者权益保护，着力适应群众需求、增强消费意愿”等。《中共中央 国务院关于加快建设全国统一大市场的意见》《国务院办公厅关于进一步释放消费潜力促进消费持续恢复的意见》《扩大内需战略规划纲要（2022－2035年）》《“十四五”扩大内需战略实施方案》</w:t>
      </w:r>
      <w:r>
        <w:rPr>
          <w:rFonts w:hint="eastAsia" w:ascii="仿宋" w:hAnsi="仿宋" w:eastAsia="仿宋" w:cs="仿宋"/>
          <w:color w:val="1C1C1C"/>
          <w:sz w:val="32"/>
          <w:szCs w:val="32"/>
        </w:rPr>
        <w:t>等一系列政策举措，</w:t>
      </w:r>
      <w:r>
        <w:rPr>
          <w:rFonts w:ascii="仿宋" w:hAnsi="仿宋" w:eastAsia="仿宋" w:cs="仿宋"/>
          <w:color w:val="1C1C1C"/>
          <w:sz w:val="32"/>
          <w:szCs w:val="32"/>
        </w:rPr>
        <w:t>在</w:t>
      </w:r>
      <w:r>
        <w:rPr>
          <w:rFonts w:hint="eastAsia" w:ascii="仿宋" w:hAnsi="仿宋" w:eastAsia="仿宋" w:cs="仿宋"/>
          <w:color w:val="1C1C1C"/>
          <w:sz w:val="32"/>
          <w:szCs w:val="32"/>
        </w:rPr>
        <w:t>促进消费恢复、</w:t>
      </w:r>
      <w:r>
        <w:rPr>
          <w:rFonts w:ascii="仿宋" w:hAnsi="仿宋" w:eastAsia="仿宋" w:cs="仿宋"/>
          <w:color w:val="1C1C1C"/>
          <w:sz w:val="32"/>
          <w:szCs w:val="32"/>
        </w:rPr>
        <w:t>改善消费环境、</w:t>
      </w:r>
      <w:r>
        <w:rPr>
          <w:rFonts w:hint="eastAsia" w:ascii="仿宋" w:hAnsi="仿宋" w:eastAsia="仿宋" w:cs="仿宋"/>
          <w:color w:val="1C1C1C"/>
          <w:sz w:val="32"/>
          <w:szCs w:val="32"/>
        </w:rPr>
        <w:t>提升消费服务质量、</w:t>
      </w:r>
      <w:r>
        <w:rPr>
          <w:rFonts w:ascii="仿宋" w:hAnsi="仿宋" w:eastAsia="仿宋" w:cs="仿宋"/>
          <w:color w:val="1C1C1C"/>
          <w:sz w:val="32"/>
          <w:szCs w:val="32"/>
        </w:rPr>
        <w:t>强化消费者权益保护等方面做出重要部署。2022年12月</w:t>
      </w:r>
      <w:r>
        <w:rPr>
          <w:rFonts w:hint="eastAsia" w:ascii="仿宋" w:hAnsi="仿宋" w:eastAsia="仿宋" w:cs="仿宋"/>
          <w:color w:val="1C1C1C"/>
          <w:sz w:val="32"/>
          <w:szCs w:val="32"/>
        </w:rPr>
        <w:t>，</w:t>
      </w:r>
      <w:r>
        <w:rPr>
          <w:rFonts w:ascii="仿宋" w:hAnsi="仿宋" w:eastAsia="仿宋" w:cs="仿宋"/>
          <w:sz w:val="32"/>
          <w:szCs w:val="32"/>
        </w:rPr>
        <w:t>最高人民法院发布《关于为促进消费提供司法服务和保障的意见》，对食品药品安全、预付式消费、个人信息保护等领域提出16条举措，进一步明晰权责归属，为消费者</w:t>
      </w:r>
      <w:r>
        <w:rPr>
          <w:rStyle w:val="43"/>
          <w:rFonts w:hint="default"/>
        </w:rPr>
        <w:t>权益保护</w:t>
      </w:r>
      <w:r>
        <w:rPr>
          <w:rFonts w:ascii="仿宋" w:hAnsi="仿宋" w:eastAsia="仿宋" w:cs="仿宋"/>
          <w:sz w:val="32"/>
          <w:szCs w:val="32"/>
        </w:rPr>
        <w:t>提供坚强的司法保障。</w:t>
      </w:r>
    </w:p>
    <w:p>
      <w:pPr>
        <w:spacing w:line="60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消费是最终需求，是畅通国内大循环的关键环节和重要引擎，多年来已成为经济增长的主要拉动力，为构建新发展格局、推动高质量发展提供了有力支撑。随着新型冠状病毒感染回归乙类管理、扩内需促消费系列政策密集出台，我国消费市场展现出韧性强、潜力大、消费规模扩大、消费结构持续优化的特征。</w:t>
      </w:r>
      <w:r>
        <w:rPr>
          <w:rFonts w:ascii="仿宋" w:hAnsi="仿宋" w:eastAsia="仿宋" w:cs="仿宋"/>
          <w:color w:val="1C1C1C"/>
          <w:sz w:val="32"/>
          <w:szCs w:val="32"/>
        </w:rPr>
        <w:t>2022年</w:t>
      </w:r>
      <w:r>
        <w:rPr>
          <w:rFonts w:hint="eastAsia" w:ascii="仿宋" w:hAnsi="仿宋" w:eastAsia="仿宋" w:cs="仿宋"/>
          <w:color w:val="1C1C1C"/>
          <w:sz w:val="32"/>
          <w:szCs w:val="32"/>
        </w:rPr>
        <w:t>，</w:t>
      </w:r>
      <w:r>
        <w:rPr>
          <w:rFonts w:ascii="仿宋" w:hAnsi="仿宋" w:eastAsia="仿宋" w:cs="仿宋"/>
          <w:color w:val="1C1C1C"/>
          <w:sz w:val="32"/>
          <w:szCs w:val="32"/>
        </w:rPr>
        <w:t>社会消费品零售总额稳定在44万亿元左右</w:t>
      </w:r>
      <w:r>
        <w:rPr>
          <w:rFonts w:hint="eastAsia" w:ascii="仿宋" w:hAnsi="仿宋" w:eastAsia="仿宋" w:cs="仿宋"/>
          <w:color w:val="1C1C1C"/>
          <w:sz w:val="32"/>
          <w:szCs w:val="32"/>
        </w:rPr>
        <w:t>。新型消费发展较快，实物商品网上零售额达到了</w:t>
      </w:r>
      <w:r>
        <w:rPr>
          <w:rFonts w:ascii="仿宋" w:hAnsi="仿宋" w:eastAsia="仿宋" w:cs="仿宋"/>
          <w:color w:val="1C1C1C"/>
          <w:sz w:val="32"/>
          <w:szCs w:val="32"/>
        </w:rPr>
        <w:t>12万亿元</w:t>
      </w:r>
      <w:r>
        <w:rPr>
          <w:rFonts w:hint="eastAsia" w:ascii="仿宋" w:hAnsi="仿宋" w:eastAsia="仿宋" w:cs="仿宋"/>
          <w:color w:val="1C1C1C"/>
          <w:sz w:val="32"/>
          <w:szCs w:val="32"/>
        </w:rPr>
        <w:t>，占社会消费品零售总额的比重为</w:t>
      </w:r>
      <w:r>
        <w:rPr>
          <w:rFonts w:ascii="仿宋" w:hAnsi="仿宋" w:eastAsia="仿宋" w:cs="仿宋"/>
          <w:color w:val="1C1C1C"/>
          <w:sz w:val="32"/>
          <w:szCs w:val="32"/>
        </w:rPr>
        <w:t>27.2%</w:t>
      </w:r>
      <w:r>
        <w:rPr>
          <w:rFonts w:hint="eastAsia" w:ascii="仿宋" w:hAnsi="仿宋" w:eastAsia="仿宋" w:cs="仿宋"/>
          <w:color w:val="1C1C1C"/>
          <w:sz w:val="32"/>
          <w:szCs w:val="32"/>
        </w:rPr>
        <w:t>，较2</w:t>
      </w:r>
      <w:r>
        <w:rPr>
          <w:rFonts w:ascii="仿宋" w:hAnsi="仿宋" w:eastAsia="仿宋" w:cs="仿宋"/>
          <w:color w:val="1C1C1C"/>
          <w:sz w:val="32"/>
          <w:szCs w:val="32"/>
        </w:rPr>
        <w:t>021</w:t>
      </w:r>
      <w:r>
        <w:rPr>
          <w:rFonts w:hint="eastAsia" w:ascii="仿宋" w:hAnsi="仿宋" w:eastAsia="仿宋" w:cs="仿宋"/>
          <w:color w:val="1C1C1C"/>
          <w:sz w:val="32"/>
          <w:szCs w:val="32"/>
        </w:rPr>
        <w:t>年提高</w:t>
      </w:r>
      <w:r>
        <w:rPr>
          <w:rFonts w:ascii="仿宋" w:hAnsi="仿宋" w:eastAsia="仿宋" w:cs="仿宋"/>
          <w:color w:val="1C1C1C"/>
          <w:sz w:val="32"/>
          <w:szCs w:val="32"/>
        </w:rPr>
        <w:t>2.7个百分点。我国</w:t>
      </w:r>
      <w:r>
        <w:rPr>
          <w:rFonts w:hint="eastAsia" w:ascii="仿宋" w:hAnsi="仿宋" w:eastAsia="仿宋" w:cs="仿宋"/>
          <w:color w:val="1C1C1C"/>
          <w:sz w:val="32"/>
          <w:szCs w:val="32"/>
        </w:rPr>
        <w:t>仍属</w:t>
      </w:r>
      <w:r>
        <w:rPr>
          <w:rFonts w:ascii="仿宋" w:hAnsi="仿宋" w:eastAsia="仿宋" w:cs="仿宋"/>
          <w:color w:val="1C1C1C"/>
          <w:sz w:val="32"/>
          <w:szCs w:val="32"/>
        </w:rPr>
        <w:t>全球第二大消费市场和第一大网络零售市场，超大规模市场优势依然明显。进入疫情防控新阶段，</w:t>
      </w:r>
      <w:r>
        <w:rPr>
          <w:rFonts w:hint="eastAsia" w:ascii="仿宋" w:hAnsi="仿宋" w:eastAsia="仿宋" w:cs="仿宋"/>
          <w:color w:val="1C1C1C"/>
          <w:sz w:val="32"/>
          <w:szCs w:val="32"/>
        </w:rPr>
        <w:t>服务类消费逐步回归常态，消费结构延续之前优化升级的态势。未来，消费支出会进一步增长，消费结构会持续优化，消费将充分发挥推动经济发展的基础性作用。</w:t>
      </w:r>
    </w:p>
    <w:p>
      <w:pPr>
        <w:spacing w:line="60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为持续推动安全放心的消费环境建设，落实国务院关于建立常态化消费者满意度调查评估机制的要求，中国消费者协会自</w:t>
      </w:r>
      <w:r>
        <w:rPr>
          <w:rFonts w:ascii="仿宋" w:hAnsi="仿宋" w:eastAsia="仿宋" w:cs="仿宋"/>
          <w:color w:val="1C1C1C"/>
          <w:sz w:val="32"/>
          <w:szCs w:val="32"/>
        </w:rPr>
        <w:t>2017年起每年开展消费者满意度测评工作。2017年选取50个大中城市开展测评，</w:t>
      </w:r>
      <w:r>
        <w:rPr>
          <w:rFonts w:hint="eastAsia" w:ascii="仿宋" w:hAnsi="仿宋" w:eastAsia="仿宋" w:cs="仿宋"/>
          <w:color w:val="1C1C1C"/>
          <w:sz w:val="32"/>
          <w:szCs w:val="32"/>
        </w:rPr>
        <w:t>2</w:t>
      </w:r>
      <w:r>
        <w:rPr>
          <w:rFonts w:ascii="仿宋" w:hAnsi="仿宋" w:eastAsia="仿宋" w:cs="仿宋"/>
          <w:color w:val="1C1C1C"/>
          <w:sz w:val="32"/>
          <w:szCs w:val="32"/>
        </w:rPr>
        <w:t>018年选取70个城市进行测评</w:t>
      </w:r>
      <w:r>
        <w:rPr>
          <w:rFonts w:hint="eastAsia" w:ascii="仿宋" w:hAnsi="仿宋" w:eastAsia="仿宋" w:cs="仿宋"/>
          <w:color w:val="1C1C1C"/>
          <w:sz w:val="32"/>
          <w:szCs w:val="32"/>
        </w:rPr>
        <w:t>，2</w:t>
      </w:r>
      <w:r>
        <w:rPr>
          <w:rFonts w:ascii="仿宋" w:hAnsi="仿宋" w:eastAsia="仿宋" w:cs="仿宋"/>
          <w:color w:val="1C1C1C"/>
          <w:sz w:val="32"/>
          <w:szCs w:val="32"/>
        </w:rPr>
        <w:t>019</w:t>
      </w:r>
      <w:r>
        <w:rPr>
          <w:rFonts w:hint="eastAsia" w:ascii="仿宋" w:hAnsi="仿宋" w:eastAsia="仿宋" w:cs="仿宋"/>
          <w:color w:val="1C1C1C"/>
          <w:sz w:val="32"/>
          <w:szCs w:val="32"/>
        </w:rPr>
        <w:t>年-</w:t>
      </w:r>
      <w:r>
        <w:rPr>
          <w:rFonts w:ascii="仿宋" w:hAnsi="仿宋" w:eastAsia="仿宋" w:cs="仿宋"/>
          <w:color w:val="1C1C1C"/>
          <w:sz w:val="32"/>
          <w:szCs w:val="32"/>
        </w:rPr>
        <w:t>2021</w:t>
      </w:r>
      <w:r>
        <w:rPr>
          <w:rFonts w:hint="eastAsia" w:ascii="仿宋" w:hAnsi="仿宋" w:eastAsia="仿宋" w:cs="仿宋"/>
          <w:color w:val="1C1C1C"/>
          <w:sz w:val="32"/>
          <w:szCs w:val="32"/>
        </w:rPr>
        <w:t>年</w:t>
      </w:r>
      <w:r>
        <w:rPr>
          <w:rFonts w:ascii="仿宋" w:hAnsi="仿宋" w:eastAsia="仿宋" w:cs="仿宋"/>
          <w:color w:val="1C1C1C"/>
          <w:sz w:val="32"/>
          <w:szCs w:val="32"/>
        </w:rPr>
        <w:t>持续对全国100个城市进行测评</w:t>
      </w:r>
      <w:r>
        <w:rPr>
          <w:rFonts w:hint="eastAsia" w:ascii="仿宋" w:hAnsi="仿宋" w:eastAsia="仿宋" w:cs="仿宋"/>
          <w:color w:val="1C1C1C"/>
          <w:sz w:val="32"/>
          <w:szCs w:val="32"/>
        </w:rPr>
        <w:t>。消费者</w:t>
      </w:r>
      <w:r>
        <w:rPr>
          <w:rFonts w:ascii="仿宋" w:hAnsi="仿宋" w:eastAsia="仿宋" w:cs="仿宋"/>
          <w:color w:val="1C1C1C"/>
          <w:sz w:val="32"/>
          <w:szCs w:val="32"/>
        </w:rPr>
        <w:t>满意度综合得分</w:t>
      </w:r>
      <w:r>
        <w:rPr>
          <w:rFonts w:hint="eastAsia" w:ascii="仿宋" w:hAnsi="仿宋" w:eastAsia="仿宋" w:cs="仿宋"/>
          <w:color w:val="1C1C1C"/>
          <w:sz w:val="32"/>
          <w:szCs w:val="32"/>
        </w:rPr>
        <w:t>从2</w:t>
      </w:r>
      <w:r>
        <w:rPr>
          <w:rFonts w:ascii="仿宋" w:hAnsi="仿宋" w:eastAsia="仿宋" w:cs="仿宋"/>
          <w:color w:val="1C1C1C"/>
          <w:sz w:val="32"/>
          <w:szCs w:val="32"/>
        </w:rPr>
        <w:t>017</w:t>
      </w:r>
      <w:r>
        <w:rPr>
          <w:rFonts w:hint="eastAsia" w:ascii="仿宋" w:hAnsi="仿宋" w:eastAsia="仿宋" w:cs="仿宋"/>
          <w:color w:val="1C1C1C"/>
          <w:sz w:val="32"/>
          <w:szCs w:val="32"/>
        </w:rPr>
        <w:t>年的</w:t>
      </w:r>
      <w:r>
        <w:rPr>
          <w:rFonts w:ascii="仿宋" w:hAnsi="仿宋" w:eastAsia="仿宋" w:cs="仿宋"/>
          <w:color w:val="1C1C1C"/>
          <w:sz w:val="32"/>
          <w:szCs w:val="32"/>
        </w:rPr>
        <w:t>71.75分</w:t>
      </w:r>
      <w:r>
        <w:rPr>
          <w:rFonts w:hint="eastAsia" w:ascii="仿宋" w:hAnsi="仿宋" w:eastAsia="仿宋" w:cs="仿宋"/>
          <w:color w:val="1C1C1C"/>
          <w:sz w:val="32"/>
          <w:szCs w:val="32"/>
        </w:rPr>
        <w:t>、2</w:t>
      </w:r>
      <w:r>
        <w:rPr>
          <w:rFonts w:ascii="仿宋" w:hAnsi="仿宋" w:eastAsia="仿宋" w:cs="仿宋"/>
          <w:color w:val="1C1C1C"/>
          <w:sz w:val="32"/>
          <w:szCs w:val="32"/>
        </w:rPr>
        <w:t>018</w:t>
      </w:r>
      <w:r>
        <w:rPr>
          <w:rFonts w:hint="eastAsia" w:ascii="仿宋" w:hAnsi="仿宋" w:eastAsia="仿宋" w:cs="仿宋"/>
          <w:color w:val="1C1C1C"/>
          <w:sz w:val="32"/>
          <w:szCs w:val="32"/>
        </w:rPr>
        <w:t>年的</w:t>
      </w:r>
      <w:r>
        <w:rPr>
          <w:rFonts w:ascii="仿宋" w:hAnsi="仿宋" w:eastAsia="仿宋" w:cs="仿宋"/>
          <w:color w:val="1C1C1C"/>
          <w:sz w:val="32"/>
          <w:szCs w:val="32"/>
        </w:rPr>
        <w:t>73.68分</w:t>
      </w:r>
      <w:r>
        <w:rPr>
          <w:rFonts w:hint="eastAsia" w:ascii="仿宋" w:hAnsi="仿宋" w:eastAsia="仿宋" w:cs="仿宋"/>
          <w:color w:val="1C1C1C"/>
          <w:sz w:val="32"/>
          <w:szCs w:val="32"/>
        </w:rPr>
        <w:t>逐年攀升至</w:t>
      </w:r>
      <w:r>
        <w:rPr>
          <w:rFonts w:ascii="仿宋" w:hAnsi="仿宋" w:eastAsia="仿宋" w:cs="仿宋"/>
          <w:color w:val="1C1C1C"/>
          <w:sz w:val="32"/>
          <w:szCs w:val="32"/>
        </w:rPr>
        <w:t>2021年80.59分。综合来看，消费者满意度得分结果稳定向好，仍有一定提升空间。</w:t>
      </w:r>
    </w:p>
    <w:p>
      <w:pPr>
        <w:spacing w:line="60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为进一步促进消费持续恢复、激发消费潜力，持续助力营造安全、放心的消费环境，更好地反映消费者呼声诉求，发现消费环境建设中的短板弱项，促进消费提质扩容，提升消费者满意度和幸福感，中国消费者协会继续在全国范围内</w:t>
      </w:r>
      <w:r>
        <w:rPr>
          <w:rFonts w:ascii="仿宋" w:hAnsi="仿宋" w:eastAsia="仿宋" w:cs="仿宋"/>
          <w:color w:val="1C1C1C"/>
          <w:sz w:val="32"/>
          <w:szCs w:val="32"/>
        </w:rPr>
        <w:t>100个城市开展消费者满意度测评工作。</w:t>
      </w:r>
      <w:r>
        <w:rPr>
          <w:rFonts w:hint="eastAsia" w:ascii="仿宋" w:hAnsi="仿宋" w:eastAsia="仿宋" w:cs="仿宋"/>
          <w:color w:val="1C1C1C"/>
          <w:sz w:val="32"/>
          <w:szCs w:val="32"/>
        </w:rPr>
        <w:br w:type="page"/>
      </w:r>
    </w:p>
    <w:p>
      <w:pPr>
        <w:spacing w:line="600" w:lineRule="exact"/>
        <w:rPr>
          <w:rFonts w:ascii="方正小标宋简体" w:hAnsi="华文中宋" w:eastAsia="方正小标宋简体" w:cs="华文中宋"/>
          <w:bCs/>
          <w:color w:val="000000"/>
          <w:kern w:val="2"/>
          <w:sz w:val="40"/>
          <w:szCs w:val="36"/>
        </w:rPr>
      </w:pPr>
    </w:p>
    <w:p>
      <w:pPr>
        <w:pStyle w:val="2"/>
        <w:spacing w:before="326" w:beforeLines="100" w:after="326" w:afterLines="100"/>
        <w:jc w:val="center"/>
        <w:rPr>
          <w:rFonts w:ascii="方正小标宋简体" w:hAnsi="华文中宋" w:eastAsia="方正小标宋简体" w:cs="华文中宋"/>
          <w:b w:val="0"/>
          <w:bCs/>
          <w:sz w:val="40"/>
          <w:szCs w:val="36"/>
        </w:rPr>
      </w:pPr>
      <w:bookmarkStart w:id="3" w:name="_Toc13313"/>
      <w:r>
        <w:rPr>
          <w:rFonts w:hint="eastAsia" w:ascii="方正小标宋简体" w:hAnsi="华文中宋" w:eastAsia="方正小标宋简体" w:cs="华文中宋"/>
          <w:b w:val="0"/>
          <w:bCs/>
          <w:sz w:val="40"/>
          <w:szCs w:val="36"/>
        </w:rPr>
        <w:t>第二部分  消费者满意度测评实施说明</w:t>
      </w:r>
      <w:bookmarkEnd w:id="2"/>
      <w:bookmarkEnd w:id="3"/>
    </w:p>
    <w:p>
      <w:pPr>
        <w:ind w:firstLine="640" w:firstLineChars="200"/>
        <w:jc w:val="both"/>
        <w:rPr>
          <w:rFonts w:ascii="仿宋" w:hAnsi="仿宋" w:eastAsia="仿宋" w:cs="仿宋"/>
          <w:sz w:val="32"/>
          <w:szCs w:val="32"/>
        </w:rPr>
      </w:pPr>
      <w:r>
        <w:rPr>
          <w:rFonts w:hint="eastAsia" w:ascii="仿宋" w:hAnsi="仿宋" w:eastAsia="仿宋" w:cs="仿宋"/>
          <w:color w:val="1C1C1C"/>
          <w:sz w:val="32"/>
          <w:szCs w:val="32"/>
        </w:rPr>
        <w:t>中国消费者协会经过社会公开招标，委托第三方专业调查机构具体实施</w:t>
      </w:r>
      <w:r>
        <w:rPr>
          <w:rFonts w:ascii="仿宋" w:hAnsi="仿宋" w:eastAsia="仿宋" w:cs="仿宋"/>
          <w:color w:val="1C1C1C"/>
          <w:sz w:val="32"/>
          <w:szCs w:val="32"/>
        </w:rPr>
        <w:t>2022年100个城市消费者满意度调查工作，结合城市特点、疫情防控、消费者响应等特点制定了项目监理机制以保证调查质量。2022年度测评项目于10月</w:t>
      </w:r>
      <w:r>
        <w:rPr>
          <w:rFonts w:hint="eastAsia" w:ascii="仿宋" w:hAnsi="仿宋" w:eastAsia="仿宋" w:cs="仿宋"/>
          <w:color w:val="1C1C1C"/>
          <w:sz w:val="32"/>
          <w:szCs w:val="32"/>
          <w:lang w:val="en-US" w:eastAsia="zh-CN"/>
        </w:rPr>
        <w:t>中旬</w:t>
      </w:r>
      <w:r>
        <w:rPr>
          <w:rFonts w:ascii="仿宋" w:hAnsi="仿宋" w:eastAsia="仿宋" w:cs="仿宋"/>
          <w:color w:val="1C1C1C"/>
          <w:sz w:val="32"/>
          <w:szCs w:val="32"/>
        </w:rPr>
        <w:t>正式启动，于2022年10月至</w:t>
      </w:r>
      <w:r>
        <w:rPr>
          <w:rFonts w:hint="eastAsia" w:ascii="仿宋" w:hAnsi="仿宋" w:eastAsia="仿宋" w:cs="仿宋"/>
          <w:color w:val="1C1C1C"/>
          <w:sz w:val="32"/>
          <w:szCs w:val="32"/>
        </w:rPr>
        <w:t>12</w:t>
      </w:r>
      <w:r>
        <w:rPr>
          <w:rFonts w:ascii="仿宋" w:hAnsi="仿宋" w:eastAsia="仿宋" w:cs="仿宋"/>
          <w:color w:val="1C1C1C"/>
          <w:sz w:val="32"/>
          <w:szCs w:val="32"/>
        </w:rPr>
        <w:t>月完成具体调查实施工作。</w:t>
      </w:r>
      <w:r>
        <w:rPr>
          <w:rFonts w:hint="eastAsia" w:ascii="仿宋" w:hAnsi="仿宋" w:eastAsia="仿宋" w:cs="仿宋"/>
          <w:color w:val="1C1C1C"/>
          <w:sz w:val="32"/>
          <w:szCs w:val="32"/>
        </w:rPr>
        <w:t xml:space="preserve"> </w:t>
      </w:r>
    </w:p>
    <w:p>
      <w:pPr>
        <w:pStyle w:val="3"/>
        <w:ind w:firstLine="640" w:firstLineChars="200"/>
        <w:rPr>
          <w:rFonts w:ascii="黑体" w:hAnsi="黑体" w:eastAsia="黑体" w:cs="黑体"/>
          <w:b w:val="0"/>
          <w:bCs/>
          <w:i w:val="0"/>
          <w:iCs/>
          <w:sz w:val="32"/>
          <w:szCs w:val="28"/>
        </w:rPr>
      </w:pPr>
      <w:bookmarkStart w:id="4" w:name="_Toc62721747"/>
      <w:bookmarkStart w:id="5" w:name="_Toc31801"/>
      <w:r>
        <w:rPr>
          <w:rFonts w:hint="eastAsia" w:ascii="黑体" w:hAnsi="黑体" w:eastAsia="黑体" w:cs="黑体"/>
          <w:b w:val="0"/>
          <w:bCs/>
          <w:i w:val="0"/>
          <w:iCs/>
          <w:sz w:val="32"/>
          <w:szCs w:val="28"/>
        </w:rPr>
        <w:t>一、指标体系、权重及问卷设计</w:t>
      </w:r>
      <w:bookmarkEnd w:id="4"/>
      <w:bookmarkEnd w:id="5"/>
    </w:p>
    <w:p>
      <w:pPr>
        <w:spacing w:line="60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中国消费者协会综合考量满意度测评工作实际进展，参照各地的意见反馈，并通过专家论证会的形式对测评指标体系、权重及问卷进行再论证，为总体保持满意度测评指标体系和权重的科学性、稳定性和可比性，延用</w:t>
      </w:r>
      <w:r>
        <w:rPr>
          <w:rFonts w:ascii="仿宋" w:hAnsi="仿宋" w:eastAsia="仿宋" w:cs="仿宋"/>
          <w:color w:val="1C1C1C"/>
          <w:sz w:val="32"/>
          <w:szCs w:val="32"/>
        </w:rPr>
        <w:t>2021年城市消费者满意度指标体系、权重，并优化配套调查问卷。2022年指标体系由3个一级指标、16个二级指标和25个三级指标构成。</w:t>
      </w:r>
    </w:p>
    <w:p>
      <w:pPr>
        <w:spacing w:line="60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本报告将“消费者满意度”定义为：消费者购买商品或接受服务过程中，对消费供给、消费环境和消费维权的情绪反馈，是以百分制的形式测度出来的消费者主观评价。</w:t>
      </w:r>
    </w:p>
    <w:p>
      <w:pPr>
        <w:spacing w:line="600" w:lineRule="exact"/>
        <w:ind w:firstLine="640" w:firstLineChars="200"/>
        <w:jc w:val="both"/>
        <w:rPr>
          <w:rFonts w:ascii="仿宋" w:hAnsi="仿宋" w:eastAsia="仿宋" w:cs="仿宋"/>
          <w:color w:val="1C1C1C"/>
          <w:sz w:val="32"/>
          <w:szCs w:val="32"/>
        </w:rPr>
      </w:pPr>
      <w:r>
        <w:rPr>
          <w:rFonts w:ascii="仿宋" w:hAnsi="仿宋" w:eastAsia="仿宋" w:cs="仿宋"/>
          <w:color w:val="1C1C1C"/>
          <w:sz w:val="32"/>
          <w:szCs w:val="32"/>
        </w:rPr>
        <w:t>3个一级指标分别是“消费供给”“消费环境”和“消费维权”。其中，“消费供给”的含义是市场产品和服务供给的层次、效率和创新是否能够满足消费者的需求；“消费环境”的含义是消费者在消费过程中形成的消费感知、享受到的消费体验、与商家之间的友好关系是否能够满足消费者的需求；“消费维权”的含义是政府及有关部门、社会组织、经营者对消费者进行知识教育和权益保护的方式、效率、效能是否能够满足消费者的需求。</w:t>
      </w:r>
    </w:p>
    <w:p>
      <w:pPr>
        <w:spacing w:line="600" w:lineRule="exact"/>
        <w:ind w:firstLine="640" w:firstLineChars="200"/>
        <w:jc w:val="both"/>
        <w:rPr>
          <w:rFonts w:ascii="仿宋" w:hAnsi="仿宋" w:eastAsia="仿宋" w:cs="仿宋"/>
          <w:color w:val="1C1C1C"/>
          <w:sz w:val="32"/>
          <w:szCs w:val="32"/>
        </w:rPr>
      </w:pPr>
      <w:r>
        <w:rPr>
          <w:rFonts w:ascii="仿宋" w:hAnsi="仿宋" w:eastAsia="仿宋" w:cs="仿宋"/>
          <w:color w:val="1C1C1C"/>
          <w:sz w:val="32"/>
          <w:szCs w:val="32"/>
        </w:rPr>
        <w:t>2022年消费者满意度指标体系、各级指标的对应关系及权重详见下表1</w:t>
      </w:r>
      <w:r>
        <w:rPr>
          <w:rFonts w:hint="eastAsia" w:ascii="仿宋" w:hAnsi="仿宋" w:eastAsia="仿宋" w:cs="仿宋"/>
          <w:color w:val="1C1C1C"/>
          <w:sz w:val="32"/>
          <w:szCs w:val="32"/>
        </w:rPr>
        <w:t>。</w:t>
      </w:r>
    </w:p>
    <w:p>
      <w:pPr>
        <w:jc w:val="center"/>
        <w:rPr>
          <w:rFonts w:ascii="黑体" w:hAnsi="黑体" w:eastAsia="黑体" w:cs="黑体"/>
          <w:color w:val="1C1C1C"/>
          <w:sz w:val="28"/>
          <w:szCs w:val="28"/>
        </w:rPr>
      </w:pPr>
      <w:r>
        <w:rPr>
          <w:rFonts w:hint="eastAsia" w:ascii="黑体" w:hAnsi="黑体" w:eastAsia="黑体" w:cs="黑体"/>
          <w:color w:val="1C1C1C"/>
          <w:sz w:val="28"/>
          <w:szCs w:val="28"/>
        </w:rPr>
        <w:t>表1 202</w:t>
      </w:r>
      <w:r>
        <w:rPr>
          <w:rFonts w:ascii="黑体" w:hAnsi="黑体" w:eastAsia="黑体" w:cs="黑体"/>
          <w:color w:val="1C1C1C"/>
          <w:sz w:val="28"/>
          <w:szCs w:val="28"/>
        </w:rPr>
        <w:t>2</w:t>
      </w:r>
      <w:r>
        <w:rPr>
          <w:rFonts w:hint="eastAsia" w:ascii="黑体" w:hAnsi="黑体" w:eastAsia="黑体" w:cs="黑体"/>
          <w:color w:val="1C1C1C"/>
          <w:sz w:val="28"/>
          <w:szCs w:val="28"/>
        </w:rPr>
        <w:t>年消费者满意度指标体系及权重</w:t>
      </w:r>
    </w:p>
    <w:tbl>
      <w:tblPr>
        <w:tblStyle w:val="16"/>
        <w:tblW w:w="4998" w:type="pct"/>
        <w:jc w:val="center"/>
        <w:tblLayout w:type="autofit"/>
        <w:tblCellMar>
          <w:top w:w="0" w:type="dxa"/>
          <w:left w:w="0" w:type="dxa"/>
          <w:bottom w:w="0" w:type="dxa"/>
          <w:right w:w="0" w:type="dxa"/>
        </w:tblCellMar>
      </w:tblPr>
      <w:tblGrid>
        <w:gridCol w:w="1327"/>
        <w:gridCol w:w="1562"/>
        <w:gridCol w:w="1814"/>
        <w:gridCol w:w="1814"/>
        <w:gridCol w:w="1816"/>
      </w:tblGrid>
      <w:tr>
        <w:tblPrEx>
          <w:tblCellMar>
            <w:top w:w="0" w:type="dxa"/>
            <w:left w:w="0" w:type="dxa"/>
            <w:bottom w:w="0" w:type="dxa"/>
            <w:right w:w="0" w:type="dxa"/>
          </w:tblCellMar>
        </w:tblPrEx>
        <w:trPr>
          <w:trHeight w:val="340" w:hRule="exact"/>
          <w:jc w:val="center"/>
        </w:trPr>
        <w:tc>
          <w:tcPr>
            <w:tcW w:w="796" w:type="pct"/>
            <w:tcBorders>
              <w:top w:val="single" w:color="000000" w:sz="4" w:space="0"/>
              <w:left w:val="single" w:color="000000" w:sz="4" w:space="0"/>
              <w:bottom w:val="single" w:color="000000" w:sz="4" w:space="0"/>
              <w:right w:val="single" w:color="000000" w:sz="4" w:space="0"/>
            </w:tcBorders>
            <w:shd w:val="clear" w:color="auto" w:fill="4472C4" w:themeFill="accent5"/>
            <w:tcMar>
              <w:top w:w="15" w:type="dxa"/>
              <w:left w:w="15" w:type="dxa"/>
              <w:right w:w="15" w:type="dxa"/>
            </w:tcMar>
            <w:vAlign w:val="center"/>
          </w:tcPr>
          <w:p>
            <w:pPr>
              <w:jc w:val="center"/>
              <w:textAlignment w:val="center"/>
              <w:rPr>
                <w:rFonts w:asciiTheme="minorEastAsia" w:hAnsiTheme="minorEastAsia" w:eastAsiaTheme="minorEastAsia" w:cstheme="minorEastAsia"/>
                <w:b/>
                <w:color w:val="000000"/>
              </w:rPr>
            </w:pPr>
            <w:bookmarkStart w:id="6" w:name="_Toc62721748"/>
            <w:r>
              <w:rPr>
                <w:rFonts w:hint="eastAsia" w:asciiTheme="minorEastAsia" w:hAnsiTheme="minorEastAsia" w:eastAsiaTheme="minorEastAsia" w:cstheme="minorEastAsia"/>
                <w:b/>
                <w:color w:val="000000"/>
              </w:rPr>
              <w:t>一级指标</w:t>
            </w:r>
          </w:p>
        </w:tc>
        <w:tc>
          <w:tcPr>
            <w:tcW w:w="937" w:type="pct"/>
            <w:tcBorders>
              <w:top w:val="single" w:color="000000" w:sz="4" w:space="0"/>
              <w:left w:val="single" w:color="000000" w:sz="4" w:space="0"/>
              <w:bottom w:val="single" w:color="000000" w:sz="4" w:space="0"/>
              <w:right w:val="single" w:color="000000" w:sz="4" w:space="0"/>
            </w:tcBorders>
            <w:shd w:val="clear" w:color="auto" w:fill="4472C4" w:themeFill="accent5"/>
            <w:tcMar>
              <w:top w:w="15" w:type="dxa"/>
              <w:left w:w="15" w:type="dxa"/>
              <w:right w:w="15" w:type="dxa"/>
            </w:tcMar>
            <w:vAlign w:val="center"/>
          </w:tcPr>
          <w:p>
            <w:pPr>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rPr>
              <w:t>二级指标</w:t>
            </w:r>
          </w:p>
        </w:tc>
        <w:tc>
          <w:tcPr>
            <w:tcW w:w="1088" w:type="pct"/>
            <w:tcBorders>
              <w:top w:val="single" w:color="000000" w:sz="4" w:space="0"/>
              <w:left w:val="single" w:color="000000" w:sz="4" w:space="0"/>
              <w:bottom w:val="single" w:color="000000" w:sz="4" w:space="0"/>
              <w:right w:val="single" w:color="000000" w:sz="4" w:space="0"/>
            </w:tcBorders>
            <w:shd w:val="clear" w:color="auto" w:fill="4472C4" w:themeFill="accent5"/>
            <w:tcMar>
              <w:top w:w="15" w:type="dxa"/>
              <w:left w:w="15" w:type="dxa"/>
              <w:right w:w="15" w:type="dxa"/>
            </w:tcMar>
            <w:vAlign w:val="center"/>
          </w:tcPr>
          <w:p>
            <w:pPr>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rPr>
              <w:t>权重</w:t>
            </w:r>
          </w:p>
        </w:tc>
        <w:tc>
          <w:tcPr>
            <w:tcW w:w="1088" w:type="pct"/>
            <w:tcBorders>
              <w:top w:val="single" w:color="000000" w:sz="4" w:space="0"/>
              <w:left w:val="single" w:color="000000" w:sz="4" w:space="0"/>
              <w:bottom w:val="single" w:color="000000" w:sz="4" w:space="0"/>
              <w:right w:val="single" w:color="000000" w:sz="4" w:space="0"/>
            </w:tcBorders>
            <w:shd w:val="clear" w:color="auto" w:fill="4472C4" w:themeFill="accent5"/>
            <w:tcMar>
              <w:top w:w="15" w:type="dxa"/>
              <w:left w:w="15" w:type="dxa"/>
              <w:right w:w="15" w:type="dxa"/>
            </w:tcMar>
            <w:vAlign w:val="center"/>
          </w:tcPr>
          <w:p>
            <w:pPr>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rPr>
              <w:t>三级指标</w:t>
            </w:r>
          </w:p>
        </w:tc>
        <w:tc>
          <w:tcPr>
            <w:tcW w:w="1089" w:type="pct"/>
            <w:tcBorders>
              <w:top w:val="single" w:color="000000" w:sz="4" w:space="0"/>
              <w:left w:val="single" w:color="000000" w:sz="4" w:space="0"/>
              <w:bottom w:val="single" w:color="000000" w:sz="4" w:space="0"/>
              <w:right w:val="single" w:color="000000" w:sz="4" w:space="0"/>
            </w:tcBorders>
            <w:shd w:val="clear" w:color="auto" w:fill="4472C4" w:themeFill="accent5"/>
            <w:tcMar>
              <w:top w:w="15" w:type="dxa"/>
              <w:left w:w="15" w:type="dxa"/>
              <w:right w:w="15" w:type="dxa"/>
            </w:tcMar>
            <w:vAlign w:val="center"/>
          </w:tcPr>
          <w:p>
            <w:pPr>
              <w:jc w:val="center"/>
              <w:textAlignment w:val="center"/>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rPr>
              <w:t>权重</w:t>
            </w:r>
          </w:p>
        </w:tc>
      </w:tr>
      <w:tr>
        <w:tblPrEx>
          <w:tblCellMar>
            <w:top w:w="0" w:type="dxa"/>
            <w:left w:w="0" w:type="dxa"/>
            <w:bottom w:w="0" w:type="dxa"/>
            <w:right w:w="0" w:type="dxa"/>
          </w:tblCellMar>
        </w:tblPrEx>
        <w:trPr>
          <w:trHeight w:val="340" w:hRule="exact"/>
          <w:jc w:val="center"/>
        </w:trPr>
        <w:tc>
          <w:tcPr>
            <w:tcW w:w="796"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消费供给</w:t>
            </w:r>
          </w:p>
          <w:p>
            <w:pPr>
              <w:jc w:val="center"/>
              <w:textAlignment w:val="center"/>
              <w:rPr>
                <w:rFonts w:ascii="仿宋" w:hAnsi="仿宋" w:eastAsia="仿宋" w:cs="仿宋"/>
                <w:bCs/>
                <w:color w:val="000000"/>
              </w:rPr>
            </w:pPr>
            <w:r>
              <w:rPr>
                <w:rFonts w:hint="eastAsia" w:ascii="仿宋" w:hAnsi="仿宋" w:eastAsia="仿宋" w:cs="仿宋"/>
                <w:bCs/>
                <w:color w:val="000000"/>
              </w:rPr>
              <w:t>（0.132）</w:t>
            </w:r>
          </w:p>
        </w:tc>
        <w:tc>
          <w:tcPr>
            <w:tcW w:w="93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供给丰富性</w:t>
            </w:r>
          </w:p>
        </w:tc>
        <w:tc>
          <w:tcPr>
            <w:tcW w:w="181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0.0447</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种类丰富性</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0.02235</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替代产品丰富性</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0.02235</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供给便利性</w:t>
            </w:r>
          </w:p>
        </w:tc>
        <w:tc>
          <w:tcPr>
            <w:tcW w:w="181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0.0518</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分布合理</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0.0183</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物流便利</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0.0157</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公共基础设施完善</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0.0178</w:t>
            </w:r>
          </w:p>
        </w:tc>
      </w:tr>
      <w:tr>
        <w:trPr>
          <w:trHeight w:val="340" w:hRule="exact"/>
          <w:jc w:val="center"/>
        </w:trPr>
        <w:tc>
          <w:tcPr>
            <w:tcW w:w="796"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供给创新性</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0.0355</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供给创新性</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0.0355</w:t>
            </w:r>
          </w:p>
        </w:tc>
      </w:tr>
      <w:tr>
        <w:tblPrEx>
          <w:tblCellMar>
            <w:top w:w="0" w:type="dxa"/>
            <w:left w:w="0" w:type="dxa"/>
            <w:bottom w:w="0" w:type="dxa"/>
            <w:right w:w="0" w:type="dxa"/>
          </w:tblCellMar>
        </w:tblPrEx>
        <w:trPr>
          <w:trHeight w:val="340" w:hRule="exact"/>
          <w:jc w:val="center"/>
        </w:trPr>
        <w:tc>
          <w:tcPr>
            <w:tcW w:w="796"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消费环境</w:t>
            </w:r>
          </w:p>
          <w:p>
            <w:pPr>
              <w:jc w:val="center"/>
              <w:textAlignment w:val="center"/>
              <w:rPr>
                <w:rFonts w:ascii="仿宋" w:hAnsi="仿宋" w:eastAsia="仿宋" w:cs="仿宋"/>
                <w:bCs/>
                <w:color w:val="000000"/>
              </w:rPr>
            </w:pPr>
            <w:r>
              <w:rPr>
                <w:rFonts w:hint="eastAsia" w:ascii="仿宋" w:hAnsi="仿宋" w:eastAsia="仿宋" w:cs="仿宋"/>
                <w:bCs/>
                <w:color w:val="000000"/>
              </w:rPr>
              <w:t>（0.6375）</w:t>
            </w:r>
          </w:p>
        </w:tc>
        <w:tc>
          <w:tcPr>
            <w:tcW w:w="93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质量水平</w:t>
            </w:r>
          </w:p>
        </w:tc>
        <w:tc>
          <w:tcPr>
            <w:tcW w:w="181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0.0787</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货品真实</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0.039</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商品或服务质量</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0.0397</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服务水平</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0.0746</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服务水平</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0.0746</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消费设施</w:t>
            </w:r>
          </w:p>
        </w:tc>
        <w:tc>
          <w:tcPr>
            <w:tcW w:w="181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0.0721</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安全性</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0.0378</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舒适性</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0.0343</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价格合理</w:t>
            </w:r>
          </w:p>
        </w:tc>
        <w:tc>
          <w:tcPr>
            <w:tcW w:w="181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0.0712</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价格公道</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0.0356</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明码标价</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0.0356</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信息真实</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0.0529</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信息真实</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0.0529</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售后保障</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0.0679</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售后保障</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0.0679</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商家信任度</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0.0642</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商家信任度</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0.0642</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交易安全</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0.0636</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交易安全</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0.0636</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消费知情权</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0.0473</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消费知情权</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0.0473</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消费自主选择权</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0.045</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消费自主选择权</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0.045</w:t>
            </w:r>
          </w:p>
        </w:tc>
      </w:tr>
      <w:tr>
        <w:tblPrEx>
          <w:tblCellMar>
            <w:top w:w="0" w:type="dxa"/>
            <w:left w:w="0" w:type="dxa"/>
            <w:bottom w:w="0" w:type="dxa"/>
            <w:right w:w="0" w:type="dxa"/>
          </w:tblCellMar>
        </w:tblPrEx>
        <w:trPr>
          <w:trHeight w:val="340" w:hRule="exact"/>
          <w:jc w:val="center"/>
        </w:trPr>
        <w:tc>
          <w:tcPr>
            <w:tcW w:w="796"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消费维权</w:t>
            </w:r>
          </w:p>
          <w:p>
            <w:pPr>
              <w:jc w:val="center"/>
              <w:textAlignment w:val="center"/>
              <w:rPr>
                <w:rFonts w:ascii="仿宋" w:hAnsi="仿宋" w:eastAsia="仿宋" w:cs="仿宋"/>
                <w:bCs/>
                <w:color w:val="000000"/>
              </w:rPr>
            </w:pPr>
            <w:r>
              <w:rPr>
                <w:rFonts w:hint="eastAsia" w:ascii="仿宋" w:hAnsi="仿宋" w:eastAsia="仿宋" w:cs="仿宋"/>
                <w:bCs/>
                <w:color w:val="000000"/>
              </w:rPr>
              <w:t>（0.2305）</w:t>
            </w:r>
          </w:p>
        </w:tc>
        <w:tc>
          <w:tcPr>
            <w:tcW w:w="93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权益保护</w:t>
            </w:r>
          </w:p>
        </w:tc>
        <w:tc>
          <w:tcPr>
            <w:tcW w:w="181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0.0696</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维权渠道</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0.0219</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维权效率</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0.0235</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维权结果</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0.0242</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消费宣传</w:t>
            </w:r>
          </w:p>
        </w:tc>
        <w:tc>
          <w:tcPr>
            <w:tcW w:w="181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0.0738</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消费警示提示</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0.0374</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消费知识法制宣传</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0.0364</w:t>
            </w:r>
          </w:p>
        </w:tc>
      </w:tr>
      <w:tr>
        <w:tblPrEx>
          <w:tblCellMar>
            <w:top w:w="0" w:type="dxa"/>
            <w:left w:w="0" w:type="dxa"/>
            <w:bottom w:w="0" w:type="dxa"/>
            <w:right w:w="0" w:type="dxa"/>
          </w:tblCellMar>
        </w:tblPrEx>
        <w:trPr>
          <w:trHeight w:val="340" w:hRule="exact"/>
          <w:jc w:val="center"/>
        </w:trPr>
        <w:tc>
          <w:tcPr>
            <w:tcW w:w="796"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0.0871</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bCs/>
                <w:color w:val="000000"/>
              </w:rPr>
              <w:t>消费执法</w:t>
            </w:r>
          </w:p>
        </w:tc>
        <w:tc>
          <w:tcPr>
            <w:tcW w:w="10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仿宋"/>
                <w:bCs/>
                <w:color w:val="000000"/>
              </w:rPr>
            </w:pPr>
            <w:r>
              <w:rPr>
                <w:rFonts w:hint="eastAsia" w:ascii="仿宋" w:hAnsi="仿宋" w:eastAsia="仿宋" w:cs="仿宋"/>
                <w:color w:val="000000"/>
                <w:lang w:bidi="ar"/>
              </w:rPr>
              <w:t>0.0871</w:t>
            </w:r>
          </w:p>
        </w:tc>
      </w:tr>
    </w:tbl>
    <w:p>
      <w:pPr>
        <w:pStyle w:val="3"/>
        <w:ind w:firstLine="640" w:firstLineChars="200"/>
        <w:rPr>
          <w:rFonts w:ascii="黑体" w:hAnsi="黑体" w:eastAsia="黑体" w:cs="黑体"/>
          <w:b w:val="0"/>
          <w:bCs/>
          <w:i w:val="0"/>
          <w:iCs/>
          <w:sz w:val="32"/>
          <w:szCs w:val="28"/>
        </w:rPr>
      </w:pPr>
      <w:bookmarkStart w:id="7" w:name="_Toc9421"/>
      <w:r>
        <w:rPr>
          <w:rFonts w:hint="eastAsia" w:ascii="黑体" w:hAnsi="黑体" w:eastAsia="黑体" w:cs="黑体"/>
          <w:b w:val="0"/>
          <w:bCs/>
          <w:i w:val="0"/>
          <w:iCs/>
          <w:sz w:val="32"/>
          <w:szCs w:val="28"/>
        </w:rPr>
        <w:t>二、城市选取与样本量设计</w:t>
      </w:r>
      <w:bookmarkEnd w:id="6"/>
      <w:bookmarkEnd w:id="7"/>
    </w:p>
    <w:p>
      <w:pPr>
        <w:ind w:firstLine="640" w:firstLineChars="200"/>
        <w:jc w:val="both"/>
        <w:rPr>
          <w:rFonts w:ascii="仿宋" w:hAnsi="仿宋" w:eastAsia="仿宋" w:cs="仿宋"/>
          <w:sz w:val="32"/>
          <w:szCs w:val="32"/>
        </w:rPr>
      </w:pPr>
      <w:r>
        <w:rPr>
          <w:rFonts w:hint="eastAsia" w:ascii="仿宋" w:hAnsi="仿宋" w:eastAsia="仿宋" w:cs="仿宋"/>
          <w:sz w:val="32"/>
          <w:szCs w:val="32"/>
        </w:rPr>
        <w:t>2022年消费者满意度测评城市数量为</w:t>
      </w:r>
      <w:r>
        <w:rPr>
          <w:rFonts w:ascii="仿宋" w:hAnsi="仿宋" w:eastAsia="仿宋" w:cs="仿宋"/>
          <w:sz w:val="32"/>
          <w:szCs w:val="32"/>
        </w:rPr>
        <w:t>100个，包括27</w:t>
      </w:r>
      <w:r>
        <w:rPr>
          <w:rFonts w:hint="eastAsia" w:ascii="仿宋" w:hAnsi="仿宋" w:eastAsia="仿宋" w:cs="仿宋"/>
          <w:sz w:val="32"/>
          <w:szCs w:val="32"/>
        </w:rPr>
        <w:t>个省会城市（含首府城市，以下同）、</w:t>
      </w:r>
      <w:r>
        <w:rPr>
          <w:rFonts w:ascii="仿宋" w:hAnsi="仿宋" w:eastAsia="仿宋" w:cs="仿宋"/>
          <w:sz w:val="32"/>
          <w:szCs w:val="32"/>
        </w:rPr>
        <w:t>4</w:t>
      </w:r>
      <w:r>
        <w:rPr>
          <w:rFonts w:hint="eastAsia" w:ascii="仿宋" w:hAnsi="仿宋" w:eastAsia="仿宋" w:cs="仿宋"/>
          <w:sz w:val="32"/>
          <w:szCs w:val="32"/>
        </w:rPr>
        <w:t>个直辖市、</w:t>
      </w:r>
      <w:r>
        <w:rPr>
          <w:rFonts w:ascii="仿宋" w:hAnsi="仿宋" w:eastAsia="仿宋" w:cs="仿宋"/>
          <w:sz w:val="32"/>
          <w:szCs w:val="32"/>
        </w:rPr>
        <w:t>5</w:t>
      </w:r>
      <w:r>
        <w:rPr>
          <w:rFonts w:hint="eastAsia" w:ascii="仿宋" w:hAnsi="仿宋" w:eastAsia="仿宋" w:cs="仿宋"/>
          <w:sz w:val="32"/>
          <w:szCs w:val="32"/>
        </w:rPr>
        <w:t>个计划单列市和</w:t>
      </w:r>
      <w:r>
        <w:rPr>
          <w:rFonts w:ascii="仿宋" w:hAnsi="仿宋" w:eastAsia="仿宋" w:cs="仿宋"/>
          <w:sz w:val="32"/>
          <w:szCs w:val="32"/>
        </w:rPr>
        <w:t>64</w:t>
      </w:r>
      <w:r>
        <w:rPr>
          <w:rFonts w:hint="eastAsia" w:ascii="仿宋" w:hAnsi="仿宋" w:eastAsia="仿宋" w:cs="仿宋"/>
          <w:sz w:val="32"/>
          <w:szCs w:val="32"/>
        </w:rPr>
        <w:t>个地级市（州），测评范围与2021年保持一致。</w:t>
      </w:r>
    </w:p>
    <w:p>
      <w:pPr>
        <w:ind w:firstLine="640" w:firstLineChars="200"/>
        <w:jc w:val="both"/>
        <w:rPr>
          <w:rFonts w:ascii="仿宋" w:hAnsi="仿宋" w:eastAsia="仿宋" w:cs="仿宋"/>
          <w:spacing w:val="-4"/>
          <w:sz w:val="32"/>
          <w:szCs w:val="32"/>
        </w:rPr>
      </w:pPr>
      <w:r>
        <w:rPr>
          <w:rFonts w:hint="eastAsia" w:ascii="仿宋" w:hAnsi="仿宋" w:eastAsia="仿宋" w:cs="仿宋"/>
          <w:sz w:val="32"/>
          <w:szCs w:val="32"/>
        </w:rPr>
        <w:t>一般来说，测评城市确定之后，应该基于各城市的异质性确定样本量</w:t>
      </w:r>
      <w:r>
        <w:rPr>
          <w:rFonts w:hint="eastAsia" w:ascii="仿宋" w:hAnsi="仿宋" w:eastAsia="仿宋" w:cs="仿宋"/>
          <w:spacing w:val="-4"/>
          <w:sz w:val="32"/>
          <w:szCs w:val="32"/>
        </w:rPr>
        <w:t>，即异质性越大，所需调查样本则越多。调查中不同城市的异质性可以考虑各城市人均消费的标准差或各城市恩格尔系数等，但是目前掌握所有地级市的相应数据较为困难，因此本次测评对样本量的确定方法做出了适当调整。</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2022年测评</w:t>
      </w:r>
      <w:r>
        <w:rPr>
          <w:rFonts w:ascii="仿宋" w:hAnsi="仿宋" w:eastAsia="仿宋" w:cs="仿宋"/>
          <w:sz w:val="32"/>
          <w:szCs w:val="32"/>
        </w:rPr>
        <w:t>采用按比例分配的方式确定样本量，即根据不同</w:t>
      </w:r>
      <w:r>
        <w:rPr>
          <w:rFonts w:hint="eastAsia" w:ascii="仿宋" w:hAnsi="仿宋" w:eastAsia="仿宋" w:cs="仿宋"/>
          <w:sz w:val="32"/>
          <w:szCs w:val="32"/>
        </w:rPr>
        <w:t>城市人口规模占</w:t>
      </w:r>
      <w:r>
        <w:rPr>
          <w:rFonts w:ascii="仿宋" w:hAnsi="仿宋" w:eastAsia="仿宋" w:cs="仿宋"/>
          <w:sz w:val="32"/>
          <w:szCs w:val="32"/>
        </w:rPr>
        <w:t>100</w:t>
      </w:r>
      <w:r>
        <w:rPr>
          <w:rFonts w:hint="eastAsia" w:ascii="仿宋" w:hAnsi="仿宋" w:eastAsia="仿宋" w:cs="仿宋"/>
          <w:sz w:val="32"/>
          <w:szCs w:val="32"/>
        </w:rPr>
        <w:t>个城市的总人口比例确定各城市的样本量，从而使所有城市的样本以相同概率入样，再结合辖区社区分布、疫情防控等因素对部分城市进行微调。</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2022年测评工作实际完成</w:t>
      </w:r>
      <w:r>
        <w:rPr>
          <w:rFonts w:hint="eastAsia" w:ascii="仿宋" w:hAnsi="仿宋" w:eastAsia="仿宋" w:cs="仿宋"/>
          <w:b/>
          <w:sz w:val="32"/>
          <w:szCs w:val="32"/>
        </w:rPr>
        <w:t>6</w:t>
      </w:r>
      <w:r>
        <w:rPr>
          <w:rFonts w:ascii="仿宋" w:hAnsi="仿宋" w:eastAsia="仿宋" w:cs="仿宋"/>
          <w:b/>
          <w:sz w:val="32"/>
          <w:szCs w:val="32"/>
        </w:rPr>
        <w:t>1930</w:t>
      </w:r>
      <w:r>
        <w:rPr>
          <w:rFonts w:hint="eastAsia" w:ascii="仿宋" w:hAnsi="仿宋" w:eastAsia="仿宋" w:cs="仿宋"/>
          <w:sz w:val="32"/>
          <w:szCs w:val="32"/>
        </w:rPr>
        <w:t>个样本。各城市样本量分布如下表2所示。</w:t>
      </w:r>
    </w:p>
    <w:p>
      <w:pPr>
        <w:jc w:val="center"/>
        <w:rPr>
          <w:rFonts w:ascii="黑体" w:hAnsi="黑体" w:eastAsia="黑体" w:cs="黑体"/>
          <w:sz w:val="28"/>
          <w:szCs w:val="28"/>
        </w:rPr>
      </w:pPr>
      <w:r>
        <w:rPr>
          <w:rFonts w:hint="eastAsia" w:ascii="黑体" w:hAnsi="黑体" w:eastAsia="黑体" w:cs="黑体"/>
          <w:sz w:val="28"/>
          <w:szCs w:val="28"/>
        </w:rPr>
        <w:t xml:space="preserve">表2 </w:t>
      </w:r>
      <w:r>
        <w:rPr>
          <w:rFonts w:hint="eastAsia" w:ascii="黑体" w:hAnsi="黑体" w:eastAsia="黑体" w:cs="黑体"/>
          <w:color w:val="1C1C1C"/>
          <w:sz w:val="28"/>
          <w:szCs w:val="28"/>
        </w:rPr>
        <w:t>202</w:t>
      </w:r>
      <w:r>
        <w:rPr>
          <w:rFonts w:ascii="黑体" w:hAnsi="黑体" w:eastAsia="黑体" w:cs="黑体"/>
          <w:color w:val="1C1C1C"/>
          <w:sz w:val="28"/>
          <w:szCs w:val="28"/>
        </w:rPr>
        <w:t>2</w:t>
      </w:r>
      <w:r>
        <w:rPr>
          <w:rFonts w:hint="eastAsia" w:ascii="黑体" w:hAnsi="黑体" w:eastAsia="黑体" w:cs="黑体"/>
          <w:color w:val="1C1C1C"/>
          <w:sz w:val="28"/>
          <w:szCs w:val="28"/>
        </w:rPr>
        <w:t>年消费者满意度调查城市名单及实际样本量</w:t>
      </w:r>
    </w:p>
    <w:tbl>
      <w:tblPr>
        <w:tblStyle w:val="16"/>
        <w:tblW w:w="4998" w:type="pct"/>
        <w:tblInd w:w="0" w:type="dxa"/>
        <w:tblLayout w:type="autofit"/>
        <w:tblCellMar>
          <w:top w:w="0" w:type="dxa"/>
          <w:left w:w="0" w:type="dxa"/>
          <w:bottom w:w="0" w:type="dxa"/>
          <w:right w:w="0" w:type="dxa"/>
        </w:tblCellMar>
      </w:tblPr>
      <w:tblGrid>
        <w:gridCol w:w="929"/>
        <w:gridCol w:w="2052"/>
        <w:gridCol w:w="2032"/>
        <w:gridCol w:w="1790"/>
        <w:gridCol w:w="1530"/>
      </w:tblGrid>
      <w:tr>
        <w:tblPrEx>
          <w:tblCellMar>
            <w:top w:w="0" w:type="dxa"/>
            <w:left w:w="0" w:type="dxa"/>
            <w:bottom w:w="0" w:type="dxa"/>
            <w:right w:w="0" w:type="dxa"/>
          </w:tblCellMar>
        </w:tblPrEx>
        <w:trPr>
          <w:trHeight w:val="357" w:hRule="atLeast"/>
          <w:tblHeader/>
        </w:trPr>
        <w:tc>
          <w:tcPr>
            <w:tcW w:w="557" w:type="pct"/>
            <w:tcBorders>
              <w:top w:val="single" w:color="000000" w:sz="8" w:space="0"/>
              <w:left w:val="single" w:color="000000" w:sz="8" w:space="0"/>
              <w:bottom w:val="single" w:color="000000" w:sz="8" w:space="0"/>
              <w:right w:val="single" w:color="000000" w:sz="8" w:space="0"/>
            </w:tcBorders>
            <w:shd w:val="clear" w:color="auto" w:fill="4472C4" w:themeFill="accent5"/>
            <w:tcMar>
              <w:top w:w="15" w:type="dxa"/>
              <w:left w:w="15" w:type="dxa"/>
              <w:right w:w="15" w:type="dxa"/>
            </w:tcMar>
            <w:vAlign w:val="center"/>
          </w:tcPr>
          <w:p>
            <w:pPr>
              <w:jc w:val="center"/>
              <w:textAlignment w:val="center"/>
              <w:rPr>
                <w:b/>
                <w:color w:val="000000"/>
              </w:rPr>
            </w:pPr>
            <w:r>
              <w:rPr>
                <w:rFonts w:hint="eastAsia"/>
                <w:b/>
                <w:color w:val="000000"/>
              </w:rPr>
              <w:t>序号</w:t>
            </w:r>
          </w:p>
        </w:tc>
        <w:tc>
          <w:tcPr>
            <w:tcW w:w="1231" w:type="pct"/>
            <w:tcBorders>
              <w:top w:val="single" w:color="000000" w:sz="8" w:space="0"/>
              <w:left w:val="nil"/>
              <w:bottom w:val="single" w:color="000000" w:sz="8" w:space="0"/>
              <w:right w:val="single" w:color="000000" w:sz="8" w:space="0"/>
            </w:tcBorders>
            <w:shd w:val="clear" w:color="auto" w:fill="4472C4" w:themeFill="accent5"/>
            <w:tcMar>
              <w:top w:w="15" w:type="dxa"/>
              <w:left w:w="15" w:type="dxa"/>
              <w:right w:w="15" w:type="dxa"/>
            </w:tcMar>
            <w:vAlign w:val="center"/>
          </w:tcPr>
          <w:p>
            <w:pPr>
              <w:jc w:val="center"/>
              <w:textAlignment w:val="center"/>
              <w:rPr>
                <w:b/>
                <w:color w:val="000000"/>
              </w:rPr>
            </w:pPr>
            <w:r>
              <w:rPr>
                <w:rFonts w:hint="eastAsia"/>
                <w:b/>
                <w:color w:val="000000"/>
              </w:rPr>
              <w:t>省份</w:t>
            </w:r>
          </w:p>
        </w:tc>
        <w:tc>
          <w:tcPr>
            <w:tcW w:w="1219" w:type="pct"/>
            <w:tcBorders>
              <w:top w:val="single" w:color="000000" w:sz="8" w:space="0"/>
              <w:left w:val="nil"/>
              <w:bottom w:val="single" w:color="000000" w:sz="8" w:space="0"/>
              <w:right w:val="single" w:color="000000" w:sz="8" w:space="0"/>
            </w:tcBorders>
            <w:shd w:val="clear" w:color="auto" w:fill="4472C4" w:themeFill="accent5"/>
            <w:tcMar>
              <w:top w:w="15" w:type="dxa"/>
              <w:left w:w="15" w:type="dxa"/>
              <w:right w:w="15" w:type="dxa"/>
            </w:tcMar>
            <w:vAlign w:val="center"/>
          </w:tcPr>
          <w:p>
            <w:pPr>
              <w:jc w:val="center"/>
              <w:textAlignment w:val="center"/>
              <w:rPr>
                <w:b/>
                <w:color w:val="000000"/>
              </w:rPr>
            </w:pPr>
            <w:r>
              <w:rPr>
                <w:rFonts w:hint="eastAsia"/>
                <w:b/>
                <w:color w:val="000000"/>
              </w:rPr>
              <w:t>城市</w:t>
            </w:r>
          </w:p>
        </w:tc>
        <w:tc>
          <w:tcPr>
            <w:tcW w:w="1074" w:type="pct"/>
            <w:tcBorders>
              <w:top w:val="single" w:color="000000" w:sz="8" w:space="0"/>
              <w:left w:val="nil"/>
              <w:bottom w:val="single" w:color="000000" w:sz="8" w:space="0"/>
              <w:right w:val="single" w:color="000000" w:sz="8" w:space="0"/>
            </w:tcBorders>
            <w:shd w:val="clear" w:color="auto" w:fill="4472C4" w:themeFill="accent5"/>
            <w:tcMar>
              <w:top w:w="15" w:type="dxa"/>
              <w:left w:w="15" w:type="dxa"/>
              <w:right w:w="15" w:type="dxa"/>
            </w:tcMar>
            <w:vAlign w:val="center"/>
          </w:tcPr>
          <w:p>
            <w:pPr>
              <w:jc w:val="center"/>
              <w:textAlignment w:val="center"/>
              <w:rPr>
                <w:b/>
                <w:color w:val="000000"/>
              </w:rPr>
            </w:pPr>
            <w:r>
              <w:rPr>
                <w:rFonts w:hint="eastAsia"/>
                <w:b/>
                <w:color w:val="000000"/>
              </w:rPr>
              <w:t>行政级别</w:t>
            </w:r>
          </w:p>
        </w:tc>
        <w:tc>
          <w:tcPr>
            <w:tcW w:w="918" w:type="pct"/>
            <w:tcBorders>
              <w:top w:val="single" w:color="000000" w:sz="8" w:space="0"/>
              <w:left w:val="nil"/>
              <w:bottom w:val="single" w:color="000000" w:sz="8" w:space="0"/>
              <w:right w:val="single" w:color="000000" w:sz="8" w:space="0"/>
            </w:tcBorders>
            <w:shd w:val="clear" w:color="auto" w:fill="4472C4" w:themeFill="accent5"/>
            <w:tcMar>
              <w:top w:w="15" w:type="dxa"/>
              <w:left w:w="15" w:type="dxa"/>
              <w:right w:w="15" w:type="dxa"/>
            </w:tcMar>
            <w:vAlign w:val="center"/>
          </w:tcPr>
          <w:p>
            <w:pPr>
              <w:jc w:val="center"/>
              <w:textAlignment w:val="center"/>
              <w:rPr>
                <w:b/>
                <w:color w:val="000000"/>
              </w:rPr>
            </w:pPr>
            <w:r>
              <w:rPr>
                <w:rFonts w:hint="eastAsia"/>
                <w:b/>
                <w:color w:val="000000"/>
              </w:rPr>
              <w:t>实际样本量</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w:t>
            </w:r>
          </w:p>
        </w:tc>
        <w:tc>
          <w:tcPr>
            <w:tcW w:w="12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北京市</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北京市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直辖市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1387</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w:t>
            </w:r>
          </w:p>
        </w:tc>
        <w:tc>
          <w:tcPr>
            <w:tcW w:w="12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天津市</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天津市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直辖市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904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河北省</w:t>
            </w:r>
          </w:p>
          <w:p>
            <w:pPr>
              <w:jc w:val="center"/>
              <w:textAlignment w:val="center"/>
              <w:rPr>
                <w:rFonts w:ascii="仿宋" w:hAnsi="仿宋" w:eastAsia="仿宋" w:cs="仿宋"/>
                <w:color w:val="000000"/>
              </w:rPr>
            </w:pPr>
            <w:r>
              <w:rPr>
                <w:rFonts w:hint="eastAsia" w:ascii="仿宋" w:hAnsi="仿宋" w:eastAsia="仿宋" w:cs="仿宋"/>
                <w:color w:val="000000"/>
              </w:rPr>
              <w:t>（4）</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石家庄市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652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唐山市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563</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邯郸市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655</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保定市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588</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山西省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太原市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521</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大同市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559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运城市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527</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10</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内蒙古自治区</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rPr>
            </w:pPr>
            <w:r>
              <w:rPr>
                <w:rFonts w:hint="eastAsia" w:ascii="仿宋" w:hAnsi="仿宋" w:eastAsia="仿宋" w:cs="仿宋"/>
              </w:rPr>
              <w:t>呼和浩特市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rPr>
            </w:pPr>
            <w:r>
              <w:rPr>
                <w:rFonts w:hint="eastAsia" w:ascii="仿宋" w:hAnsi="仿宋" w:eastAsia="仿宋" w:cs="仿宋"/>
              </w:rPr>
              <w:t>首府城市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531</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11</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包头市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505</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12</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鄂尔多斯市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502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13</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辽宁省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沈阳市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704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14</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大连市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计划单列市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513</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15</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鞍山市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501</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16</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吉林省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长春市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17</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吉林市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18</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松原市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516</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19</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黑龙江省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哈尔滨市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714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20</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齐齐哈尔市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517</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21</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大庆市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510</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22</w:t>
            </w:r>
          </w:p>
        </w:tc>
        <w:tc>
          <w:tcPr>
            <w:tcW w:w="12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上海市</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上海市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直辖市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1587</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23</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江苏省</w:t>
            </w:r>
          </w:p>
          <w:p>
            <w:pPr>
              <w:jc w:val="center"/>
              <w:textAlignment w:val="center"/>
              <w:rPr>
                <w:rFonts w:ascii="仿宋" w:hAnsi="仿宋" w:eastAsia="仿宋" w:cs="仿宋"/>
                <w:color w:val="000000"/>
              </w:rPr>
            </w:pPr>
            <w:r>
              <w:rPr>
                <w:rFonts w:hint="eastAsia" w:ascii="仿宋" w:hAnsi="仿宋" w:eastAsia="仿宋" w:cs="仿宋"/>
                <w:color w:val="000000"/>
              </w:rPr>
              <w:t>（7）</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南京市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836</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24</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无锡市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564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25</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徐州市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574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26</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常州</w:t>
            </w:r>
            <w:r>
              <w:rPr>
                <w:rFonts w:hint="eastAsia" w:ascii="仿宋" w:hAnsi="仿宋" w:eastAsia="仿宋" w:cs="仿宋"/>
                <w:color w:val="000000"/>
              </w:rPr>
              <w:t>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549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27</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苏州</w:t>
            </w:r>
            <w:r>
              <w:rPr>
                <w:rFonts w:hint="eastAsia" w:ascii="仿宋" w:hAnsi="仿宋" w:eastAsia="仿宋" w:cs="仿宋"/>
                <w:color w:val="000000"/>
              </w:rPr>
              <w:t>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743</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28</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南通</w:t>
            </w:r>
            <w:r>
              <w:rPr>
                <w:rFonts w:hint="eastAsia" w:ascii="仿宋" w:hAnsi="仿宋" w:eastAsia="仿宋" w:cs="仿宋"/>
                <w:color w:val="000000"/>
              </w:rPr>
              <w:t>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537</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29</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盐城市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538</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30</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浙江省</w:t>
            </w:r>
          </w:p>
          <w:p>
            <w:pPr>
              <w:jc w:val="center"/>
              <w:textAlignment w:val="center"/>
              <w:rPr>
                <w:rFonts w:ascii="仿宋" w:hAnsi="仿宋" w:eastAsia="仿宋" w:cs="仿宋"/>
                <w:color w:val="000000"/>
              </w:rPr>
            </w:pPr>
            <w:r>
              <w:rPr>
                <w:rFonts w:hint="eastAsia" w:ascii="仿宋" w:hAnsi="仿宋" w:eastAsia="仿宋" w:cs="仿宋"/>
                <w:color w:val="000000"/>
              </w:rPr>
              <w:t>（7）</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杭州市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867</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31</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宁波市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计划单列市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32</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温州市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520</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33</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嘉兴市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34</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绍兴市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542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35</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金华市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535</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36</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台州市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569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37</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安徽省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合肥市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596</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38</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芜湖市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39</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阜阳市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556</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40</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福建省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福州市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41</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厦门市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计划单列市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536</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42</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泉州市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565</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43</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江西省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南昌市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589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44</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赣州市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636</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45</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上饶市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46</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山东省</w:t>
            </w:r>
          </w:p>
          <w:p>
            <w:pPr>
              <w:jc w:val="center"/>
              <w:textAlignment w:val="center"/>
              <w:rPr>
                <w:rFonts w:ascii="仿宋" w:hAnsi="仿宋" w:eastAsia="仿宋" w:cs="仿宋"/>
                <w:color w:val="000000"/>
              </w:rPr>
            </w:pPr>
            <w:r>
              <w:rPr>
                <w:rFonts w:hint="eastAsia" w:ascii="仿宋" w:hAnsi="仿宋" w:eastAsia="仿宋" w:cs="仿宋"/>
                <w:color w:val="000000"/>
              </w:rPr>
              <w:t>（7）</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济南市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638</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47</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青岛市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计划单列市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730</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48</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淄博市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584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49</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烟台市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520</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50</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潍坊市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557</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51</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济宁市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509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52</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临沂市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592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53</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河南省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郑州市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712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54</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洛阳市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506</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55</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南阳市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605</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56</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湖北省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武汉市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958</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57</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宜昌</w:t>
            </w:r>
            <w:r>
              <w:rPr>
                <w:rFonts w:hint="eastAsia" w:ascii="仿宋" w:hAnsi="仿宋" w:eastAsia="仿宋" w:cs="仿宋"/>
                <w:color w:val="000000"/>
              </w:rPr>
              <w:t>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58</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襄阳市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531</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59</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湖南省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长沙市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587</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60</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衡阳</w:t>
            </w:r>
            <w:r>
              <w:rPr>
                <w:rFonts w:hint="eastAsia" w:ascii="仿宋" w:hAnsi="仿宋" w:eastAsia="仿宋" w:cs="仿宋"/>
                <w:color w:val="000000"/>
              </w:rPr>
              <w:t>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61</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岳阳市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516</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62</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广东省</w:t>
            </w:r>
          </w:p>
          <w:p>
            <w:pPr>
              <w:jc w:val="center"/>
              <w:textAlignment w:val="center"/>
              <w:rPr>
                <w:rFonts w:ascii="仿宋" w:hAnsi="仿宋" w:eastAsia="仿宋" w:cs="仿宋"/>
                <w:color w:val="000000"/>
              </w:rPr>
            </w:pPr>
            <w:r>
              <w:rPr>
                <w:rFonts w:hint="eastAsia" w:ascii="仿宋" w:hAnsi="仿宋" w:eastAsia="仿宋" w:cs="仿宋"/>
                <w:color w:val="000000"/>
              </w:rPr>
              <w:t>（5）</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广州市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1484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63</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深圳市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计划单列市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1213</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64</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汕头市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538</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65</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佛山市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620</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66</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东莞市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652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67</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广西壮族自治区</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rPr>
            </w:pPr>
            <w:r>
              <w:rPr>
                <w:rFonts w:hint="eastAsia" w:ascii="仿宋" w:hAnsi="仿宋" w:eastAsia="仿宋" w:cs="仿宋"/>
              </w:rPr>
              <w:t>南宁市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rPr>
            </w:pPr>
            <w:r>
              <w:rPr>
                <w:rFonts w:hint="eastAsia" w:ascii="仿宋" w:hAnsi="仿宋" w:eastAsia="仿宋" w:cs="仿宋"/>
              </w:rPr>
              <w:t>首府城市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560</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68</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柳州市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507</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69</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桂林市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542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70</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海南省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海口市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515</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71</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三亚市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542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72</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儋州市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559</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73</w:t>
            </w:r>
          </w:p>
        </w:tc>
        <w:tc>
          <w:tcPr>
            <w:tcW w:w="12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重庆市</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重庆市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直辖市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1104</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74</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四川省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成都市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1268</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75</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绵阳市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535</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76</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南充市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500</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77</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贵州省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贵阳市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510</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78</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遵义市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588</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79</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毕节市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548</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80</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云南省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昆明市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621</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81</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曲靖市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553</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82</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玉溪市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525</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83</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西藏自治区</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rPr>
            </w:pPr>
            <w:r>
              <w:rPr>
                <w:rFonts w:hint="eastAsia" w:ascii="仿宋" w:hAnsi="仿宋" w:eastAsia="仿宋" w:cs="仿宋"/>
              </w:rPr>
              <w:t>拉萨市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rPr>
            </w:pPr>
            <w:r>
              <w:rPr>
                <w:rFonts w:hint="eastAsia" w:ascii="仿宋" w:hAnsi="仿宋" w:eastAsia="仿宋" w:cs="仿宋"/>
              </w:rPr>
              <w:t>首府城市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553</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84</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日喀则市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521</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85</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山南市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540</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86</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陕西省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西安市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827</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87</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宝鸡市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519</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88</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渭南市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531</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89</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甘肃省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兰州市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559</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90</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天水市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517</w:t>
            </w:r>
          </w:p>
        </w:tc>
      </w:tr>
      <w:tr>
        <w:tblPrEx>
          <w:tblCellMar>
            <w:top w:w="0" w:type="dxa"/>
            <w:left w:w="0" w:type="dxa"/>
            <w:bottom w:w="0" w:type="dxa"/>
            <w:right w:w="0" w:type="dxa"/>
          </w:tblCellMar>
        </w:tblPrEx>
        <w:trPr>
          <w:trHeight w:val="34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91</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庆阳市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516</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98</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青海省</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西宁市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省会城市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500</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93</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海东市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523</w:t>
            </w:r>
          </w:p>
        </w:tc>
      </w:tr>
      <w:tr>
        <w:tblPrEx>
          <w:tblCellMar>
            <w:top w:w="0" w:type="dxa"/>
            <w:left w:w="0" w:type="dxa"/>
            <w:bottom w:w="0" w:type="dxa"/>
            <w:right w:w="0" w:type="dxa"/>
          </w:tblCellMar>
        </w:tblPrEx>
        <w:trPr>
          <w:trHeight w:val="35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94</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0" w:type="dxa"/>
            </w:tcMar>
            <w:vAlign w:val="center"/>
          </w:tcPr>
          <w:p>
            <w:pPr>
              <w:jc w:val="center"/>
              <w:textAlignment w:val="center"/>
              <w:rPr>
                <w:rFonts w:ascii="仿宋" w:hAnsi="仿宋" w:eastAsia="仿宋" w:cs="仿宋"/>
                <w:color w:val="000000"/>
                <w:spacing w:val="-20"/>
              </w:rPr>
            </w:pPr>
            <w:r>
              <w:rPr>
                <w:rFonts w:hint="eastAsia" w:ascii="仿宋" w:hAnsi="仿宋" w:eastAsia="仿宋" w:cs="仿宋"/>
                <w:color w:val="000000"/>
                <w:spacing w:val="-20"/>
              </w:rPr>
              <w:t>海西蒙古族藏族自治州</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502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95</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宁夏回族自治区</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rPr>
            </w:pPr>
            <w:r>
              <w:rPr>
                <w:rFonts w:hint="eastAsia" w:ascii="仿宋" w:hAnsi="仿宋" w:eastAsia="仿宋" w:cs="仿宋"/>
              </w:rPr>
              <w:t>银川市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rPr>
            </w:pPr>
            <w:r>
              <w:rPr>
                <w:rFonts w:hint="eastAsia" w:ascii="仿宋" w:hAnsi="仿宋" w:eastAsia="仿宋" w:cs="仿宋"/>
              </w:rPr>
              <w:t>首府城市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538</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96</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石嘴山</w:t>
            </w:r>
            <w:r>
              <w:rPr>
                <w:rFonts w:hint="eastAsia" w:ascii="仿宋" w:hAnsi="仿宋" w:eastAsia="仿宋" w:cs="仿宋"/>
                <w:color w:val="000000"/>
              </w:rPr>
              <w:t>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542</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97</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吴忠市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540</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98</w:t>
            </w:r>
          </w:p>
        </w:tc>
        <w:tc>
          <w:tcPr>
            <w:tcW w:w="1231"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新疆维吾尔自治区</w:t>
            </w:r>
          </w:p>
          <w:p>
            <w:pPr>
              <w:jc w:val="center"/>
              <w:textAlignment w:val="center"/>
              <w:rPr>
                <w:rFonts w:ascii="仿宋" w:hAnsi="仿宋" w:eastAsia="仿宋" w:cs="仿宋"/>
                <w:color w:val="000000"/>
              </w:rPr>
            </w:pPr>
            <w:r>
              <w:rPr>
                <w:rFonts w:hint="eastAsia" w:ascii="仿宋" w:hAnsi="仿宋" w:eastAsia="仿宋" w:cs="仿宋"/>
                <w:color w:val="000000"/>
              </w:rPr>
              <w:t>（3）</w:t>
            </w: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乌鲁木齐市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rPr>
            </w:pPr>
            <w:r>
              <w:rPr>
                <w:rFonts w:hint="eastAsia" w:ascii="仿宋" w:hAnsi="仿宋" w:eastAsia="仿宋" w:cs="仿宋"/>
              </w:rPr>
              <w:t>首府城市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554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99</w:t>
            </w:r>
          </w:p>
        </w:tc>
        <w:tc>
          <w:tcPr>
            <w:tcW w:w="1231"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克拉玛依市</w:t>
            </w:r>
          </w:p>
        </w:tc>
        <w:tc>
          <w:tcPr>
            <w:tcW w:w="10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514</w:t>
            </w:r>
          </w:p>
        </w:tc>
      </w:tr>
      <w:tr>
        <w:tblPrEx>
          <w:tblCellMar>
            <w:top w:w="0" w:type="dxa"/>
            <w:left w:w="0" w:type="dxa"/>
            <w:bottom w:w="0" w:type="dxa"/>
            <w:right w:w="0" w:type="dxa"/>
          </w:tblCellMar>
        </w:tblPrEx>
        <w:trPr>
          <w:trHeight w:val="300" w:hRule="atLeast"/>
        </w:trPr>
        <w:tc>
          <w:tcPr>
            <w:tcW w:w="557" w:type="pct"/>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100</w:t>
            </w:r>
          </w:p>
        </w:tc>
        <w:tc>
          <w:tcPr>
            <w:tcW w:w="1231" w:type="pct"/>
            <w:vMerge w:val="continue"/>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jc w:val="center"/>
              <w:rPr>
                <w:rFonts w:ascii="仿宋" w:hAnsi="仿宋" w:eastAsia="仿宋" w:cs="仿宋"/>
                <w:color w:val="000000"/>
              </w:rPr>
            </w:pPr>
          </w:p>
        </w:tc>
        <w:tc>
          <w:tcPr>
            <w:tcW w:w="1219"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lang w:val="en-US" w:eastAsia="zh-CN"/>
              </w:rPr>
              <w:t>哈密</w:t>
            </w:r>
            <w:r>
              <w:rPr>
                <w:rFonts w:hint="eastAsia" w:ascii="仿宋" w:hAnsi="仿宋" w:eastAsia="仿宋" w:cs="仿宋"/>
                <w:color w:val="000000"/>
              </w:rPr>
              <w:t>市</w:t>
            </w:r>
          </w:p>
        </w:tc>
        <w:tc>
          <w:tcPr>
            <w:tcW w:w="107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其他城市</w:t>
            </w:r>
          </w:p>
        </w:tc>
        <w:tc>
          <w:tcPr>
            <w:tcW w:w="918" w:type="pct"/>
            <w:tcBorders>
              <w:top w:val="nil"/>
              <w:left w:val="nil"/>
              <w:bottom w:val="single" w:color="auto" w:sz="4" w:space="0"/>
              <w:right w:val="single" w:color="000000" w:sz="8" w:space="0"/>
            </w:tcBorders>
            <w:shd w:val="clear" w:color="auto" w:fill="auto"/>
            <w:tcMar>
              <w:top w:w="15" w:type="dxa"/>
              <w:left w:w="15" w:type="dxa"/>
              <w:right w:w="15" w:type="dxa"/>
            </w:tcMar>
          </w:tcPr>
          <w:p>
            <w:pPr>
              <w:jc w:val="center"/>
              <w:textAlignment w:val="center"/>
              <w:rPr>
                <w:rFonts w:ascii="仿宋" w:hAnsi="仿宋" w:eastAsia="仿宋" w:cs="仿宋"/>
                <w:color w:val="000000"/>
              </w:rPr>
            </w:pPr>
            <w:r>
              <w:t>518</w:t>
            </w:r>
          </w:p>
        </w:tc>
      </w:tr>
      <w:tr>
        <w:tblPrEx>
          <w:tblCellMar>
            <w:top w:w="0" w:type="dxa"/>
            <w:left w:w="0" w:type="dxa"/>
            <w:bottom w:w="0" w:type="dxa"/>
            <w:right w:w="0" w:type="dxa"/>
          </w:tblCellMar>
        </w:tblPrEx>
        <w:trPr>
          <w:trHeight w:val="300" w:hRule="atLeast"/>
        </w:trPr>
        <w:tc>
          <w:tcPr>
            <w:tcW w:w="4081" w:type="pct"/>
            <w:gridSpan w:val="4"/>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textAlignment w:val="center"/>
              <w:rPr>
                <w:rFonts w:ascii="黑体" w:eastAsia="黑体" w:cs="黑体"/>
                <w:b/>
                <w:color w:val="000000"/>
              </w:rPr>
            </w:pPr>
            <w:r>
              <w:rPr>
                <w:rFonts w:hint="eastAsia" w:ascii="黑体" w:eastAsia="黑体" w:cs="黑体"/>
                <w:b/>
                <w:color w:val="000000"/>
              </w:rPr>
              <w:t>总样本量</w:t>
            </w:r>
          </w:p>
        </w:tc>
        <w:tc>
          <w:tcPr>
            <w:tcW w:w="918" w:type="pct"/>
            <w:tcBorders>
              <w:top w:val="single" w:color="auto" w:sz="4" w:space="0"/>
              <w:left w:val="single" w:color="000000" w:sz="8" w:space="0"/>
              <w:bottom w:val="single" w:color="auto" w:sz="4" w:space="0"/>
              <w:right w:val="single" w:color="auto" w:sz="4" w:space="0"/>
            </w:tcBorders>
            <w:shd w:val="clear" w:color="auto" w:fill="auto"/>
            <w:tcMar>
              <w:top w:w="15" w:type="dxa"/>
              <w:left w:w="15" w:type="dxa"/>
              <w:right w:w="15" w:type="dxa"/>
            </w:tcMar>
          </w:tcPr>
          <w:p>
            <w:pPr>
              <w:jc w:val="center"/>
              <w:textAlignment w:val="center"/>
              <w:rPr>
                <w:rFonts w:ascii="黑体" w:eastAsia="黑体" w:cs="黑体"/>
                <w:b/>
                <w:bCs/>
                <w:color w:val="000000"/>
              </w:rPr>
            </w:pPr>
            <w:r>
              <w:rPr>
                <w:b/>
                <w:bCs/>
              </w:rPr>
              <w:t>61930</w:t>
            </w:r>
          </w:p>
        </w:tc>
      </w:tr>
    </w:tbl>
    <w:p>
      <w:pPr>
        <w:rPr>
          <w:rFonts w:ascii="黑体" w:hAnsi="黑体" w:eastAsia="黑体" w:cs="黑体"/>
          <w:b/>
          <w:bCs/>
          <w:i/>
          <w:iCs/>
          <w:sz w:val="32"/>
          <w:szCs w:val="28"/>
        </w:rPr>
      </w:pPr>
      <w:bookmarkStart w:id="8" w:name="_Toc62721749"/>
    </w:p>
    <w:p>
      <w:pPr>
        <w:pStyle w:val="3"/>
        <w:ind w:firstLine="640" w:firstLineChars="200"/>
        <w:rPr>
          <w:rFonts w:ascii="黑体" w:hAnsi="黑体" w:eastAsia="黑体" w:cs="黑体"/>
          <w:b w:val="0"/>
          <w:bCs/>
          <w:i w:val="0"/>
          <w:iCs/>
          <w:sz w:val="32"/>
          <w:szCs w:val="28"/>
        </w:rPr>
      </w:pPr>
      <w:bookmarkStart w:id="9" w:name="_Toc1294"/>
      <w:r>
        <w:rPr>
          <w:rFonts w:hint="eastAsia" w:ascii="黑体" w:hAnsi="黑体" w:eastAsia="黑体" w:cs="黑体"/>
          <w:b w:val="0"/>
          <w:bCs/>
          <w:i w:val="0"/>
          <w:iCs/>
          <w:sz w:val="32"/>
          <w:szCs w:val="28"/>
        </w:rPr>
        <w:t>三、抽样设计</w:t>
      </w:r>
      <w:bookmarkEnd w:id="8"/>
      <w:bookmarkEnd w:id="9"/>
    </w:p>
    <w:p>
      <w:pPr>
        <w:spacing w:line="560" w:lineRule="exact"/>
        <w:ind w:firstLine="640" w:firstLineChars="200"/>
        <w:jc w:val="both"/>
      </w:pPr>
      <w:r>
        <w:rPr>
          <w:rFonts w:ascii="仿宋" w:hAnsi="仿宋" w:eastAsia="仿宋" w:cs="仿宋"/>
          <w:color w:val="1C1C1C"/>
          <w:sz w:val="32"/>
          <w:szCs w:val="32"/>
        </w:rPr>
        <w:t>为了保证调查的代表性，本次调查采用的是“城市</w:t>
      </w:r>
      <w:r>
        <w:rPr>
          <w:rFonts w:hint="eastAsia" w:ascii="仿宋" w:hAnsi="仿宋" w:eastAsia="仿宋" w:cs="仿宋"/>
          <w:color w:val="1C1C1C"/>
          <w:sz w:val="32"/>
          <w:szCs w:val="32"/>
        </w:rPr>
        <w:t>—</w:t>
      </w:r>
      <w:r>
        <w:rPr>
          <w:rFonts w:ascii="仿宋" w:hAnsi="仿宋" w:eastAsia="仿宋" w:cs="仿宋"/>
          <w:color w:val="1C1C1C"/>
          <w:sz w:val="32"/>
          <w:szCs w:val="32"/>
        </w:rPr>
        <w:t>市辖区</w:t>
      </w:r>
      <w:r>
        <w:rPr>
          <w:rFonts w:hint="eastAsia" w:ascii="仿宋" w:hAnsi="仿宋" w:eastAsia="仿宋" w:cs="仿宋"/>
          <w:color w:val="1C1C1C"/>
          <w:sz w:val="32"/>
          <w:szCs w:val="32"/>
        </w:rPr>
        <w:t>—社区—受访者”的多阶段随机抽样方法。</w:t>
      </w:r>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首先，</w:t>
      </w:r>
      <w:r>
        <w:rPr>
          <w:rFonts w:ascii="仿宋" w:hAnsi="仿宋" w:eastAsia="仿宋" w:cs="仿宋"/>
          <w:color w:val="1C1C1C"/>
          <w:sz w:val="32"/>
          <w:szCs w:val="32"/>
        </w:rPr>
        <w:t>100</w:t>
      </w:r>
      <w:r>
        <w:rPr>
          <w:rFonts w:hint="eastAsia" w:ascii="仿宋" w:hAnsi="仿宋" w:eastAsia="仿宋" w:cs="仿宋"/>
          <w:color w:val="1C1C1C"/>
          <w:sz w:val="32"/>
          <w:szCs w:val="32"/>
        </w:rPr>
        <w:t>个调查城市的市辖区必然入选。其中，有两类城市没有市辖区。第一类是东莞市与儋州市为不设区的市，因此直接跳过这一步骤；第二类是海西蒙古族藏族自治州未明确市辖区范围，因此将其下属的三个县级市纳入本阶段抽样范围。</w:t>
      </w:r>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其次，将市辖区（含海西州的县级市）下的国家统计局城乡划分代码</w:t>
      </w:r>
      <w:r>
        <w:rPr>
          <w:rFonts w:ascii="仿宋" w:hAnsi="仿宋" w:eastAsia="仿宋" w:cs="仿宋"/>
          <w:color w:val="1C1C1C"/>
          <w:sz w:val="32"/>
          <w:szCs w:val="32"/>
        </w:rPr>
        <w:t>111</w:t>
      </w:r>
      <w:r>
        <w:rPr>
          <w:rFonts w:hint="eastAsia" w:ascii="仿宋" w:hAnsi="仿宋" w:eastAsia="仿宋" w:cs="仿宋"/>
          <w:color w:val="1C1C1C"/>
          <w:sz w:val="32"/>
          <w:szCs w:val="32"/>
        </w:rPr>
        <w:t>开头的社区作为抽样框，采用简单随机抽样的方式抽取社区（居委会</w:t>
      </w:r>
      <w:r>
        <w:rPr>
          <w:rFonts w:ascii="仿宋" w:hAnsi="仿宋" w:eastAsia="仿宋" w:cs="仿宋"/>
          <w:color w:val="1C1C1C"/>
          <w:sz w:val="32"/>
          <w:szCs w:val="32"/>
        </w:rPr>
        <w:t>/</w:t>
      </w:r>
      <w:r>
        <w:rPr>
          <w:rFonts w:hint="eastAsia" w:ascii="仿宋" w:hAnsi="仿宋" w:eastAsia="仿宋" w:cs="仿宋"/>
          <w:color w:val="1C1C1C"/>
          <w:sz w:val="32"/>
          <w:szCs w:val="32"/>
        </w:rPr>
        <w:t>村委会等），再随机抽取相应社区居民参与调查。东莞市与儋州市直接以国家统计局城乡划分代码</w:t>
      </w:r>
      <w:r>
        <w:rPr>
          <w:rFonts w:ascii="仿宋" w:hAnsi="仿宋" w:eastAsia="仿宋" w:cs="仿宋"/>
          <w:color w:val="1C1C1C"/>
          <w:sz w:val="32"/>
          <w:szCs w:val="32"/>
        </w:rPr>
        <w:t>111</w:t>
      </w:r>
      <w:r>
        <w:rPr>
          <w:rFonts w:hint="eastAsia" w:ascii="仿宋" w:hAnsi="仿宋" w:eastAsia="仿宋" w:cs="仿宋"/>
          <w:color w:val="1C1C1C"/>
          <w:sz w:val="32"/>
          <w:szCs w:val="32"/>
        </w:rPr>
        <w:t>开头的社区作为抽样框。</w:t>
      </w:r>
    </w:p>
    <w:p>
      <w:pPr>
        <w:pStyle w:val="3"/>
        <w:spacing w:line="560" w:lineRule="exact"/>
        <w:ind w:firstLine="640" w:firstLineChars="200"/>
        <w:rPr>
          <w:rFonts w:ascii="黑体" w:hAnsi="黑体" w:eastAsia="黑体" w:cs="黑体"/>
          <w:b w:val="0"/>
          <w:bCs/>
          <w:i w:val="0"/>
          <w:iCs/>
          <w:sz w:val="32"/>
          <w:szCs w:val="28"/>
        </w:rPr>
      </w:pPr>
      <w:bookmarkStart w:id="10" w:name="_Toc62721750"/>
      <w:bookmarkStart w:id="11" w:name="_Toc32068"/>
      <w:r>
        <w:rPr>
          <w:rFonts w:hint="eastAsia" w:ascii="黑体" w:hAnsi="黑体" w:eastAsia="黑体" w:cs="黑体"/>
          <w:b w:val="0"/>
          <w:bCs/>
          <w:i w:val="0"/>
          <w:iCs/>
          <w:sz w:val="32"/>
          <w:szCs w:val="28"/>
        </w:rPr>
        <w:t>四、调查方法设计</w:t>
      </w:r>
      <w:bookmarkEnd w:id="10"/>
      <w:bookmarkEnd w:id="11"/>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调查采用线下拦访、扫码答题、线上调查三种方法结合的方式进行，完成样本量分别为</w:t>
      </w:r>
      <w:r>
        <w:rPr>
          <w:rFonts w:ascii="仿宋" w:hAnsi="仿宋" w:eastAsia="仿宋" w:cs="仿宋"/>
          <w:b/>
          <w:bCs/>
          <w:color w:val="1C1C1C"/>
          <w:sz w:val="32"/>
          <w:szCs w:val="32"/>
        </w:rPr>
        <w:t>16098</w:t>
      </w:r>
      <w:r>
        <w:rPr>
          <w:rFonts w:ascii="仿宋" w:hAnsi="仿宋" w:eastAsia="仿宋" w:cs="仿宋"/>
          <w:color w:val="1C1C1C"/>
          <w:sz w:val="32"/>
          <w:szCs w:val="32"/>
        </w:rPr>
        <w:t>个、</w:t>
      </w:r>
      <w:r>
        <w:rPr>
          <w:rFonts w:ascii="仿宋" w:hAnsi="仿宋" w:eastAsia="仿宋" w:cs="仿宋"/>
          <w:b/>
          <w:bCs/>
          <w:color w:val="1C1C1C"/>
          <w:sz w:val="32"/>
          <w:szCs w:val="32"/>
        </w:rPr>
        <w:t>24138</w:t>
      </w:r>
      <w:r>
        <w:rPr>
          <w:rFonts w:ascii="仿宋" w:hAnsi="仿宋" w:eastAsia="仿宋" w:cs="仿宋"/>
          <w:color w:val="1C1C1C"/>
          <w:sz w:val="32"/>
          <w:szCs w:val="32"/>
        </w:rPr>
        <w:t>个、</w:t>
      </w:r>
      <w:r>
        <w:rPr>
          <w:rFonts w:ascii="仿宋" w:hAnsi="仿宋" w:eastAsia="仿宋" w:cs="仿宋"/>
          <w:b/>
          <w:bCs/>
          <w:color w:val="1C1C1C"/>
          <w:sz w:val="32"/>
          <w:szCs w:val="32"/>
        </w:rPr>
        <w:t>21694</w:t>
      </w:r>
      <w:r>
        <w:rPr>
          <w:rFonts w:ascii="仿宋" w:hAnsi="仿宋" w:eastAsia="仿宋" w:cs="仿宋"/>
          <w:color w:val="1C1C1C"/>
          <w:sz w:val="32"/>
          <w:szCs w:val="32"/>
        </w:rPr>
        <w:t>个。</w:t>
      </w:r>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线下拦访，即通过抽样选定居住小区后，在居住小区出入口对小区居民进行随机拦截调查访问。调查时主要采用手机、平板电脑等电子设备，通过专用的问卷调查平台开展访问，访问过程中将自动保存访问所产生的数据、录音等资料。调查过程中，访问员按照要求读出问题主干和选项。访问结束，请受访者留下姓名和可用于电话回访复核的联系方式。</w:t>
      </w:r>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扫码答题，即通过抽样选定居住小区后，在居住小区出入口对小区居民进行随机拦截，请符合条件的居民扫描二维码参与问卷调查。调查开始之前，技术人员将事先设计的问卷链接到调查二维码中，答题过程中将自动保存所产生的数据资料，且过程中受访者需进行手机号码验证，确保数据的真实性、稳定性和安全性。</w:t>
      </w:r>
    </w:p>
    <w:p>
      <w:pPr>
        <w:spacing w:line="560" w:lineRule="exact"/>
        <w:ind w:firstLine="640" w:firstLineChars="200"/>
        <w:jc w:val="both"/>
      </w:pPr>
      <w:r>
        <w:rPr>
          <w:rFonts w:hint="eastAsia" w:ascii="仿宋" w:hAnsi="仿宋" w:eastAsia="仿宋" w:cs="仿宋"/>
          <w:color w:val="1C1C1C"/>
          <w:sz w:val="32"/>
          <w:szCs w:val="32"/>
        </w:rPr>
        <w:t>线上调查，即选定城市后，通过专业调查平台，根据城市</w:t>
      </w:r>
      <w:r>
        <w:rPr>
          <w:rFonts w:ascii="仿宋" w:hAnsi="仿宋" w:eastAsia="仿宋" w:cs="仿宋"/>
          <w:color w:val="1C1C1C"/>
          <w:sz w:val="32"/>
          <w:szCs w:val="32"/>
        </w:rPr>
        <w:t>IP将调查问卷精准推送给目标城市居民，请符合条件的居民点击链接或扫描二维码参与问卷调查。调查开始之前，技术人员将事先设计的调查问卷生成链接或二维码，答题过程中将自动保存所产生的数据资料，且受访者需进行手机号码验证，确保数据的真实性、稳定性和安全性。</w:t>
      </w:r>
    </w:p>
    <w:p>
      <w:pPr>
        <w:pStyle w:val="3"/>
        <w:spacing w:line="560" w:lineRule="exact"/>
        <w:ind w:firstLine="640" w:firstLineChars="200"/>
        <w:rPr>
          <w:rFonts w:ascii="黑体" w:hAnsi="黑体" w:eastAsia="黑体" w:cs="黑体"/>
          <w:b w:val="0"/>
          <w:bCs/>
          <w:i w:val="0"/>
          <w:iCs/>
          <w:sz w:val="32"/>
          <w:szCs w:val="28"/>
        </w:rPr>
      </w:pPr>
      <w:bookmarkStart w:id="12" w:name="_Toc5350"/>
      <w:bookmarkStart w:id="13" w:name="_Toc62721751"/>
      <w:r>
        <w:rPr>
          <w:rFonts w:hint="eastAsia" w:ascii="黑体" w:hAnsi="黑体" w:eastAsia="黑体" w:cs="黑体"/>
          <w:b w:val="0"/>
          <w:bCs/>
          <w:i w:val="0"/>
          <w:iCs/>
          <w:sz w:val="32"/>
          <w:szCs w:val="28"/>
        </w:rPr>
        <w:t>五、调查对象设计</w:t>
      </w:r>
      <w:bookmarkEnd w:id="12"/>
      <w:bookmarkEnd w:id="13"/>
    </w:p>
    <w:p>
      <w:pPr>
        <w:spacing w:line="560" w:lineRule="exact"/>
        <w:ind w:firstLine="640" w:firstLineChars="200"/>
        <w:jc w:val="both"/>
      </w:pPr>
      <w:r>
        <w:rPr>
          <w:rFonts w:ascii="仿宋" w:hAnsi="仿宋" w:eastAsia="仿宋" w:cs="仿宋"/>
          <w:color w:val="1C1C1C"/>
          <w:sz w:val="32"/>
          <w:szCs w:val="32"/>
        </w:rPr>
        <w:t xml:space="preserve">本次测评工作的调查对象需要同时满足以下条件： </w:t>
      </w:r>
    </w:p>
    <w:p>
      <w:pPr>
        <w:spacing w:line="560" w:lineRule="exact"/>
        <w:ind w:firstLine="640" w:firstLineChars="200"/>
        <w:jc w:val="both"/>
      </w:pPr>
      <w:r>
        <w:rPr>
          <w:rFonts w:ascii="TimesNewRomanPSMT" w:hAnsi="TimesNewRomanPSMT" w:eastAsia="TimesNewRomanPSMT" w:cs="TimesNewRomanPSMT"/>
          <w:color w:val="1C1C1C"/>
          <w:sz w:val="32"/>
          <w:szCs w:val="32"/>
        </w:rPr>
        <w:t>1.</w:t>
      </w:r>
      <w:r>
        <w:rPr>
          <w:rFonts w:hint="eastAsia" w:ascii="仿宋" w:hAnsi="仿宋" w:eastAsia="仿宋" w:cs="仿宋"/>
          <w:color w:val="1C1C1C"/>
          <w:sz w:val="32"/>
          <w:szCs w:val="32"/>
        </w:rPr>
        <w:t>被测评城市市辖区内的常住人口，即连续居住</w:t>
      </w:r>
      <w:r>
        <w:rPr>
          <w:rFonts w:ascii="TimesNewRomanPSMT" w:hAnsi="TimesNewRomanPSMT" w:eastAsia="TimesNewRomanPSMT" w:cs="TimesNewRomanPSMT"/>
          <w:color w:val="1C1C1C"/>
          <w:sz w:val="32"/>
          <w:szCs w:val="32"/>
        </w:rPr>
        <w:t>6</w:t>
      </w:r>
      <w:r>
        <w:rPr>
          <w:rFonts w:hint="eastAsia" w:ascii="仿宋" w:hAnsi="仿宋" w:eastAsia="仿宋" w:cs="仿宋"/>
          <w:color w:val="1C1C1C"/>
          <w:sz w:val="32"/>
          <w:szCs w:val="32"/>
        </w:rPr>
        <w:t xml:space="preserve">个月以上，包括本地户籍及非本地户籍居民； </w:t>
      </w:r>
    </w:p>
    <w:p>
      <w:pPr>
        <w:spacing w:line="560" w:lineRule="exact"/>
        <w:ind w:firstLine="640" w:firstLineChars="200"/>
        <w:jc w:val="both"/>
        <w:rPr>
          <w:rFonts w:ascii="仿宋" w:hAnsi="仿宋" w:eastAsia="仿宋" w:cs="仿宋"/>
          <w:color w:val="1C1C1C"/>
          <w:sz w:val="32"/>
          <w:szCs w:val="32"/>
        </w:rPr>
      </w:pPr>
      <w:r>
        <w:rPr>
          <w:rFonts w:ascii="TimesNewRomanPSMT" w:hAnsi="TimesNewRomanPSMT" w:eastAsia="TimesNewRomanPSMT" w:cs="TimesNewRomanPSMT"/>
          <w:color w:val="1C1C1C"/>
          <w:sz w:val="32"/>
          <w:szCs w:val="32"/>
        </w:rPr>
        <w:t>2.</w:t>
      </w:r>
      <w:r>
        <w:rPr>
          <w:rFonts w:hint="eastAsia" w:ascii="仿宋" w:hAnsi="仿宋" w:eastAsia="仿宋" w:cs="仿宋"/>
          <w:color w:val="1C1C1C"/>
          <w:sz w:val="32"/>
          <w:szCs w:val="32"/>
        </w:rPr>
        <w:t xml:space="preserve">最近1个月有过线下日常消费行为； </w:t>
      </w:r>
    </w:p>
    <w:p>
      <w:pPr>
        <w:spacing w:line="560" w:lineRule="exact"/>
        <w:ind w:firstLine="640" w:firstLineChars="200"/>
        <w:jc w:val="both"/>
        <w:rPr>
          <w:rFonts w:ascii="仿宋" w:hAnsi="仿宋" w:eastAsia="仿宋" w:cs="仿宋"/>
          <w:color w:val="1C1C1C"/>
          <w:sz w:val="32"/>
          <w:szCs w:val="32"/>
        </w:rPr>
      </w:pPr>
      <w:r>
        <w:rPr>
          <w:rFonts w:ascii="TimesNewRomanPSMT" w:hAnsi="TimesNewRomanPSMT" w:eastAsia="TimesNewRomanPSMT" w:cs="TimesNewRomanPSMT"/>
          <w:color w:val="1C1C1C"/>
          <w:sz w:val="32"/>
          <w:szCs w:val="32"/>
        </w:rPr>
        <w:t>3.</w:t>
      </w:r>
      <w:r>
        <w:rPr>
          <w:rFonts w:hint="eastAsia" w:ascii="仿宋" w:hAnsi="仿宋" w:eastAsia="仿宋" w:cs="仿宋"/>
          <w:color w:val="1C1C1C"/>
          <w:sz w:val="32"/>
          <w:szCs w:val="32"/>
        </w:rPr>
        <w:t>年龄从</w:t>
      </w:r>
      <w:r>
        <w:rPr>
          <w:rFonts w:ascii="TimesNewRomanPSMT" w:hAnsi="TimesNewRomanPSMT" w:eastAsia="TimesNewRomanPSMT" w:cs="TimesNewRomanPSMT"/>
          <w:color w:val="1C1C1C"/>
          <w:sz w:val="32"/>
          <w:szCs w:val="32"/>
        </w:rPr>
        <w:t>15</w:t>
      </w:r>
      <w:r>
        <w:rPr>
          <w:rFonts w:hint="eastAsia" w:ascii="仿宋" w:hAnsi="仿宋" w:eastAsia="仿宋" w:cs="仿宋"/>
          <w:color w:val="1C1C1C"/>
          <w:sz w:val="32"/>
          <w:szCs w:val="32"/>
        </w:rPr>
        <w:t>岁至</w:t>
      </w:r>
      <w:r>
        <w:rPr>
          <w:rFonts w:ascii="TimesNewRomanPSMT" w:hAnsi="TimesNewRomanPSMT" w:eastAsia="TimesNewRomanPSMT" w:cs="TimesNewRomanPSMT"/>
          <w:color w:val="1C1C1C"/>
          <w:sz w:val="32"/>
          <w:szCs w:val="32"/>
        </w:rPr>
        <w:t>70</w:t>
      </w:r>
      <w:r>
        <w:rPr>
          <w:rFonts w:hint="eastAsia" w:ascii="仿宋" w:hAnsi="仿宋" w:eastAsia="仿宋" w:cs="仿宋"/>
          <w:color w:val="1C1C1C"/>
          <w:sz w:val="32"/>
          <w:szCs w:val="32"/>
        </w:rPr>
        <w:t>岁，并且年龄、性别分布符合参与调查城市相应人口的实际构成特征。</w:t>
      </w:r>
    </w:p>
    <w:p>
      <w:pPr>
        <w:pStyle w:val="3"/>
        <w:spacing w:line="560" w:lineRule="exact"/>
        <w:ind w:firstLine="640" w:firstLineChars="200"/>
        <w:rPr>
          <w:rFonts w:ascii="黑体" w:hAnsi="黑体" w:eastAsia="黑体" w:cs="黑体"/>
          <w:b w:val="0"/>
          <w:bCs/>
          <w:i w:val="0"/>
          <w:iCs/>
          <w:sz w:val="32"/>
          <w:szCs w:val="28"/>
        </w:rPr>
      </w:pPr>
      <w:bookmarkStart w:id="14" w:name="_Toc62721752"/>
      <w:bookmarkStart w:id="15" w:name="_Toc11169"/>
      <w:r>
        <w:rPr>
          <w:rFonts w:hint="eastAsia" w:ascii="黑体" w:hAnsi="黑体" w:eastAsia="黑体" w:cs="黑体"/>
          <w:b w:val="0"/>
          <w:bCs/>
          <w:i w:val="0"/>
          <w:iCs/>
          <w:sz w:val="32"/>
          <w:szCs w:val="28"/>
        </w:rPr>
        <w:t>六、调查实施和质量控制</w:t>
      </w:r>
      <w:bookmarkEnd w:id="14"/>
      <w:bookmarkEnd w:id="15"/>
      <w:r>
        <w:rPr>
          <w:rFonts w:hint="eastAsia" w:ascii="黑体" w:hAnsi="黑体" w:eastAsia="黑体" w:cs="黑体"/>
          <w:b w:val="0"/>
          <w:bCs/>
          <w:i w:val="0"/>
          <w:iCs/>
          <w:sz w:val="32"/>
          <w:szCs w:val="28"/>
        </w:rPr>
        <w:t xml:space="preserve"> </w:t>
      </w:r>
    </w:p>
    <w:p>
      <w:pPr>
        <w:spacing w:line="560" w:lineRule="exact"/>
        <w:ind w:firstLine="640" w:firstLineChars="200"/>
        <w:jc w:val="both"/>
      </w:pPr>
      <w:r>
        <w:rPr>
          <w:rFonts w:ascii="仿宋" w:hAnsi="仿宋" w:eastAsia="仿宋" w:cs="仿宋"/>
          <w:color w:val="1C1C1C"/>
          <w:sz w:val="32"/>
          <w:szCs w:val="32"/>
        </w:rPr>
        <w:t>本次测评工作的实地调查</w:t>
      </w:r>
      <w:r>
        <w:rPr>
          <w:rFonts w:hint="eastAsia" w:ascii="仿宋" w:hAnsi="仿宋" w:eastAsia="仿宋" w:cs="仿宋"/>
          <w:color w:val="1C1C1C"/>
          <w:sz w:val="32"/>
          <w:szCs w:val="32"/>
        </w:rPr>
        <w:t>访问从2022年10月</w:t>
      </w:r>
      <w:r>
        <w:rPr>
          <w:rFonts w:hint="eastAsia" w:ascii="仿宋" w:hAnsi="仿宋" w:eastAsia="仿宋" w:cs="仿宋"/>
          <w:color w:val="1C1C1C"/>
          <w:sz w:val="32"/>
          <w:szCs w:val="32"/>
          <w:lang w:val="en-US" w:eastAsia="zh-CN"/>
        </w:rPr>
        <w:t>中旬</w:t>
      </w:r>
      <w:r>
        <w:rPr>
          <w:rFonts w:hint="eastAsia" w:ascii="仿宋" w:hAnsi="仿宋" w:eastAsia="仿宋" w:cs="仿宋"/>
          <w:color w:val="1C1C1C"/>
          <w:sz w:val="32"/>
          <w:szCs w:val="32"/>
        </w:rPr>
        <w:t>至202</w:t>
      </w:r>
      <w:r>
        <w:rPr>
          <w:rFonts w:hint="eastAsia" w:ascii="仿宋" w:hAnsi="仿宋" w:eastAsia="仿宋" w:cs="仿宋"/>
          <w:color w:val="1C1C1C"/>
          <w:sz w:val="32"/>
          <w:szCs w:val="32"/>
          <w:lang w:val="en-US" w:eastAsia="zh-CN"/>
        </w:rPr>
        <w:t>2</w:t>
      </w:r>
      <w:r>
        <w:rPr>
          <w:rFonts w:hint="eastAsia" w:ascii="仿宋" w:hAnsi="仿宋" w:eastAsia="仿宋" w:cs="仿宋"/>
          <w:color w:val="1C1C1C"/>
          <w:sz w:val="32"/>
          <w:szCs w:val="32"/>
        </w:rPr>
        <w:t>年12月3</w:t>
      </w:r>
      <w:r>
        <w:rPr>
          <w:rFonts w:hint="eastAsia" w:ascii="仿宋" w:hAnsi="仿宋" w:eastAsia="仿宋" w:cs="仿宋"/>
          <w:color w:val="1C1C1C"/>
          <w:sz w:val="32"/>
          <w:szCs w:val="32"/>
          <w:lang w:val="en-US" w:eastAsia="zh-CN"/>
        </w:rPr>
        <w:t>0</w:t>
      </w:r>
      <w:r>
        <w:rPr>
          <w:rFonts w:hint="eastAsia" w:ascii="仿宋" w:hAnsi="仿宋" w:eastAsia="仿宋" w:cs="仿宋"/>
          <w:color w:val="1C1C1C"/>
          <w:sz w:val="32"/>
          <w:szCs w:val="32"/>
        </w:rPr>
        <w:t>日在全国100个城市同步展开，总共历时</w:t>
      </w:r>
      <w:r>
        <w:rPr>
          <w:rFonts w:hint="eastAsia" w:ascii="TimesNewRomanPSMT" w:hAnsi="TimesNewRomanPSMT" w:eastAsia="仿宋" w:cs="TimesNewRomanPSMT"/>
          <w:color w:val="1C1C1C"/>
          <w:sz w:val="32"/>
          <w:szCs w:val="32"/>
          <w:lang w:val="en-US" w:eastAsia="zh-CN"/>
        </w:rPr>
        <w:t>78</w:t>
      </w:r>
      <w:r>
        <w:rPr>
          <w:rFonts w:hint="eastAsia" w:ascii="仿宋" w:hAnsi="仿宋" w:eastAsia="仿宋" w:cs="仿宋"/>
          <w:color w:val="1C1C1C"/>
          <w:sz w:val="32"/>
          <w:szCs w:val="32"/>
        </w:rPr>
        <w:t>天。正式调查前，中国消费者协会会同监理单位制定调查执行工作手册和应急预案，并指导调查执行单位对执行督导和访问员进行项目讲解和调查培训，培训内容包括：项目简介、抽样过程、问卷题目讲解、调查平台及软件使用规范、质量控制要点等。</w:t>
      </w:r>
    </w:p>
    <w:p>
      <w:pPr>
        <w:spacing w:line="560" w:lineRule="exact"/>
        <w:ind w:firstLine="640" w:firstLineChars="200"/>
        <w:jc w:val="both"/>
      </w:pPr>
      <w:r>
        <w:rPr>
          <w:rFonts w:hint="eastAsia" w:ascii="仿宋" w:hAnsi="仿宋" w:eastAsia="仿宋" w:cs="仿宋"/>
          <w:color w:val="1C1C1C"/>
          <w:sz w:val="32"/>
          <w:szCs w:val="32"/>
        </w:rPr>
        <w:t>在执行过程中，中消协指导监理单位和调查执行机构通过现场监督、复核程序确保调查执行工作开展的规范性和回收数据的真实性、准确性。</w:t>
      </w:r>
    </w:p>
    <w:p>
      <w:pPr>
        <w:spacing w:line="560" w:lineRule="exact"/>
        <w:ind w:firstLine="640" w:firstLineChars="200"/>
        <w:jc w:val="both"/>
        <w:rPr>
          <w:rFonts w:ascii="仿宋" w:hAnsi="仿宋" w:eastAsia="仿宋" w:cs="仿宋"/>
          <w:color w:val="1C1C1C"/>
          <w:sz w:val="32"/>
          <w:szCs w:val="32"/>
        </w:rPr>
      </w:pPr>
      <w:r>
        <w:rPr>
          <w:rFonts w:ascii="TimesNewRomanPSMT" w:hAnsi="TimesNewRomanPSMT" w:eastAsia="TimesNewRomanPSMT" w:cs="TimesNewRomanPSMT"/>
          <w:color w:val="1C1C1C"/>
          <w:sz w:val="32"/>
          <w:szCs w:val="32"/>
        </w:rPr>
        <w:t>1.</w:t>
      </w:r>
      <w:r>
        <w:rPr>
          <w:rFonts w:hint="eastAsia" w:ascii="仿宋" w:hAnsi="仿宋" w:eastAsia="仿宋" w:cs="仿宋"/>
          <w:color w:val="1C1C1C"/>
          <w:sz w:val="32"/>
          <w:szCs w:val="32"/>
        </w:rPr>
        <w:t>各城市执行督导每周一、三、五向调查执行单位汇报工作进度并提交调查执行数据；调查执行单位同步向中消协和中消协委托的监理单位汇报工作进度；对于访问员在调查执行过程中出现的技术问题，各方讨论明确一致意见后由调查执行单位向访问员进行解答反馈。</w:t>
      </w:r>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2</w:t>
      </w:r>
      <w:r>
        <w:rPr>
          <w:rFonts w:ascii="仿宋" w:hAnsi="仿宋" w:eastAsia="仿宋" w:cs="仿宋"/>
          <w:color w:val="1C1C1C"/>
          <w:sz w:val="32"/>
          <w:szCs w:val="32"/>
        </w:rPr>
        <w:t>.</w:t>
      </w:r>
      <w:r>
        <w:rPr>
          <w:rFonts w:hint="eastAsia" w:ascii="仿宋" w:hAnsi="仿宋" w:eastAsia="仿宋" w:cs="仿宋"/>
          <w:color w:val="1C1C1C"/>
          <w:sz w:val="32"/>
          <w:szCs w:val="32"/>
        </w:rPr>
        <w:t>监理单位抽取不少于20</w:t>
      </w:r>
      <w:r>
        <w:rPr>
          <w:rFonts w:ascii="仿宋" w:hAnsi="仿宋" w:eastAsia="仿宋" w:cs="仿宋"/>
          <w:color w:val="1C1C1C"/>
          <w:sz w:val="32"/>
          <w:szCs w:val="32"/>
        </w:rPr>
        <w:t>%</w:t>
      </w:r>
      <w:r>
        <w:rPr>
          <w:rFonts w:hint="eastAsia" w:ascii="仿宋" w:hAnsi="仿宋" w:eastAsia="仿宋" w:cs="仿宋"/>
          <w:color w:val="1C1C1C"/>
          <w:sz w:val="32"/>
          <w:szCs w:val="32"/>
        </w:rPr>
        <w:t>的城市社区进行现场抽查，将发现的问题及时反馈至中消协和所在执行团队进行重点提醒，以保证调查执行工作的规范性，提高访问效率和数据质量。</w:t>
      </w:r>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3</w:t>
      </w:r>
      <w:r>
        <w:rPr>
          <w:rFonts w:ascii="仿宋" w:hAnsi="仿宋" w:eastAsia="仿宋" w:cs="仿宋"/>
          <w:color w:val="1C1C1C"/>
          <w:sz w:val="32"/>
          <w:szCs w:val="32"/>
        </w:rPr>
        <w:t>.</w:t>
      </w:r>
      <w:r>
        <w:rPr>
          <w:rFonts w:hint="eastAsia" w:ascii="仿宋" w:hAnsi="仿宋" w:eastAsia="仿宋" w:cs="仿宋"/>
          <w:color w:val="1C1C1C"/>
          <w:sz w:val="32"/>
          <w:szCs w:val="32"/>
        </w:rPr>
        <w:t>问卷调查结束后，访问员按照要求提交调查数据，执行督导和调查机构负责对调查数据进行自查。</w:t>
      </w:r>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4.监理单位对调查执行方提交的调查数据进行复核和清理。复核主要通过形式审核、录音复核、电话回访的方式进行，其中形式审核覆盖全部样本，录音复核以每个城市为单位随机抽取不少于30%的样本进行复核，电话回访以每个城市为单位随机抽取不少于50%的样本。对不符合调查规范的样本进行作废处理，并要求调查执行方加强自查；对于各个城市剔除不合格问卷后样本不足的情况，要求进行补卷直至复核成功后的样本量达到计划样本。</w:t>
      </w:r>
    </w:p>
    <w:p>
      <w:pPr>
        <w:pStyle w:val="3"/>
        <w:spacing w:line="560" w:lineRule="exact"/>
        <w:ind w:firstLine="640" w:firstLineChars="200"/>
        <w:rPr>
          <w:rFonts w:ascii="黑体" w:hAnsi="黑体" w:eastAsia="黑体" w:cs="黑体"/>
          <w:b w:val="0"/>
          <w:bCs/>
          <w:i w:val="0"/>
          <w:iCs/>
          <w:sz w:val="32"/>
          <w:szCs w:val="28"/>
        </w:rPr>
      </w:pPr>
      <w:bookmarkStart w:id="16" w:name="_Toc62721753"/>
      <w:bookmarkStart w:id="17" w:name="_Toc29500"/>
      <w:r>
        <w:rPr>
          <w:rFonts w:hint="eastAsia" w:ascii="黑体" w:hAnsi="黑体" w:eastAsia="黑体" w:cs="黑体"/>
          <w:b w:val="0"/>
          <w:bCs/>
          <w:i w:val="0"/>
          <w:iCs/>
          <w:sz w:val="32"/>
          <w:szCs w:val="28"/>
        </w:rPr>
        <w:t>七、信度与效度检验</w:t>
      </w:r>
      <w:bookmarkEnd w:id="16"/>
      <w:bookmarkEnd w:id="17"/>
      <w:r>
        <w:rPr>
          <w:rFonts w:hint="eastAsia" w:ascii="黑体" w:hAnsi="黑体" w:eastAsia="黑体" w:cs="黑体"/>
          <w:b w:val="0"/>
          <w:bCs/>
          <w:i w:val="0"/>
          <w:iCs/>
          <w:sz w:val="32"/>
          <w:szCs w:val="28"/>
        </w:rPr>
        <w:t xml:space="preserve"> </w:t>
      </w:r>
    </w:p>
    <w:p>
      <w:pPr>
        <w:spacing w:line="560" w:lineRule="exact"/>
        <w:ind w:firstLine="640" w:firstLineChars="200"/>
        <w:jc w:val="both"/>
        <w:rPr>
          <w:rFonts w:ascii="仿宋" w:hAnsi="仿宋" w:eastAsia="仿宋" w:cs="仿宋"/>
          <w:color w:val="1C1C1C"/>
          <w:sz w:val="32"/>
          <w:szCs w:val="32"/>
        </w:rPr>
      </w:pPr>
      <w:r>
        <w:rPr>
          <w:rFonts w:ascii="仿宋" w:hAnsi="仿宋" w:eastAsia="仿宋" w:cs="仿宋"/>
          <w:color w:val="1C1C1C"/>
          <w:sz w:val="32"/>
          <w:szCs w:val="32"/>
        </w:rPr>
        <w:t>信度即可靠性，指的是采用同样的方法对同一对象进行重复</w:t>
      </w:r>
      <w:r>
        <w:rPr>
          <w:rFonts w:hint="eastAsia" w:ascii="仿宋" w:hAnsi="仿宋" w:eastAsia="仿宋" w:cs="仿宋"/>
          <w:color w:val="1C1C1C"/>
          <w:sz w:val="32"/>
          <w:szCs w:val="32"/>
        </w:rPr>
        <w:t>测量时，测量的结果是否一致。信度考察的是测量数据的可靠程度。目前，国内外采用问卷进行的调查，通常是对问卷内部一致性信度进行分析，其中克朗巴哈系数（Cronbach’s Alpha）的应用最为广泛。</w:t>
      </w:r>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调查结束后，对数据结果进行信度检验，得到的克朗巴哈系数是0.9</w:t>
      </w:r>
      <w:r>
        <w:rPr>
          <w:rFonts w:ascii="仿宋" w:hAnsi="仿宋" w:eastAsia="仿宋" w:cs="仿宋"/>
          <w:color w:val="1C1C1C"/>
          <w:sz w:val="32"/>
          <w:szCs w:val="32"/>
        </w:rPr>
        <w:t>6</w:t>
      </w:r>
      <w:r>
        <w:rPr>
          <w:rFonts w:hint="eastAsia" w:ascii="仿宋" w:hAnsi="仿宋" w:eastAsia="仿宋" w:cs="仿宋"/>
          <w:color w:val="1C1C1C"/>
          <w:sz w:val="32"/>
          <w:szCs w:val="32"/>
        </w:rPr>
        <w:t>1。说明调查结果具有较高的可靠性。</w:t>
      </w:r>
    </w:p>
    <w:p>
      <w:pPr>
        <w:spacing w:line="560" w:lineRule="exact"/>
        <w:ind w:firstLine="640" w:firstLineChars="200"/>
        <w:jc w:val="both"/>
        <w:rPr>
          <w:rFonts w:ascii="仿宋" w:hAnsi="仿宋" w:eastAsia="仿宋" w:cs="仿宋"/>
          <w:color w:val="1C1C1C"/>
          <w:sz w:val="32"/>
          <w:szCs w:val="32"/>
        </w:rPr>
      </w:pPr>
    </w:p>
    <w:p>
      <w:pPr>
        <w:spacing w:line="560" w:lineRule="exact"/>
        <w:ind w:firstLine="640" w:firstLineChars="200"/>
        <w:jc w:val="both"/>
        <w:rPr>
          <w:rFonts w:ascii="仿宋" w:hAnsi="仿宋" w:eastAsia="仿宋" w:cs="仿宋"/>
          <w:color w:val="1C1C1C"/>
          <w:sz w:val="32"/>
          <w:szCs w:val="32"/>
        </w:rPr>
      </w:pPr>
    </w:p>
    <w:p>
      <w:pPr>
        <w:jc w:val="center"/>
        <w:rPr>
          <w:rFonts w:ascii="黑体" w:hAnsi="黑体" w:eastAsia="黑体" w:cs="黑体"/>
          <w:color w:val="1C1C1C"/>
          <w:sz w:val="28"/>
          <w:szCs w:val="28"/>
        </w:rPr>
      </w:pPr>
      <w:r>
        <w:rPr>
          <w:rFonts w:hint="eastAsia" w:ascii="黑体" w:hAnsi="黑体" w:eastAsia="黑体" w:cs="黑体"/>
          <w:color w:val="1C1C1C"/>
          <w:sz w:val="28"/>
          <w:szCs w:val="28"/>
        </w:rPr>
        <w:t>表3 克朗巴哈系数的度量标准</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4472C4" w:themeFill="accent5"/>
            <w:vAlign w:val="center"/>
          </w:tcPr>
          <w:p>
            <w:pPr>
              <w:widowControl w:val="0"/>
              <w:jc w:val="center"/>
              <w:rPr>
                <w:rFonts w:ascii="黑体" w:hAnsi="黑体" w:eastAsia="黑体" w:cs="黑体"/>
                <w:sz w:val="28"/>
                <w:szCs w:val="28"/>
              </w:rPr>
            </w:pPr>
            <w:r>
              <w:rPr>
                <w:rFonts w:hint="eastAsia" w:ascii="黑体" w:hAnsi="黑体" w:eastAsia="黑体" w:cs="黑体"/>
                <w:sz w:val="28"/>
                <w:szCs w:val="28"/>
              </w:rPr>
              <w:t>克朗巴哈系数</w:t>
            </w:r>
          </w:p>
        </w:tc>
        <w:tc>
          <w:tcPr>
            <w:tcW w:w="4261" w:type="dxa"/>
            <w:shd w:val="clear" w:color="auto" w:fill="4472C4" w:themeFill="accent5"/>
            <w:vAlign w:val="center"/>
          </w:tcPr>
          <w:p>
            <w:pPr>
              <w:widowControl w:val="0"/>
              <w:jc w:val="center"/>
              <w:rPr>
                <w:rFonts w:ascii="黑体" w:hAnsi="黑体" w:eastAsia="黑体" w:cs="黑体"/>
                <w:sz w:val="28"/>
                <w:szCs w:val="28"/>
              </w:rPr>
            </w:pPr>
            <w:r>
              <w:rPr>
                <w:rFonts w:hint="eastAsia" w:ascii="黑体" w:hAnsi="黑体" w:eastAsia="黑体" w:cs="黑体"/>
                <w:sz w:val="28"/>
                <w:szCs w:val="28"/>
              </w:rPr>
              <w:t>内部一致性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α</w:t>
            </w:r>
            <w:r>
              <w:rPr>
                <w:rFonts w:hint="eastAsia" w:ascii="TimesNewRomanPSMT" w:hAnsi="TimesNewRomanPSMT" w:eastAsia="TimesNewRomanPSMT" w:cs="TimesNewRomanPSMT"/>
                <w:color w:val="1C1C1C"/>
              </w:rPr>
              <w:t xml:space="preserve"> </w:t>
            </w:r>
            <w:r>
              <w:rPr>
                <w:rFonts w:ascii="TimesNewRomanPSMT" w:hAnsi="TimesNewRomanPSMT" w:eastAsia="TimesNewRomanPSMT" w:cs="TimesNewRomanPSMT"/>
                <w:color w:val="1C1C1C"/>
              </w:rPr>
              <w:t>≥ 0.9</w:t>
            </w:r>
          </w:p>
        </w:tc>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Excellent</w:t>
            </w:r>
            <w:r>
              <w:rPr>
                <w:rFonts w:ascii="仿宋" w:hAnsi="仿宋" w:eastAsia="仿宋" w:cs="仿宋"/>
                <w:color w:val="1C1C1C"/>
              </w:rPr>
              <w:t>（非常好）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0.9 &gt; α ≥ 0.8</w:t>
            </w:r>
          </w:p>
        </w:tc>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Good</w:t>
            </w:r>
            <w:r>
              <w:rPr>
                <w:rFonts w:ascii="仿宋" w:hAnsi="仿宋" w:eastAsia="仿宋" w:cs="仿宋"/>
                <w:color w:val="1C1C1C"/>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0.8 &gt; α ≥ 0.7</w:t>
            </w:r>
          </w:p>
        </w:tc>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Acceptable</w:t>
            </w:r>
            <w:r>
              <w:rPr>
                <w:rFonts w:ascii="仿宋" w:hAnsi="仿宋" w:eastAsia="仿宋" w:cs="仿宋"/>
                <w:color w:val="1C1C1C"/>
              </w:rPr>
              <w:t>（可接受）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0.</w:t>
            </w:r>
            <w:r>
              <w:rPr>
                <w:rFonts w:hint="eastAsia" w:ascii="TimesNewRomanPSMT" w:hAnsi="TimesNewRomanPSMT" w:eastAsia="TimesNewRomanPSMT" w:cs="TimesNewRomanPSMT"/>
                <w:color w:val="1C1C1C"/>
              </w:rPr>
              <w:t>7</w:t>
            </w:r>
            <w:r>
              <w:rPr>
                <w:rFonts w:ascii="TimesNewRomanPSMT" w:hAnsi="TimesNewRomanPSMT" w:eastAsia="TimesNewRomanPSMT" w:cs="TimesNewRomanPSMT"/>
                <w:color w:val="1C1C1C"/>
              </w:rPr>
              <w:t xml:space="preserve"> &gt; α ≥ 0.</w:t>
            </w:r>
            <w:r>
              <w:rPr>
                <w:rFonts w:hint="eastAsia" w:ascii="TimesNewRomanPSMT" w:hAnsi="TimesNewRomanPSMT" w:eastAsia="TimesNewRomanPSMT" w:cs="TimesNewRomanPSMT"/>
                <w:color w:val="1C1C1C"/>
              </w:rPr>
              <w:t>6</w:t>
            </w:r>
          </w:p>
        </w:tc>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Questionable</w:t>
            </w:r>
            <w:r>
              <w:rPr>
                <w:rFonts w:ascii="仿宋" w:hAnsi="仿宋" w:eastAsia="仿宋" w:cs="仿宋"/>
                <w:color w:val="1C1C1C"/>
              </w:rPr>
              <w:t>（存在质疑）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0.</w:t>
            </w:r>
            <w:r>
              <w:rPr>
                <w:rFonts w:hint="eastAsia" w:ascii="TimesNewRomanPSMT" w:hAnsi="TimesNewRomanPSMT" w:eastAsia="TimesNewRomanPSMT" w:cs="TimesNewRomanPSMT"/>
                <w:color w:val="1C1C1C"/>
              </w:rPr>
              <w:t>6</w:t>
            </w:r>
            <w:r>
              <w:rPr>
                <w:rFonts w:ascii="TimesNewRomanPSMT" w:hAnsi="TimesNewRomanPSMT" w:eastAsia="TimesNewRomanPSMT" w:cs="TimesNewRomanPSMT"/>
                <w:color w:val="1C1C1C"/>
              </w:rPr>
              <w:t xml:space="preserve"> &gt; α ≥ 0.</w:t>
            </w:r>
            <w:r>
              <w:rPr>
                <w:rFonts w:hint="eastAsia" w:ascii="TimesNewRomanPSMT" w:hAnsi="TimesNewRomanPSMT" w:eastAsia="TimesNewRomanPSMT" w:cs="TimesNewRomanPSMT"/>
                <w:color w:val="1C1C1C"/>
              </w:rPr>
              <w:t>5</w:t>
            </w:r>
          </w:p>
        </w:tc>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Poor</w:t>
            </w:r>
            <w:r>
              <w:rPr>
                <w:rFonts w:ascii="仿宋" w:hAnsi="仿宋" w:eastAsia="仿宋" w:cs="仿宋"/>
                <w:color w:val="1C1C1C"/>
              </w:rPr>
              <w:t>（较差）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0.</w:t>
            </w:r>
            <w:r>
              <w:rPr>
                <w:rFonts w:hint="eastAsia" w:ascii="TimesNewRomanPSMT" w:hAnsi="TimesNewRomanPSMT" w:eastAsia="TimesNewRomanPSMT" w:cs="TimesNewRomanPSMT"/>
                <w:color w:val="1C1C1C"/>
              </w:rPr>
              <w:t>5</w:t>
            </w:r>
            <w:r>
              <w:rPr>
                <w:rFonts w:ascii="TimesNewRomanPSMT" w:hAnsi="TimesNewRomanPSMT" w:eastAsia="TimesNewRomanPSMT" w:cs="TimesNewRomanPSMT"/>
                <w:color w:val="1C1C1C"/>
              </w:rPr>
              <w:t xml:space="preserve"> &gt; α</w:t>
            </w:r>
          </w:p>
        </w:tc>
        <w:tc>
          <w:tcPr>
            <w:tcW w:w="4261"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Unacceptable</w:t>
            </w:r>
            <w:r>
              <w:rPr>
                <w:rFonts w:ascii="仿宋" w:hAnsi="仿宋" w:eastAsia="仿宋" w:cs="仿宋"/>
                <w:color w:val="1C1C1C"/>
              </w:rPr>
              <w:t>（不可接受）</w:t>
            </w:r>
          </w:p>
        </w:tc>
      </w:tr>
    </w:tbl>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效度即有效性，是指测量工具或手段能够准确测出所需测量事物的程度。测量结果与要考察的内容越吻合，则效度越高。一般来说，在市场调查中，效度分析主要是对问卷的结构效度进行测量。而结构效度测量最为常用的方法就是因子分析模型的KMO（</w:t>
      </w:r>
      <w:r>
        <w:rPr>
          <w:rFonts w:ascii="仿宋" w:hAnsi="仿宋" w:eastAsia="仿宋" w:cs="仿宋"/>
          <w:color w:val="1C1C1C"/>
          <w:sz w:val="32"/>
          <w:szCs w:val="32"/>
        </w:rPr>
        <w:t>Kaiser-Meyer-Olkin</w:t>
      </w:r>
      <w:r>
        <w:rPr>
          <w:rFonts w:hint="eastAsia" w:ascii="仿宋" w:hAnsi="仿宋" w:eastAsia="仿宋" w:cs="仿宋"/>
          <w:color w:val="1C1C1C"/>
          <w:sz w:val="32"/>
          <w:szCs w:val="32"/>
        </w:rPr>
        <w:t>）检验和</w:t>
      </w:r>
      <w:r>
        <w:rPr>
          <w:rFonts w:ascii="仿宋" w:hAnsi="仿宋" w:eastAsia="仿宋" w:cs="仿宋"/>
          <w:color w:val="1C1C1C"/>
          <w:sz w:val="32"/>
          <w:szCs w:val="32"/>
        </w:rPr>
        <w:t>Bartlett</w:t>
      </w:r>
      <w:r>
        <w:rPr>
          <w:rFonts w:hint="eastAsia" w:ascii="仿宋" w:hAnsi="仿宋" w:eastAsia="仿宋" w:cs="仿宋"/>
          <w:color w:val="1C1C1C"/>
          <w:sz w:val="32"/>
          <w:szCs w:val="32"/>
        </w:rPr>
        <w:t xml:space="preserve">球形检验。 </w:t>
      </w:r>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在统计学上，</w:t>
      </w:r>
      <w:r>
        <w:rPr>
          <w:rFonts w:ascii="仿宋" w:hAnsi="仿宋" w:eastAsia="仿宋" w:cs="仿宋"/>
          <w:color w:val="1C1C1C"/>
          <w:sz w:val="32"/>
          <w:szCs w:val="32"/>
        </w:rPr>
        <w:t>KMO</w:t>
      </w:r>
      <w:r>
        <w:rPr>
          <w:rFonts w:hint="eastAsia" w:ascii="仿宋" w:hAnsi="仿宋" w:eastAsia="仿宋" w:cs="仿宋"/>
          <w:color w:val="1C1C1C"/>
          <w:sz w:val="32"/>
          <w:szCs w:val="32"/>
        </w:rPr>
        <w:t>值越接近于</w:t>
      </w:r>
      <w:r>
        <w:rPr>
          <w:rFonts w:ascii="仿宋" w:hAnsi="仿宋" w:eastAsia="仿宋" w:cs="仿宋"/>
          <w:color w:val="1C1C1C"/>
          <w:sz w:val="32"/>
          <w:szCs w:val="32"/>
        </w:rPr>
        <w:t>1</w:t>
      </w:r>
      <w:r>
        <w:rPr>
          <w:rFonts w:hint="eastAsia" w:ascii="仿宋" w:hAnsi="仿宋" w:eastAsia="仿宋" w:cs="仿宋"/>
          <w:color w:val="1C1C1C"/>
          <w:sz w:val="32"/>
          <w:szCs w:val="32"/>
        </w:rPr>
        <w:t>，意味着变量间的相关性越强，原有变量越适合作因子分析。学者</w:t>
      </w:r>
      <w:r>
        <w:rPr>
          <w:rFonts w:ascii="仿宋" w:hAnsi="仿宋" w:eastAsia="仿宋" w:cs="仿宋"/>
          <w:color w:val="1C1C1C"/>
          <w:sz w:val="32"/>
          <w:szCs w:val="32"/>
        </w:rPr>
        <w:t>Kaiser</w:t>
      </w:r>
      <w:r>
        <w:rPr>
          <w:rFonts w:hint="eastAsia" w:ascii="仿宋" w:hAnsi="仿宋" w:eastAsia="仿宋" w:cs="仿宋"/>
          <w:color w:val="1C1C1C"/>
          <w:sz w:val="32"/>
          <w:szCs w:val="32"/>
        </w:rPr>
        <w:t>给出了</w:t>
      </w:r>
      <w:r>
        <w:rPr>
          <w:rFonts w:ascii="仿宋" w:hAnsi="仿宋" w:eastAsia="仿宋" w:cs="仿宋"/>
          <w:color w:val="1C1C1C"/>
          <w:sz w:val="32"/>
          <w:szCs w:val="32"/>
        </w:rPr>
        <w:t>KMO</w:t>
      </w:r>
      <w:r>
        <w:rPr>
          <w:rFonts w:hint="eastAsia" w:ascii="仿宋" w:hAnsi="仿宋" w:eastAsia="仿宋" w:cs="仿宋"/>
          <w:color w:val="1C1C1C"/>
          <w:sz w:val="32"/>
          <w:szCs w:val="32"/>
        </w:rPr>
        <w:t>和</w:t>
      </w:r>
      <w:r>
        <w:rPr>
          <w:rFonts w:ascii="仿宋" w:hAnsi="仿宋" w:eastAsia="仿宋" w:cs="仿宋"/>
          <w:color w:val="1C1C1C"/>
          <w:sz w:val="32"/>
          <w:szCs w:val="32"/>
        </w:rPr>
        <w:t>Bartlett</w:t>
      </w:r>
      <w:r>
        <w:rPr>
          <w:rFonts w:hint="eastAsia" w:ascii="仿宋" w:hAnsi="仿宋" w:eastAsia="仿宋" w:cs="仿宋"/>
          <w:color w:val="1C1C1C"/>
          <w:sz w:val="32"/>
          <w:szCs w:val="32"/>
        </w:rPr>
        <w:t>球形检验的度量标准，具体情况下表：</w:t>
      </w:r>
    </w:p>
    <w:p>
      <w:pPr>
        <w:jc w:val="center"/>
        <w:rPr>
          <w:rFonts w:ascii="黑体" w:hAnsi="黑体" w:eastAsia="黑体" w:cs="黑体"/>
          <w:color w:val="1C1C1C"/>
          <w:sz w:val="28"/>
          <w:szCs w:val="28"/>
        </w:rPr>
      </w:pPr>
      <w:r>
        <w:rPr>
          <w:rFonts w:hint="eastAsia" w:ascii="黑体" w:hAnsi="黑体" w:eastAsia="黑体" w:cs="黑体"/>
          <w:color w:val="1C1C1C"/>
          <w:sz w:val="28"/>
          <w:szCs w:val="28"/>
        </w:rPr>
        <w:t>表4 KMO 和 Bartlett 球形检验的度量标准</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val="0"/>
              <w:jc w:val="center"/>
              <w:rPr>
                <w:rFonts w:ascii="黑体" w:hAnsi="黑体" w:eastAsia="黑体" w:cs="黑体"/>
                <w:sz w:val="28"/>
                <w:szCs w:val="28"/>
              </w:rPr>
            </w:pPr>
          </w:p>
        </w:tc>
        <w:tc>
          <w:tcPr>
            <w:tcW w:w="2840" w:type="dxa"/>
            <w:shd w:val="clear" w:color="auto" w:fill="4472C4" w:themeFill="accent5"/>
            <w:vAlign w:val="center"/>
          </w:tcPr>
          <w:p>
            <w:pPr>
              <w:widowControl w:val="0"/>
              <w:jc w:val="center"/>
              <w:rPr>
                <w:rFonts w:ascii="黑体" w:hAnsi="黑体" w:eastAsia="黑体" w:cs="黑体"/>
                <w:sz w:val="28"/>
                <w:szCs w:val="28"/>
              </w:rPr>
            </w:pPr>
            <w:r>
              <w:rPr>
                <w:rFonts w:hint="eastAsia" w:ascii="黑体" w:hAnsi="黑体" w:eastAsia="黑体" w:cs="黑体"/>
                <w:sz w:val="28"/>
                <w:szCs w:val="28"/>
              </w:rPr>
              <w:t>范围</w:t>
            </w:r>
          </w:p>
        </w:tc>
        <w:tc>
          <w:tcPr>
            <w:tcW w:w="2840" w:type="dxa"/>
            <w:shd w:val="clear" w:color="auto" w:fill="4472C4" w:themeFill="accent5"/>
            <w:vAlign w:val="center"/>
          </w:tcPr>
          <w:p>
            <w:pPr>
              <w:widowControl w:val="0"/>
              <w:jc w:val="center"/>
              <w:rPr>
                <w:rFonts w:ascii="黑体" w:hAnsi="黑体" w:eastAsia="黑体" w:cs="黑体"/>
                <w:sz w:val="28"/>
                <w:szCs w:val="28"/>
              </w:rPr>
            </w:pPr>
            <w:r>
              <w:rPr>
                <w:rFonts w:hint="eastAsia" w:ascii="黑体" w:hAnsi="黑体" w:eastAsia="黑体" w:cs="黑体"/>
                <w:sz w:val="28"/>
                <w:szCs w:val="28"/>
              </w:rPr>
              <w:t>适合情况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center"/>
          </w:tcPr>
          <w:p>
            <w:pPr>
              <w:widowControl/>
              <w:jc w:val="center"/>
              <w:rPr>
                <w:rFonts w:ascii="TimesNewRomanPSMT" w:hAnsi="TimesNewRomanPSMT" w:eastAsia="TimesNewRomanPSMT" w:cs="TimesNewRomanPSMT"/>
                <w:color w:val="1C1C1C"/>
              </w:rPr>
            </w:pPr>
            <w:r>
              <w:rPr>
                <w:rFonts w:hint="eastAsia" w:ascii="TimesNewRomanPSMT" w:hAnsi="TimesNewRomanPSMT" w:eastAsia="TimesNewRomanPSMT" w:cs="TimesNewRomanPSMT"/>
                <w:color w:val="1C1C1C"/>
              </w:rPr>
              <w:t>KMO值</w:t>
            </w:r>
          </w:p>
        </w:tc>
        <w:tc>
          <w:tcPr>
            <w:tcW w:w="2840" w:type="dxa"/>
            <w:vAlign w:val="center"/>
          </w:tcPr>
          <w:p>
            <w:pPr>
              <w:widowControl/>
              <w:jc w:val="center"/>
              <w:rPr>
                <w:rFonts w:ascii="仿宋" w:hAnsi="仿宋" w:eastAsia="仿宋" w:cs="仿宋"/>
              </w:rPr>
            </w:pPr>
            <w:r>
              <w:rPr>
                <w:rFonts w:hint="eastAsia" w:ascii="TimesNewRomanPSMT" w:hAnsi="TimesNewRomanPSMT" w:eastAsia="TimesNewRomanPSMT" w:cs="TimesNewRomanPSMT"/>
                <w:color w:val="1C1C1C"/>
              </w:rPr>
              <w:t>大于</w:t>
            </w:r>
            <w:r>
              <w:rPr>
                <w:rFonts w:ascii="TimesNewRomanPSMT" w:hAnsi="TimesNewRomanPSMT" w:eastAsia="TimesNewRomanPSMT" w:cs="TimesNewRomanPSMT"/>
                <w:color w:val="1C1C1C"/>
              </w:rPr>
              <w:t>0.9</w:t>
            </w:r>
          </w:p>
        </w:tc>
        <w:tc>
          <w:tcPr>
            <w:tcW w:w="2840" w:type="dxa"/>
            <w:vAlign w:val="center"/>
          </w:tcPr>
          <w:p>
            <w:pPr>
              <w:widowControl/>
              <w:jc w:val="center"/>
              <w:rPr>
                <w:rFonts w:ascii="仿宋" w:hAnsi="仿宋" w:eastAsia="仿宋" w:cs="仿宋"/>
              </w:rPr>
            </w:pPr>
            <w:r>
              <w:rPr>
                <w:rFonts w:hint="eastAsia" w:ascii="TimesNewRomanPSMT" w:hAnsi="TimesNewRomanPSMT" w:eastAsia="TimesNewRomanPSMT" w:cs="TimesNewRomanPSMT"/>
                <w:color w:val="1C1C1C"/>
              </w:rPr>
              <w:t>非常适合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widowControl/>
              <w:jc w:val="center"/>
              <w:rPr>
                <w:rFonts w:ascii="TimesNewRomanPSMT" w:hAnsi="TimesNewRomanPSMT" w:eastAsia="TimesNewRomanPSMT" w:cs="TimesNewRomanPSMT"/>
                <w:color w:val="1C1C1C"/>
              </w:rPr>
            </w:pPr>
          </w:p>
        </w:tc>
        <w:tc>
          <w:tcPr>
            <w:tcW w:w="2840"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0.8</w:t>
            </w:r>
            <w:r>
              <w:rPr>
                <w:rFonts w:hint="eastAsia" w:ascii="TimesNewRomanPSMT" w:hAnsi="TimesNewRomanPSMT" w:eastAsia="TimesNewRomanPSMT" w:cs="TimesNewRomanPSMT"/>
                <w:color w:val="1C1C1C"/>
              </w:rPr>
              <w:t>~0.9</w:t>
            </w:r>
          </w:p>
        </w:tc>
        <w:tc>
          <w:tcPr>
            <w:tcW w:w="2840" w:type="dxa"/>
            <w:vAlign w:val="center"/>
          </w:tcPr>
          <w:p>
            <w:pPr>
              <w:widowControl/>
              <w:jc w:val="center"/>
              <w:rPr>
                <w:rFonts w:ascii="仿宋" w:hAnsi="仿宋" w:eastAsia="仿宋" w:cs="仿宋"/>
              </w:rPr>
            </w:pPr>
            <w:r>
              <w:rPr>
                <w:rFonts w:hint="eastAsia" w:ascii="TimesNewRomanPSMT" w:hAnsi="TimesNewRomanPSMT" w:eastAsia="TimesNewRomanPSMT" w:cs="TimesNewRomanPSMT"/>
                <w:color w:val="1C1C1C"/>
              </w:rPr>
              <w:t>很适合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widowControl/>
              <w:jc w:val="center"/>
              <w:rPr>
                <w:rFonts w:ascii="TimesNewRomanPSMT" w:hAnsi="TimesNewRomanPSMT" w:eastAsia="TimesNewRomanPSMT" w:cs="TimesNewRomanPSMT"/>
                <w:color w:val="1C1C1C"/>
              </w:rPr>
            </w:pPr>
          </w:p>
        </w:tc>
        <w:tc>
          <w:tcPr>
            <w:tcW w:w="2840"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0.7</w:t>
            </w:r>
            <w:r>
              <w:rPr>
                <w:rFonts w:hint="eastAsia" w:ascii="TimesNewRomanPSMT" w:hAnsi="TimesNewRomanPSMT" w:eastAsia="TimesNewRomanPSMT" w:cs="TimesNewRomanPSMT"/>
                <w:color w:val="1C1C1C"/>
              </w:rPr>
              <w:t>~0.8</w:t>
            </w:r>
          </w:p>
        </w:tc>
        <w:tc>
          <w:tcPr>
            <w:tcW w:w="2840" w:type="dxa"/>
            <w:vAlign w:val="center"/>
          </w:tcPr>
          <w:p>
            <w:pPr>
              <w:widowControl/>
              <w:jc w:val="center"/>
              <w:rPr>
                <w:rFonts w:ascii="仿宋" w:hAnsi="仿宋" w:eastAsia="仿宋" w:cs="仿宋"/>
              </w:rPr>
            </w:pPr>
            <w:r>
              <w:rPr>
                <w:rFonts w:hint="eastAsia" w:ascii="TimesNewRomanPSMT" w:hAnsi="TimesNewRomanPSMT" w:eastAsia="TimesNewRomanPSMT" w:cs="TimesNewRomanPSMT"/>
                <w:color w:val="1C1C1C"/>
              </w:rPr>
              <w:t>适合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widowControl/>
              <w:jc w:val="center"/>
              <w:rPr>
                <w:rFonts w:ascii="TimesNewRomanPSMT" w:hAnsi="TimesNewRomanPSMT" w:eastAsia="TimesNewRomanPSMT" w:cs="TimesNewRomanPSMT"/>
                <w:color w:val="1C1C1C"/>
              </w:rPr>
            </w:pPr>
          </w:p>
        </w:tc>
        <w:tc>
          <w:tcPr>
            <w:tcW w:w="2840" w:type="dxa"/>
            <w:vAlign w:val="center"/>
          </w:tcPr>
          <w:p>
            <w:pPr>
              <w:widowControl/>
              <w:jc w:val="center"/>
              <w:rPr>
                <w:rFonts w:ascii="仿宋" w:hAnsi="仿宋" w:eastAsia="仿宋" w:cs="仿宋"/>
              </w:rPr>
            </w:pPr>
            <w:r>
              <w:rPr>
                <w:rFonts w:hint="eastAsia" w:ascii="TimesNewRomanPSMT" w:hAnsi="TimesNewRomanPSMT" w:eastAsia="TimesNewRomanPSMT" w:cs="TimesNewRomanPSMT"/>
                <w:color w:val="1C1C1C"/>
              </w:rPr>
              <w:t>0.6~0.7</w:t>
            </w:r>
          </w:p>
        </w:tc>
        <w:tc>
          <w:tcPr>
            <w:tcW w:w="2840" w:type="dxa"/>
            <w:vAlign w:val="center"/>
          </w:tcPr>
          <w:p>
            <w:pPr>
              <w:widowControl/>
              <w:jc w:val="center"/>
              <w:rPr>
                <w:rFonts w:ascii="仿宋" w:hAnsi="仿宋" w:eastAsia="仿宋" w:cs="仿宋"/>
              </w:rPr>
            </w:pPr>
            <w:r>
              <w:rPr>
                <w:rFonts w:hint="eastAsia" w:ascii="TimesNewRomanPSMT" w:hAnsi="TimesNewRomanPSMT" w:eastAsia="TimesNewRomanPSMT" w:cs="TimesNewRomanPSMT"/>
                <w:color w:val="1C1C1C"/>
              </w:rPr>
              <w:t>不太适合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widowControl/>
              <w:jc w:val="center"/>
              <w:rPr>
                <w:rFonts w:ascii="TimesNewRomanPSMT" w:hAnsi="TimesNewRomanPSMT" w:eastAsia="TimesNewRomanPSMT" w:cs="TimesNewRomanPSMT"/>
                <w:color w:val="1C1C1C"/>
              </w:rPr>
            </w:pPr>
          </w:p>
        </w:tc>
        <w:tc>
          <w:tcPr>
            <w:tcW w:w="2840" w:type="dxa"/>
            <w:vAlign w:val="center"/>
          </w:tcPr>
          <w:p>
            <w:pPr>
              <w:widowControl/>
              <w:jc w:val="center"/>
              <w:rPr>
                <w:rFonts w:ascii="仿宋" w:hAnsi="仿宋" w:eastAsia="仿宋" w:cs="仿宋"/>
              </w:rPr>
            </w:pPr>
            <w:r>
              <w:rPr>
                <w:rFonts w:ascii="TimesNewRomanPSMT" w:hAnsi="TimesNewRomanPSMT" w:eastAsia="TimesNewRomanPSMT" w:cs="TimesNewRomanPSMT"/>
                <w:color w:val="1C1C1C"/>
              </w:rPr>
              <w:t>0.</w:t>
            </w:r>
            <w:r>
              <w:rPr>
                <w:rFonts w:hint="eastAsia" w:ascii="TimesNewRomanPSMT" w:hAnsi="TimesNewRomanPSMT" w:eastAsia="TimesNewRomanPSMT" w:cs="TimesNewRomanPSMT"/>
                <w:color w:val="1C1C1C"/>
              </w:rPr>
              <w:t>5~0.6</w:t>
            </w:r>
          </w:p>
        </w:tc>
        <w:tc>
          <w:tcPr>
            <w:tcW w:w="2840" w:type="dxa"/>
            <w:vAlign w:val="center"/>
          </w:tcPr>
          <w:p>
            <w:pPr>
              <w:widowControl/>
              <w:jc w:val="center"/>
              <w:rPr>
                <w:rFonts w:ascii="仿宋" w:hAnsi="仿宋" w:eastAsia="仿宋" w:cs="仿宋"/>
              </w:rPr>
            </w:pPr>
            <w:r>
              <w:rPr>
                <w:rFonts w:hint="eastAsia" w:ascii="TimesNewRomanPSMT" w:hAnsi="TimesNewRomanPSMT" w:eastAsia="TimesNewRomanPSMT" w:cs="TimesNewRomanPSMT"/>
                <w:color w:val="1C1C1C"/>
              </w:rPr>
              <w:t>勉强适合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widowControl/>
              <w:jc w:val="center"/>
              <w:rPr>
                <w:rFonts w:ascii="TimesNewRomanPSMT" w:hAnsi="TimesNewRomanPSMT" w:eastAsia="TimesNewRomanPSMT" w:cs="TimesNewRomanPSMT"/>
                <w:color w:val="1C1C1C"/>
              </w:rPr>
            </w:pPr>
          </w:p>
        </w:tc>
        <w:tc>
          <w:tcPr>
            <w:tcW w:w="2840" w:type="dxa"/>
            <w:vAlign w:val="center"/>
          </w:tcPr>
          <w:p>
            <w:pPr>
              <w:widowControl/>
              <w:jc w:val="center"/>
              <w:rPr>
                <w:rFonts w:ascii="TimesNewRomanPSMT" w:hAnsi="TimesNewRomanPSMT" w:eastAsia="TimesNewRomanPSMT" w:cs="TimesNewRomanPSMT"/>
                <w:color w:val="1C1C1C"/>
              </w:rPr>
            </w:pPr>
            <w:r>
              <w:rPr>
                <w:rFonts w:hint="eastAsia" w:ascii="TimesNewRomanPSMT" w:hAnsi="TimesNewRomanPSMT" w:eastAsia="TimesNewRomanPSMT" w:cs="TimesNewRomanPSMT"/>
                <w:color w:val="1C1C1C"/>
              </w:rPr>
              <w:t>小于</w:t>
            </w:r>
            <w:r>
              <w:rPr>
                <w:rFonts w:ascii="TimesNewRomanPSMT" w:hAnsi="TimesNewRomanPSMT" w:eastAsia="TimesNewRomanPSMT" w:cs="TimesNewRomanPSMT"/>
                <w:color w:val="1C1C1C"/>
              </w:rPr>
              <w:t>0.</w:t>
            </w:r>
            <w:r>
              <w:rPr>
                <w:rFonts w:hint="eastAsia" w:ascii="TimesNewRomanPSMT" w:hAnsi="TimesNewRomanPSMT" w:eastAsia="TimesNewRomanPSMT" w:cs="TimesNewRomanPSMT"/>
                <w:color w:val="1C1C1C"/>
              </w:rPr>
              <w:t>5</w:t>
            </w:r>
          </w:p>
        </w:tc>
        <w:tc>
          <w:tcPr>
            <w:tcW w:w="2840" w:type="dxa"/>
            <w:vAlign w:val="center"/>
          </w:tcPr>
          <w:p>
            <w:pPr>
              <w:widowControl/>
              <w:jc w:val="center"/>
              <w:rPr>
                <w:rFonts w:ascii="仿宋" w:hAnsi="仿宋" w:eastAsia="仿宋" w:cs="仿宋"/>
              </w:rPr>
            </w:pPr>
            <w:r>
              <w:rPr>
                <w:rFonts w:hint="eastAsia" w:ascii="TimesNewRomanPSMT" w:hAnsi="TimesNewRomanPSMT" w:eastAsia="TimesNewRomanPSMT" w:cs="TimesNewRomanPSMT"/>
                <w:color w:val="1C1C1C"/>
              </w:rPr>
              <w:t>不适合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840" w:type="dxa"/>
            <w:vAlign w:val="center"/>
          </w:tcPr>
          <w:p>
            <w:pPr>
              <w:widowControl/>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Bartlett</w:t>
            </w:r>
            <w:r>
              <w:rPr>
                <w:rFonts w:hint="eastAsia" w:ascii="TimesNewRomanPSMT" w:hAnsi="TimesNewRomanPSMT" w:eastAsia="TimesNewRomanPSMT" w:cs="TimesNewRomanPSMT"/>
                <w:color w:val="1C1C1C"/>
              </w:rPr>
              <w:t>球形检验的</w:t>
            </w:r>
          </w:p>
          <w:p>
            <w:pPr>
              <w:widowControl/>
              <w:jc w:val="center"/>
              <w:rPr>
                <w:rFonts w:ascii="TimesNewRomanPSMT" w:hAnsi="TimesNewRomanPSMT" w:eastAsia="TimesNewRomanPSMT" w:cs="TimesNewRomanPSMT"/>
                <w:color w:val="1C1C1C"/>
              </w:rPr>
            </w:pPr>
            <w:r>
              <w:rPr>
                <w:rFonts w:hint="eastAsia" w:ascii="TimesNewRomanPSMT" w:hAnsi="TimesNewRomanPSMT" w:eastAsia="TimesNewRomanPSMT" w:cs="TimesNewRomanPSMT"/>
                <w:color w:val="1C1C1C"/>
              </w:rPr>
              <w:t>Sig.值</w:t>
            </w:r>
          </w:p>
        </w:tc>
        <w:tc>
          <w:tcPr>
            <w:tcW w:w="2840" w:type="dxa"/>
            <w:vAlign w:val="center"/>
          </w:tcPr>
          <w:p>
            <w:pPr>
              <w:widowControl/>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≤0.05</w:t>
            </w:r>
          </w:p>
        </w:tc>
        <w:tc>
          <w:tcPr>
            <w:tcW w:w="2840" w:type="dxa"/>
            <w:vAlign w:val="center"/>
          </w:tcPr>
          <w:p>
            <w:pPr>
              <w:widowControl/>
              <w:jc w:val="center"/>
              <w:rPr>
                <w:rFonts w:ascii="TimesNewRomanPSMT" w:hAnsi="TimesNewRomanPSMT" w:eastAsia="TimesNewRomanPSMT" w:cs="TimesNewRomanPSMT"/>
                <w:color w:val="1C1C1C"/>
              </w:rPr>
            </w:pPr>
            <w:r>
              <w:rPr>
                <w:rFonts w:hint="eastAsia" w:ascii="TimesNewRomanPSMT" w:hAnsi="TimesNewRomanPSMT" w:eastAsia="TimesNewRomanPSMT" w:cs="TimesNewRomanPSMT"/>
                <w:color w:val="1C1C1C"/>
              </w:rPr>
              <w:t>适合</w:t>
            </w:r>
          </w:p>
        </w:tc>
      </w:tr>
    </w:tbl>
    <w:p>
      <w:pPr>
        <w:spacing w:line="580" w:lineRule="exact"/>
        <w:ind w:firstLine="640" w:firstLineChars="200"/>
        <w:jc w:val="both"/>
      </w:pPr>
      <w:r>
        <w:rPr>
          <w:rFonts w:hint="eastAsia" w:ascii="仿宋" w:hAnsi="仿宋" w:eastAsia="仿宋" w:cs="仿宋"/>
          <w:color w:val="1C1C1C"/>
          <w:sz w:val="32"/>
          <w:szCs w:val="32"/>
        </w:rPr>
        <w:t>在调查结束后，对指标体系的结构效度进行了检验。KMO值为</w:t>
      </w:r>
      <w:r>
        <w:rPr>
          <w:rFonts w:ascii="仿宋" w:hAnsi="仿宋" w:eastAsia="仿宋" w:cs="仿宋"/>
          <w:color w:val="1C1C1C"/>
          <w:sz w:val="32"/>
          <w:szCs w:val="32"/>
        </w:rPr>
        <w:t>0.9</w:t>
      </w:r>
      <w:r>
        <w:rPr>
          <w:rFonts w:hint="eastAsia" w:ascii="仿宋" w:hAnsi="仿宋" w:eastAsia="仿宋" w:cs="仿宋"/>
          <w:color w:val="1C1C1C"/>
          <w:sz w:val="32"/>
          <w:szCs w:val="32"/>
        </w:rPr>
        <w:t>72，并且</w:t>
      </w:r>
      <w:r>
        <w:rPr>
          <w:rFonts w:ascii="仿宋" w:hAnsi="仿宋" w:eastAsia="仿宋" w:cs="仿宋"/>
          <w:color w:val="1C1C1C"/>
          <w:sz w:val="32"/>
          <w:szCs w:val="32"/>
        </w:rPr>
        <w:t>Bartlett</w:t>
      </w:r>
      <w:r>
        <w:rPr>
          <w:rFonts w:hint="eastAsia" w:ascii="仿宋" w:hAnsi="仿宋" w:eastAsia="仿宋" w:cs="仿宋"/>
          <w:color w:val="1C1C1C"/>
          <w:sz w:val="32"/>
          <w:szCs w:val="32"/>
        </w:rPr>
        <w:t>球形检验的</w:t>
      </w:r>
      <w:r>
        <w:rPr>
          <w:rFonts w:ascii="仿宋" w:hAnsi="仿宋" w:eastAsia="仿宋" w:cs="仿宋"/>
          <w:color w:val="1C1C1C"/>
          <w:sz w:val="32"/>
          <w:szCs w:val="32"/>
        </w:rPr>
        <w:t>Sig.</w:t>
      </w:r>
      <w:r>
        <w:rPr>
          <w:rFonts w:hint="eastAsia" w:ascii="仿宋" w:hAnsi="仿宋" w:eastAsia="仿宋" w:cs="仿宋"/>
          <w:color w:val="1C1C1C"/>
          <w:sz w:val="32"/>
          <w:szCs w:val="32"/>
        </w:rPr>
        <w:t>值</w:t>
      </w:r>
      <w:r>
        <w:rPr>
          <w:rFonts w:ascii="仿宋" w:hAnsi="仿宋" w:eastAsia="仿宋" w:cs="仿宋"/>
          <w:color w:val="1C1C1C"/>
          <w:sz w:val="32"/>
          <w:szCs w:val="32"/>
        </w:rPr>
        <w:t>≤0.05</w:t>
      </w:r>
      <w:r>
        <w:rPr>
          <w:rFonts w:hint="eastAsia" w:ascii="仿宋" w:hAnsi="仿宋" w:eastAsia="仿宋" w:cs="仿宋"/>
          <w:color w:val="1C1C1C"/>
          <w:sz w:val="32"/>
          <w:szCs w:val="32"/>
        </w:rPr>
        <w:t>，说明该问卷指标体系结构效度非常适合。</w:t>
      </w:r>
    </w:p>
    <w:tbl>
      <w:tblPr>
        <w:tblStyle w:val="1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3335"/>
        <w:gridCol w:w="3007"/>
        <w:gridCol w:w="19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000" w:type="pct"/>
            <w:gridSpan w:val="3"/>
            <w:tcBorders>
              <w:top w:val="nil"/>
              <w:left w:val="nil"/>
              <w:bottom w:val="single" w:color="auto" w:sz="4" w:space="0"/>
              <w:right w:val="nil"/>
              <w:tl2br w:val="nil"/>
              <w:tr2bl w:val="nil"/>
            </w:tcBorders>
            <w:shd w:val="clear" w:color="auto" w:fill="FFFFFF"/>
          </w:tcPr>
          <w:p>
            <w:pPr>
              <w:jc w:val="center"/>
              <w:rPr>
                <w:rFonts w:ascii="TimesNewRomanPSMT" w:hAnsi="TimesNewRomanPSMT" w:eastAsia="TimesNewRomanPSMT" w:cs="TimesNewRomanPSMT"/>
                <w:color w:val="1C1C1C"/>
                <w:sz w:val="28"/>
                <w:szCs w:val="28"/>
              </w:rPr>
            </w:pPr>
            <w:r>
              <w:rPr>
                <w:rFonts w:hint="eastAsia" w:ascii="黑体" w:hAnsi="黑体" w:eastAsia="黑体" w:cs="黑体"/>
                <w:color w:val="1C1C1C"/>
                <w:sz w:val="28"/>
                <w:szCs w:val="28"/>
              </w:rPr>
              <w:t>表5 KMO和Bartlett检验结果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3818" w:type="pct"/>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取样足够度的 Kaiser-Meyer-Olkin 度量。</w:t>
            </w:r>
          </w:p>
        </w:tc>
        <w:tc>
          <w:tcPr>
            <w:tcW w:w="196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.9</w:t>
            </w:r>
            <w:r>
              <w:rPr>
                <w:rFonts w:hint="eastAsia" w:ascii="TimesNewRomanPSMT" w:hAnsi="TimesNewRomanPSMT" w:cs="TimesNewRomanPSMT"/>
                <w:color w:val="1C1C1C"/>
              </w:rPr>
              <w:t>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08"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Bartlett 的球形度检验</w:t>
            </w:r>
          </w:p>
        </w:tc>
        <w:tc>
          <w:tcPr>
            <w:tcW w:w="1810" w:type="pct"/>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近似卡方</w:t>
            </w:r>
          </w:p>
        </w:tc>
        <w:tc>
          <w:tcPr>
            <w:tcW w:w="196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r>
              <w:rPr>
                <w:rFonts w:hint="eastAsia" w:ascii="TimesNewRomanPSMT" w:hAnsi="TimesNewRomanPSMT" w:cs="TimesNewRomanPSMT"/>
                <w:color w:val="1C1C1C"/>
              </w:rPr>
              <w:t>1</w:t>
            </w:r>
            <w:r>
              <w:rPr>
                <w:rFonts w:ascii="TimesNewRomanPSMT" w:hAnsi="TimesNewRomanPSMT" w:cs="TimesNewRomanPSMT"/>
                <w:color w:val="1C1C1C"/>
              </w:rPr>
              <w:t>40683</w:t>
            </w:r>
            <w:r>
              <w:rPr>
                <w:rFonts w:hint="eastAsia" w:ascii="TimesNewRomanPSMT" w:hAnsi="TimesNewRomanPSMT" w:cs="TimesNewRomanPSMT"/>
                <w:color w:val="1C1C1C"/>
              </w:rPr>
              <w:t>.</w:t>
            </w:r>
            <w:r>
              <w:rPr>
                <w:rFonts w:ascii="TimesNewRomanPSMT" w:hAnsi="TimesNewRomanPSMT" w:cs="TimesNewRomanPSMT"/>
                <w:color w:val="1C1C1C"/>
              </w:rPr>
              <w:t>11</w:t>
            </w:r>
            <w:r>
              <w:rPr>
                <w:rFonts w:hint="eastAsia" w:ascii="TimesNewRomanPSMT" w:hAnsi="TimesNewRomanPSMT" w:cs="TimesNewRomanPSMT"/>
                <w:color w:val="1C1C1C"/>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08"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p>
        </w:tc>
        <w:tc>
          <w:tcPr>
            <w:tcW w:w="1810" w:type="pct"/>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df</w:t>
            </w:r>
          </w:p>
        </w:tc>
        <w:tc>
          <w:tcPr>
            <w:tcW w:w="196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08"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p>
        </w:tc>
        <w:tc>
          <w:tcPr>
            <w:tcW w:w="1810" w:type="pct"/>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Sig.</w:t>
            </w:r>
          </w:p>
        </w:tc>
        <w:tc>
          <w:tcPr>
            <w:tcW w:w="196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jc w:val="center"/>
              <w:rPr>
                <w:rFonts w:ascii="TimesNewRomanPSMT" w:hAnsi="TimesNewRomanPSMT" w:eastAsia="TimesNewRomanPSMT" w:cs="TimesNewRomanPSMT"/>
                <w:color w:val="1C1C1C"/>
              </w:rPr>
            </w:pPr>
            <w:r>
              <w:rPr>
                <w:rFonts w:ascii="TimesNewRomanPSMT" w:hAnsi="TimesNewRomanPSMT" w:eastAsia="TimesNewRomanPSMT" w:cs="TimesNewRomanPSMT"/>
                <w:color w:val="1C1C1C"/>
              </w:rPr>
              <w:t>.000</w:t>
            </w:r>
          </w:p>
        </w:tc>
      </w:tr>
    </w:tbl>
    <w:p>
      <w:pPr>
        <w:rPr>
          <w:rFonts w:ascii="仿宋" w:hAnsi="仿宋" w:eastAsia="仿宋" w:cs="仿宋"/>
          <w:sz w:val="32"/>
          <w:szCs w:val="32"/>
        </w:rPr>
      </w:pPr>
      <w:r>
        <w:rPr>
          <w:rFonts w:ascii="仿宋" w:hAnsi="仿宋" w:eastAsia="仿宋" w:cs="仿宋"/>
          <w:sz w:val="32"/>
          <w:szCs w:val="32"/>
        </w:rPr>
        <w:br w:type="page"/>
      </w:r>
    </w:p>
    <w:p>
      <w:pPr>
        <w:spacing w:line="400" w:lineRule="exact"/>
        <w:rPr>
          <w:rFonts w:ascii="仿宋" w:hAnsi="仿宋" w:eastAsia="仿宋" w:cs="仿宋"/>
          <w:sz w:val="32"/>
          <w:szCs w:val="32"/>
        </w:rPr>
      </w:pPr>
    </w:p>
    <w:p>
      <w:pPr>
        <w:pStyle w:val="2"/>
        <w:spacing w:before="326" w:beforeLines="100" w:after="326" w:afterLines="100"/>
        <w:jc w:val="center"/>
        <w:rPr>
          <w:rFonts w:ascii="方正小标宋简体" w:hAnsi="华文中宋" w:eastAsia="方正小标宋简体" w:cs="华文中宋"/>
          <w:b w:val="0"/>
          <w:bCs/>
          <w:sz w:val="40"/>
          <w:szCs w:val="28"/>
        </w:rPr>
      </w:pPr>
      <w:bookmarkStart w:id="18" w:name="_Toc19190"/>
      <w:bookmarkStart w:id="19" w:name="_Toc62721754"/>
      <w:r>
        <w:rPr>
          <w:rFonts w:hint="eastAsia" w:ascii="方正小标宋简体" w:hAnsi="华文中宋" w:eastAsia="方正小标宋简体" w:cs="华文中宋"/>
          <w:b w:val="0"/>
          <w:bCs/>
          <w:sz w:val="40"/>
          <w:szCs w:val="28"/>
        </w:rPr>
        <w:t>第三部分  消费者满意度总体测评结果</w:t>
      </w:r>
      <w:bookmarkEnd w:id="18"/>
      <w:bookmarkEnd w:id="19"/>
    </w:p>
    <w:p>
      <w:pPr>
        <w:spacing w:line="560" w:lineRule="exact"/>
        <w:ind w:firstLine="640" w:firstLineChars="200"/>
        <w:jc w:val="both"/>
        <w:rPr>
          <w:rFonts w:ascii="仿宋" w:hAnsi="仿宋" w:eastAsia="仿宋" w:cs="仿宋"/>
          <w:sz w:val="32"/>
          <w:szCs w:val="32"/>
        </w:rPr>
      </w:pPr>
      <w:r>
        <w:rPr>
          <w:rFonts w:hint="eastAsia" w:ascii="仿宋" w:hAnsi="仿宋" w:eastAsia="仿宋" w:cs="仿宋"/>
          <w:color w:val="1C1C1C"/>
          <w:sz w:val="32"/>
          <w:szCs w:val="32"/>
        </w:rPr>
        <w:t>按照项目设计思路，为保障调查分析数据的科学性、严谨性，按照100个城市最新的常住人口规模和社会消费品零售总额情况统一对样本结构进行加权，从而得到</w:t>
      </w:r>
      <w:r>
        <w:rPr>
          <w:rFonts w:ascii="仿宋" w:hAnsi="仿宋" w:eastAsia="仿宋" w:cs="仿宋"/>
          <w:color w:val="1C1C1C"/>
          <w:sz w:val="32"/>
          <w:szCs w:val="32"/>
        </w:rPr>
        <w:t>20</w:t>
      </w:r>
      <w:r>
        <w:rPr>
          <w:rFonts w:hint="eastAsia" w:ascii="仿宋" w:hAnsi="仿宋" w:eastAsia="仿宋" w:cs="仿宋"/>
          <w:color w:val="1C1C1C"/>
          <w:sz w:val="32"/>
          <w:szCs w:val="32"/>
        </w:rPr>
        <w:t>22年度</w:t>
      </w:r>
      <w:r>
        <w:rPr>
          <w:rFonts w:ascii="仿宋" w:hAnsi="仿宋" w:eastAsia="仿宋" w:cs="仿宋"/>
          <w:color w:val="1C1C1C"/>
          <w:sz w:val="32"/>
          <w:szCs w:val="32"/>
        </w:rPr>
        <w:t>100</w:t>
      </w:r>
      <w:r>
        <w:rPr>
          <w:rFonts w:hint="eastAsia" w:ascii="仿宋" w:hAnsi="仿宋" w:eastAsia="仿宋" w:cs="仿宋"/>
          <w:color w:val="1C1C1C"/>
          <w:sz w:val="32"/>
          <w:szCs w:val="32"/>
        </w:rPr>
        <w:t>个城市消费者满意度综合得分。</w:t>
      </w:r>
    </w:p>
    <w:p>
      <w:pPr>
        <w:pStyle w:val="3"/>
        <w:numPr>
          <w:ilvl w:val="255"/>
          <w:numId w:val="0"/>
        </w:numPr>
        <w:spacing w:line="560" w:lineRule="exact"/>
        <w:ind w:firstLine="640" w:firstLineChars="200"/>
        <w:rPr>
          <w:rFonts w:ascii="黑体" w:hAnsi="黑体" w:eastAsia="黑体" w:cs="黑体"/>
          <w:b w:val="0"/>
          <w:bCs/>
          <w:i w:val="0"/>
          <w:iCs/>
          <w:sz w:val="32"/>
          <w:szCs w:val="28"/>
        </w:rPr>
      </w:pPr>
      <w:bookmarkStart w:id="20" w:name="_Toc62721755"/>
      <w:bookmarkStart w:id="21" w:name="_Toc595"/>
      <w:r>
        <w:rPr>
          <w:rFonts w:hint="eastAsia" w:ascii="黑体" w:hAnsi="黑体" w:eastAsia="黑体" w:cs="黑体"/>
          <w:b w:val="0"/>
          <w:bCs/>
          <w:i w:val="0"/>
          <w:iCs/>
          <w:sz w:val="32"/>
          <w:szCs w:val="28"/>
        </w:rPr>
        <w:t>一、消费者满意度综合得分</w:t>
      </w:r>
      <w:bookmarkEnd w:id="20"/>
      <w:bookmarkEnd w:id="21"/>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百分制下，2022年</w:t>
      </w:r>
      <w:r>
        <w:rPr>
          <w:rFonts w:ascii="仿宋" w:hAnsi="仿宋" w:eastAsia="仿宋" w:cs="仿宋"/>
          <w:color w:val="1C1C1C"/>
          <w:sz w:val="32"/>
          <w:szCs w:val="32"/>
        </w:rPr>
        <w:t>100</w:t>
      </w:r>
      <w:r>
        <w:rPr>
          <w:rFonts w:hint="eastAsia" w:ascii="仿宋" w:hAnsi="仿宋" w:eastAsia="仿宋" w:cs="仿宋"/>
          <w:color w:val="1C1C1C"/>
          <w:sz w:val="32"/>
          <w:szCs w:val="32"/>
        </w:rPr>
        <w:t>个城市的消费者满意度综合得分为</w:t>
      </w:r>
      <w:r>
        <w:rPr>
          <w:rFonts w:hint="eastAsia" w:ascii="仿宋" w:hAnsi="仿宋" w:eastAsia="仿宋" w:cs="仿宋"/>
          <w:b/>
          <w:color w:val="FF0000"/>
          <w:sz w:val="32"/>
          <w:szCs w:val="32"/>
        </w:rPr>
        <w:t>78.81</w:t>
      </w:r>
      <w:r>
        <w:rPr>
          <w:rFonts w:hint="eastAsia" w:ascii="仿宋" w:hAnsi="仿宋" w:eastAsia="仿宋" w:cs="仿宋"/>
          <w:color w:val="1C1C1C"/>
          <w:sz w:val="32"/>
          <w:szCs w:val="32"/>
        </w:rPr>
        <w:t>分，比上年得分下降了2.21%，且略低于2020年得分。综合2017至2022年测评情况，消费者满意度综合得分第一次出现下降。</w:t>
      </w:r>
    </w:p>
    <w:p>
      <w:pPr>
        <w:jc w:val="center"/>
      </w:pPr>
      <w:r>
        <w:drawing>
          <wp:inline distT="0" distB="0" distL="0" distR="0">
            <wp:extent cx="4509770" cy="2465070"/>
            <wp:effectExtent l="0" t="0" r="11430" b="1143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jc w:val="center"/>
        <w:rPr>
          <w:rFonts w:ascii="黑体" w:hAnsi="黑体" w:eastAsia="黑体" w:cs="黑体"/>
          <w:color w:val="1C1C1C"/>
          <w:sz w:val="28"/>
          <w:szCs w:val="28"/>
        </w:rPr>
      </w:pPr>
      <w:r>
        <w:rPr>
          <w:rFonts w:hint="eastAsia" w:ascii="黑体" w:hAnsi="黑体" w:eastAsia="黑体" w:cs="黑体"/>
          <w:sz w:val="28"/>
          <w:szCs w:val="28"/>
        </w:rPr>
        <w:t xml:space="preserve">图1  </w:t>
      </w:r>
      <w:r>
        <w:rPr>
          <w:rFonts w:hint="eastAsia" w:ascii="黑体" w:hAnsi="黑体" w:eastAsia="黑体" w:cs="黑体"/>
          <w:color w:val="1C1C1C"/>
          <w:sz w:val="28"/>
          <w:szCs w:val="28"/>
        </w:rPr>
        <w:t>2017-2022年消费者满意度综合得分</w:t>
      </w:r>
    </w:p>
    <w:p>
      <w:pPr>
        <w:pStyle w:val="3"/>
        <w:numPr>
          <w:ilvl w:val="255"/>
          <w:numId w:val="0"/>
        </w:numPr>
        <w:ind w:firstLine="640" w:firstLineChars="200"/>
        <w:rPr>
          <w:rFonts w:ascii="黑体" w:hAnsi="黑体" w:eastAsia="黑体" w:cs="黑体"/>
          <w:b w:val="0"/>
          <w:bCs/>
          <w:i w:val="0"/>
          <w:iCs/>
          <w:sz w:val="32"/>
          <w:szCs w:val="28"/>
        </w:rPr>
      </w:pPr>
      <w:bookmarkStart w:id="22" w:name="_Toc62721756"/>
      <w:bookmarkStart w:id="23" w:name="_Toc527"/>
      <w:r>
        <w:rPr>
          <w:rFonts w:hint="eastAsia" w:ascii="黑体" w:hAnsi="黑体" w:eastAsia="黑体" w:cs="黑体"/>
          <w:b w:val="0"/>
          <w:bCs/>
          <w:i w:val="0"/>
          <w:iCs/>
          <w:sz w:val="32"/>
          <w:szCs w:val="28"/>
        </w:rPr>
        <w:t>二、消费者满意度一级指标得分</w:t>
      </w:r>
      <w:bookmarkEnd w:id="22"/>
      <w:bookmarkEnd w:id="23"/>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消费者满意度一级指标共有</w:t>
      </w:r>
      <w:r>
        <w:rPr>
          <w:rFonts w:ascii="仿宋" w:hAnsi="仿宋" w:eastAsia="仿宋" w:cs="仿宋"/>
          <w:sz w:val="32"/>
          <w:szCs w:val="32"/>
        </w:rPr>
        <w:t>3个：消费供给、消费环境、消费维权。调查结果显示，消费供给得分最高，为80.54分，消费维权的得分最低，为77.53分；消费环境的得分为78.92分。3个一级指标中，仅消费供给一项得分高于80分。</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对比</w:t>
      </w:r>
      <w:r>
        <w:rPr>
          <w:rFonts w:ascii="仿宋" w:hAnsi="仿宋" w:eastAsia="仿宋" w:cs="仿宋"/>
          <w:sz w:val="32"/>
          <w:szCs w:val="32"/>
        </w:rPr>
        <w:t>2017年-2022年六年得分情况，一级指标得分主要呈现如下特征：</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一是整体指标结构保持一致。</w:t>
      </w:r>
      <w:r>
        <w:rPr>
          <w:rFonts w:ascii="仿宋" w:hAnsi="仿宋" w:eastAsia="仿宋" w:cs="仿宋"/>
          <w:sz w:val="32"/>
          <w:szCs w:val="32"/>
        </w:rPr>
        <w:t>2022年，三个指标得分的相对排名近三年来总体次序保持一致，依然是“消费供给”（80.54分）得分最高、“消费环境”（78.92分）次之、“消费维权”（77.53分）最低。</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二是三个指标得分均出现下降。</w:t>
      </w:r>
      <w:r>
        <w:rPr>
          <w:rFonts w:ascii="仿宋" w:hAnsi="仿宋" w:eastAsia="仿宋" w:cs="仿宋"/>
          <w:sz w:val="32"/>
          <w:szCs w:val="32"/>
        </w:rPr>
        <w:t xml:space="preserve"> 2022年，“消费维权”下降幅度最大，为2.52分。“消费环境”连续两年得分有所下降，2022年下降1.60分。2022年，“消费供给”得分首次出现下降，下降1.39分，降幅小于“消费维权”和“消费环境”两个指标。</w:t>
      </w:r>
    </w:p>
    <w:p>
      <w:pPr>
        <w:spacing w:line="580" w:lineRule="exact"/>
        <w:ind w:firstLine="640" w:firstLineChars="200"/>
        <w:jc w:val="both"/>
        <w:rPr>
          <w:rFonts w:ascii="仿宋" w:hAnsi="仿宋" w:eastAsia="仿宋" w:cs="仿宋"/>
          <w:sz w:val="32"/>
          <w:szCs w:val="32"/>
        </w:rPr>
      </w:pPr>
      <w:r>
        <w:rPr>
          <w:rFonts w:ascii="仿宋" w:hAnsi="仿宋" w:eastAsia="仿宋" w:cs="仿宋"/>
          <w:sz w:val="32"/>
          <w:szCs w:val="32"/>
        </w:rPr>
        <w:t>2022年，“消费维权”距离“消费供给”差距有所扩大。2017-2021年，“消费维权”指标得分在三个一级指标中增速最快，距离“消费供给”的差距逐年缩小，从2017年的8.10分，缩小到2021年的1.88分。而在2022年，“消费维权”指标得分出现较大程度下降，比同年居首位的“消费供给”低3分多。</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近年来，全社会高度关注消费维权工作，消费者权益行政保护力度不断增强。</w:t>
      </w:r>
      <w:r>
        <w:rPr>
          <w:rFonts w:ascii="仿宋" w:hAnsi="仿宋" w:eastAsia="仿宋" w:cs="仿宋"/>
          <w:sz w:val="32"/>
          <w:szCs w:val="32"/>
        </w:rPr>
        <w:t>2022年3月，中共中央</w:t>
      </w:r>
      <w:r>
        <w:rPr>
          <w:rFonts w:hint="eastAsia" w:ascii="仿宋" w:hAnsi="仿宋" w:eastAsia="仿宋" w:cs="仿宋"/>
          <w:sz w:val="32"/>
          <w:szCs w:val="32"/>
        </w:rPr>
        <w:t>、</w:t>
      </w:r>
      <w:r>
        <w:rPr>
          <w:rFonts w:ascii="仿宋" w:hAnsi="仿宋" w:eastAsia="仿宋" w:cs="仿宋"/>
          <w:sz w:val="32"/>
          <w:szCs w:val="32"/>
        </w:rPr>
        <w:t>国务院发布《关于加快建设全国统一大市场的意见》，强调了全面提升消费服务质量，提出了畅通商品异地、异店退换货通道，畅通消费者投诉举报渠道，建立完善消费投诉信息公示制度，围绕住房、教育培训、医疗卫生、养老托育等重点民生领域，推动形成公开的消费者权益保护事项清单等多方面的要求。2022年4月，国务院办公厅发布《关于进一步释放消费潜力 促进消费持续恢复的意见》，做出全面加强消费者权益保护的战略部署，提出完善平台经济消费</w:t>
      </w:r>
      <w:r>
        <w:rPr>
          <w:rFonts w:hint="eastAsia" w:ascii="仿宋" w:hAnsi="仿宋" w:eastAsia="仿宋" w:cs="仿宋"/>
          <w:sz w:val="32"/>
          <w:szCs w:val="32"/>
        </w:rPr>
        <w:t>者权益保护规则，持续优化完善全国</w:t>
      </w:r>
      <w:r>
        <w:rPr>
          <w:rFonts w:ascii="仿宋" w:hAnsi="仿宋" w:eastAsia="仿宋" w:cs="仿宋"/>
          <w:sz w:val="32"/>
          <w:szCs w:val="32"/>
        </w:rPr>
        <w:t>12315平台，充分发挥地方12345政务服务便民热线作用等具体要求。2022年底，最高人民法院发布《关于为促进消费提供司法服务和保障的意见》，对食品药品安全、预付式消费、个人信息保护等领域提出16条举措，进一步明晰权责归属，为消费者维权提供坚强的司法保障。</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与此同时，当前市场上仍存在一些损害消费者权益的行为，如标价不规范、食品安全等老问题，以及主播售卖假货、虚拟财产侵权等新问题。这些问题的出现，影响了消费者的消费体验，打击了消费者的消费信心，对消费者权益保护工作提出了更高要求。为了营造安全放心诚信的消费环境，需要进一步加强全链条监管，筑牢消费者权益保护的“防火墙”。</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3076575"/>
            <wp:effectExtent l="0" t="0" r="8890" b="952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jc w:val="center"/>
        <w:rPr>
          <w:rFonts w:ascii="黑体" w:hAnsi="黑体" w:eastAsia="黑体" w:cs="黑体"/>
          <w:color w:val="1C1C1C"/>
          <w:sz w:val="28"/>
          <w:szCs w:val="28"/>
        </w:rPr>
      </w:pPr>
      <w:r>
        <w:rPr>
          <w:rFonts w:hint="eastAsia" w:ascii="黑体" w:hAnsi="黑体" w:eastAsia="黑体" w:cs="黑体"/>
          <w:sz w:val="28"/>
          <w:szCs w:val="28"/>
        </w:rPr>
        <w:t xml:space="preserve">图2 </w:t>
      </w:r>
      <w:r>
        <w:rPr>
          <w:rFonts w:hint="eastAsia" w:ascii="黑体" w:hAnsi="黑体" w:eastAsia="黑体" w:cs="黑体"/>
          <w:color w:val="1C1C1C"/>
          <w:sz w:val="28"/>
          <w:szCs w:val="28"/>
        </w:rPr>
        <w:t>2017-2022年消费者满意度一级指标得分</w:t>
      </w:r>
    </w:p>
    <w:p>
      <w:pPr>
        <w:pStyle w:val="3"/>
        <w:numPr>
          <w:ilvl w:val="255"/>
          <w:numId w:val="0"/>
        </w:numPr>
        <w:ind w:firstLine="640" w:firstLineChars="200"/>
        <w:rPr>
          <w:rFonts w:ascii="黑体" w:hAnsi="黑体" w:eastAsia="黑体" w:cs="黑体"/>
          <w:b w:val="0"/>
          <w:bCs/>
          <w:i w:val="0"/>
          <w:iCs/>
          <w:sz w:val="32"/>
          <w:szCs w:val="28"/>
        </w:rPr>
      </w:pPr>
      <w:bookmarkStart w:id="24" w:name="_Toc11538"/>
      <w:bookmarkStart w:id="25" w:name="_Toc62721757"/>
      <w:r>
        <w:rPr>
          <w:rFonts w:hint="eastAsia" w:ascii="黑体" w:hAnsi="黑体" w:eastAsia="黑体" w:cs="黑体"/>
          <w:b w:val="0"/>
          <w:bCs/>
          <w:i w:val="0"/>
          <w:iCs/>
          <w:sz w:val="32"/>
          <w:szCs w:val="28"/>
        </w:rPr>
        <w:t>三、消费者满意度二级指标得分</w:t>
      </w:r>
      <w:bookmarkEnd w:id="24"/>
      <w:bookmarkEnd w:id="25"/>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消费者满意度二级指标共有</w:t>
      </w:r>
      <w:r>
        <w:rPr>
          <w:rFonts w:ascii="仿宋" w:hAnsi="仿宋" w:eastAsia="仿宋" w:cs="仿宋"/>
          <w:sz w:val="32"/>
          <w:szCs w:val="32"/>
        </w:rPr>
        <w:t xml:space="preserve">16个：供给丰富性、供给便利性、供给创新性、质量水平、服务水平、消费设施、价格合理、信息真实、售后保障、商家信任度、交易安全、消费知情权、消费自主选择权、权益保护、消费宣传、消费执法。 </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总体来看，</w:t>
      </w:r>
      <w:r>
        <w:rPr>
          <w:rFonts w:ascii="仿宋" w:hAnsi="仿宋" w:eastAsia="仿宋" w:cs="仿宋"/>
          <w:sz w:val="32"/>
          <w:szCs w:val="32"/>
        </w:rPr>
        <w:t>2022年各二级指标得分相比2021年来说更加集中。2022年二级指标最高分（“供给便利性”82.29分）与最低分（“交易安全”75.89分）之间的差距为6.40分。今年排名前5名的指标中，有2个属于一级指标“消费供给”（“供给便利性”“供给丰富性”），有3个属于一级指标“消费环境”（“消费自主选择权”“消费知情权”“质量水平”）。排名后5名的指标中，有1个属于一级指标“消费供给”（“供给创新性”），有2个属于一级指标“消费环境”（“交易安全”“信息真实”），有2个属于一级指标“消费维权”（“消费</w:t>
      </w:r>
      <w:r>
        <w:rPr>
          <w:rFonts w:hint="eastAsia" w:ascii="仿宋" w:hAnsi="仿宋" w:eastAsia="仿宋" w:cs="仿宋"/>
          <w:sz w:val="32"/>
          <w:szCs w:val="32"/>
        </w:rPr>
        <w:t>执法”“消费宣传”）。</w:t>
      </w:r>
      <w:r>
        <w:rPr>
          <w:rFonts w:ascii="仿宋" w:hAnsi="仿宋" w:eastAsia="仿宋" w:cs="仿宋"/>
          <w:sz w:val="32"/>
          <w:szCs w:val="32"/>
        </w:rPr>
        <w:t>3个一级指标下相关的二级指标得分均有一定参差。</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根据</w:t>
      </w:r>
      <w:r>
        <w:rPr>
          <w:rFonts w:ascii="仿宋" w:hAnsi="仿宋" w:eastAsia="仿宋" w:cs="仿宋"/>
          <w:sz w:val="32"/>
          <w:szCs w:val="32"/>
        </w:rPr>
        <w:t>2022年消费者满意度二级指标的得分情况，大致可以将16个二级指标分为以下四个梯队：</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第一梯队得分在</w:t>
      </w:r>
      <w:r>
        <w:rPr>
          <w:rFonts w:ascii="仿宋" w:hAnsi="仿宋" w:eastAsia="仿宋" w:cs="仿宋"/>
          <w:sz w:val="32"/>
          <w:szCs w:val="32"/>
        </w:rPr>
        <w:t>82分以上，包括1个指标：“供给便利性”（82.29分）。</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第二梯队得分介于</w:t>
      </w:r>
      <w:r>
        <w:rPr>
          <w:rFonts w:ascii="仿宋" w:hAnsi="仿宋" w:eastAsia="仿宋" w:cs="仿宋"/>
          <w:sz w:val="32"/>
          <w:szCs w:val="32"/>
        </w:rPr>
        <w:t>80分-82分之间，共有3个指标，分别是：“供给丰富性”（81.24分）、“消费自主选择权”（81.22分）、“消费知情权”（80.04分）。</w:t>
      </w:r>
    </w:p>
    <w:p>
      <w:pPr>
        <w:spacing w:line="58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第三梯队得分介于</w:t>
      </w:r>
      <w:r>
        <w:rPr>
          <w:rFonts w:ascii="仿宋" w:hAnsi="仿宋" w:eastAsia="仿宋" w:cs="仿宋"/>
          <w:sz w:val="32"/>
          <w:szCs w:val="32"/>
        </w:rPr>
        <w:t>77分-80分之间，共有9个指标，分别是：“质量水平”（79.93分）、“商家信任度”（79.83分）、“消费设施”（79.38分）、“售后保障”（79.27分）、“权益保护”（79.03分）、“服务水平”（78.46分）、“价格合理”（77.95分）、“信息真实”（77.87分）、“供给创新性”（77.12分）。</w:t>
      </w:r>
    </w:p>
    <w:p>
      <w:pPr>
        <w:spacing w:line="580" w:lineRule="exact"/>
        <w:ind w:firstLine="640" w:firstLineChars="200"/>
        <w:jc w:val="both"/>
        <w:rPr>
          <w:rFonts w:ascii="仿宋" w:hAnsi="仿宋" w:eastAsia="仿宋" w:cs="仿宋"/>
          <w:sz w:val="32"/>
          <w:szCs w:val="32"/>
        </w:rPr>
      </w:pPr>
      <w:r>
        <w:rPr>
          <w:rFonts w:ascii="仿宋" w:hAnsi="仿宋" w:eastAsia="仿宋" w:cs="仿宋"/>
          <w:sz w:val="32"/>
          <w:szCs w:val="32"/>
        </w:rPr>
        <w:t>第四梯队得分在77分以下，包括3个指标：“消费执法”（76.91分）、“消费宣传”（76.84分）、“交易安全”（75.89分）</w:t>
      </w:r>
      <w:r>
        <w:rPr>
          <w:rFonts w:hint="eastAsia" w:ascii="仿宋" w:hAnsi="仿宋" w:eastAsia="仿宋" w:cs="仿宋"/>
          <w:sz w:val="32"/>
          <w:szCs w:val="32"/>
        </w:rPr>
        <w:t>。</w:t>
      </w:r>
    </w:p>
    <w:p>
      <w:pPr>
        <w:jc w:val="center"/>
      </w:pPr>
      <w:r>
        <w:rPr>
          <w:rFonts w:hint="eastAsia"/>
        </w:rPr>
        <w:drawing>
          <wp:inline distT="0" distB="0" distL="0" distR="0">
            <wp:extent cx="5773420" cy="2945130"/>
            <wp:effectExtent l="0" t="0" r="5080" b="127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center"/>
        <w:rPr>
          <w:rFonts w:ascii="黑体" w:hAnsi="黑体" w:eastAsia="黑体" w:cs="黑体"/>
          <w:sz w:val="28"/>
          <w:szCs w:val="28"/>
        </w:rPr>
      </w:pPr>
      <w:r>
        <w:rPr>
          <w:rFonts w:hint="eastAsia" w:ascii="黑体" w:hAnsi="黑体" w:eastAsia="黑体" w:cs="黑体"/>
          <w:sz w:val="28"/>
          <w:szCs w:val="28"/>
        </w:rPr>
        <w:t>图3 202</w:t>
      </w:r>
      <w:r>
        <w:rPr>
          <w:rFonts w:ascii="黑体" w:hAnsi="黑体" w:eastAsia="黑体" w:cs="黑体"/>
          <w:sz w:val="28"/>
          <w:szCs w:val="28"/>
        </w:rPr>
        <w:t>2</w:t>
      </w:r>
      <w:r>
        <w:rPr>
          <w:rFonts w:hint="eastAsia" w:ascii="黑体" w:hAnsi="黑体" w:eastAsia="黑体" w:cs="黑体"/>
          <w:sz w:val="28"/>
          <w:szCs w:val="28"/>
        </w:rPr>
        <w:t>年消费者满意度二级指标得分（按得分高低排序）</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对比2017年-2022年六年得分情况，主要呈现如下特征：</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一是整体得分趋向集中。2017-2022年，二级指标最高分和最低分之间的差距，分别为15.43分、26.51分、24.55分、18.75分、12.04分和6.40分，差距呈波动缩小的趋势。</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二是二级指标最低分持续提升。2017年二级指标（“消费知情权”）得分最低，为64.68分。2020年二级指标（“权益保护”）得分最低，为73.30分，首次超过70分。2021年二级指标（“信息真实”）得分最低，为74.93分。2022年二级指标（“交易安全”）得分最低，为75.89分。</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三是个别指标进步明显。2</w:t>
      </w:r>
      <w:r>
        <w:rPr>
          <w:rFonts w:ascii="仿宋" w:hAnsi="仿宋" w:eastAsia="仿宋" w:cs="仿宋"/>
          <w:sz w:val="32"/>
          <w:szCs w:val="32"/>
        </w:rPr>
        <w:t>022</w:t>
      </w:r>
      <w:r>
        <w:rPr>
          <w:rFonts w:hint="eastAsia" w:ascii="仿宋" w:hAnsi="仿宋" w:eastAsia="仿宋" w:cs="仿宋"/>
          <w:sz w:val="32"/>
          <w:szCs w:val="32"/>
        </w:rPr>
        <w:t>年，二级指标得分普遍下降，“信息真实”“服务水平”两个指标得分上涨。其中，“信息真实”较2</w:t>
      </w:r>
      <w:r>
        <w:rPr>
          <w:rFonts w:ascii="仿宋" w:hAnsi="仿宋" w:eastAsia="仿宋" w:cs="仿宋"/>
          <w:sz w:val="32"/>
          <w:szCs w:val="32"/>
        </w:rPr>
        <w:t>021</w:t>
      </w:r>
      <w:r>
        <w:rPr>
          <w:rFonts w:hint="eastAsia" w:ascii="仿宋" w:hAnsi="仿宋" w:eastAsia="仿宋" w:cs="仿宋"/>
          <w:sz w:val="32"/>
          <w:szCs w:val="32"/>
        </w:rPr>
        <w:t>年得分增加2</w:t>
      </w:r>
      <w:r>
        <w:rPr>
          <w:rFonts w:ascii="仿宋" w:hAnsi="仿宋" w:eastAsia="仿宋" w:cs="仿宋"/>
          <w:sz w:val="32"/>
          <w:szCs w:val="32"/>
        </w:rPr>
        <w:t>.9</w:t>
      </w:r>
      <w:r>
        <w:rPr>
          <w:rFonts w:hint="eastAsia" w:ascii="仿宋" w:hAnsi="仿宋" w:eastAsia="仿宋" w:cs="仿宋"/>
          <w:sz w:val="32"/>
          <w:szCs w:val="32"/>
          <w:lang w:val="en-US" w:eastAsia="zh-CN"/>
        </w:rPr>
        <w:t>4</w:t>
      </w:r>
      <w:r>
        <w:rPr>
          <w:rFonts w:hint="eastAsia" w:ascii="仿宋" w:hAnsi="仿宋" w:eastAsia="仿宋" w:cs="仿宋"/>
          <w:sz w:val="32"/>
          <w:szCs w:val="32"/>
        </w:rPr>
        <w:t>分，排名从第</w:t>
      </w:r>
      <w:r>
        <w:rPr>
          <w:rFonts w:ascii="仿宋" w:hAnsi="仿宋" w:eastAsia="仿宋" w:cs="仿宋"/>
          <w:sz w:val="32"/>
          <w:szCs w:val="32"/>
        </w:rPr>
        <w:t>16</w:t>
      </w:r>
      <w:r>
        <w:rPr>
          <w:rFonts w:hint="eastAsia" w:ascii="仿宋" w:hAnsi="仿宋" w:eastAsia="仿宋" w:cs="仿宋"/>
          <w:sz w:val="32"/>
          <w:szCs w:val="32"/>
        </w:rPr>
        <w:t>名提升至1</w:t>
      </w:r>
      <w:r>
        <w:rPr>
          <w:rFonts w:ascii="仿宋" w:hAnsi="仿宋" w:eastAsia="仿宋" w:cs="仿宋"/>
          <w:sz w:val="32"/>
          <w:szCs w:val="32"/>
        </w:rPr>
        <w:t>2</w:t>
      </w:r>
      <w:r>
        <w:rPr>
          <w:rFonts w:hint="eastAsia" w:ascii="仿宋" w:hAnsi="仿宋" w:eastAsia="仿宋" w:cs="仿宋"/>
          <w:sz w:val="32"/>
          <w:szCs w:val="32"/>
        </w:rPr>
        <w:t>名。</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与此同时，2</w:t>
      </w:r>
      <w:r>
        <w:rPr>
          <w:rFonts w:ascii="仿宋" w:hAnsi="仿宋" w:eastAsia="仿宋" w:cs="仿宋"/>
          <w:sz w:val="32"/>
          <w:szCs w:val="32"/>
        </w:rPr>
        <w:t>022</w:t>
      </w:r>
      <w:r>
        <w:rPr>
          <w:rFonts w:hint="eastAsia" w:ascii="仿宋" w:hAnsi="仿宋" w:eastAsia="仿宋" w:cs="仿宋"/>
          <w:sz w:val="32"/>
          <w:szCs w:val="32"/>
        </w:rPr>
        <w:t>年“消费自主选择权”（-</w:t>
      </w:r>
      <w:r>
        <w:rPr>
          <w:rFonts w:ascii="仿宋" w:hAnsi="仿宋" w:eastAsia="仿宋" w:cs="仿宋"/>
          <w:sz w:val="32"/>
          <w:szCs w:val="32"/>
        </w:rPr>
        <w:t>5.</w:t>
      </w:r>
      <w:r>
        <w:rPr>
          <w:rFonts w:hint="eastAsia" w:ascii="仿宋" w:hAnsi="仿宋" w:eastAsia="仿宋" w:cs="仿宋"/>
          <w:sz w:val="32"/>
          <w:szCs w:val="32"/>
          <w:lang w:val="en-US" w:eastAsia="zh-CN"/>
        </w:rPr>
        <w:t>75</w:t>
      </w:r>
      <w:r>
        <w:rPr>
          <w:rFonts w:hint="eastAsia" w:ascii="仿宋" w:hAnsi="仿宋" w:eastAsia="仿宋" w:cs="仿宋"/>
          <w:sz w:val="32"/>
          <w:szCs w:val="32"/>
        </w:rPr>
        <w:t>分，-</w:t>
      </w:r>
      <w:r>
        <w:rPr>
          <w:rFonts w:ascii="仿宋" w:hAnsi="仿宋" w:eastAsia="仿宋" w:cs="仿宋"/>
          <w:sz w:val="32"/>
          <w:szCs w:val="32"/>
        </w:rPr>
        <w:t>2</w:t>
      </w:r>
      <w:r>
        <w:rPr>
          <w:rFonts w:hint="eastAsia" w:ascii="仿宋" w:hAnsi="仿宋" w:eastAsia="仿宋" w:cs="仿宋"/>
          <w:sz w:val="32"/>
          <w:szCs w:val="32"/>
        </w:rPr>
        <w:t>名）</w:t>
      </w:r>
      <w:r>
        <w:rPr>
          <w:rFonts w:hint="eastAsia" w:ascii="仿宋" w:hAnsi="仿宋" w:eastAsia="仿宋" w:cs="仿宋"/>
          <w:sz w:val="32"/>
          <w:szCs w:val="32"/>
          <w:lang w:eastAsia="zh-CN"/>
        </w:rPr>
        <w:t>、</w:t>
      </w:r>
      <w:r>
        <w:rPr>
          <w:rFonts w:hint="eastAsia" w:ascii="仿宋" w:hAnsi="仿宋" w:eastAsia="仿宋" w:cs="仿宋"/>
          <w:sz w:val="32"/>
          <w:szCs w:val="32"/>
        </w:rPr>
        <w:t>“价格合理”（-</w:t>
      </w:r>
      <w:r>
        <w:rPr>
          <w:rFonts w:ascii="仿宋" w:hAnsi="仿宋" w:eastAsia="仿宋" w:cs="仿宋"/>
          <w:sz w:val="32"/>
          <w:szCs w:val="32"/>
        </w:rPr>
        <w:t>4.</w:t>
      </w:r>
      <w:r>
        <w:rPr>
          <w:rFonts w:hint="eastAsia" w:ascii="仿宋" w:hAnsi="仿宋" w:eastAsia="仿宋" w:cs="仿宋"/>
          <w:sz w:val="32"/>
          <w:szCs w:val="32"/>
          <w:lang w:val="en-US" w:eastAsia="zh-CN"/>
        </w:rPr>
        <w:t>07</w:t>
      </w:r>
      <w:r>
        <w:rPr>
          <w:rFonts w:hint="eastAsia" w:ascii="仿宋" w:hAnsi="仿宋" w:eastAsia="仿宋" w:cs="仿宋"/>
          <w:sz w:val="32"/>
          <w:szCs w:val="32"/>
        </w:rPr>
        <w:t>分，-</w:t>
      </w:r>
      <w:r>
        <w:rPr>
          <w:rFonts w:ascii="仿宋" w:hAnsi="仿宋" w:eastAsia="仿宋" w:cs="仿宋"/>
          <w:sz w:val="32"/>
          <w:szCs w:val="32"/>
        </w:rPr>
        <w:t>5</w:t>
      </w:r>
      <w:r>
        <w:rPr>
          <w:rFonts w:hint="eastAsia" w:ascii="仿宋" w:hAnsi="仿宋" w:eastAsia="仿宋" w:cs="仿宋"/>
          <w:sz w:val="32"/>
          <w:szCs w:val="32"/>
        </w:rPr>
        <w:t>名）</w:t>
      </w:r>
      <w:r>
        <w:rPr>
          <w:rFonts w:hint="eastAsia" w:ascii="仿宋" w:hAnsi="仿宋" w:eastAsia="仿宋" w:cs="仿宋"/>
          <w:sz w:val="32"/>
          <w:szCs w:val="32"/>
          <w:lang w:eastAsia="zh-CN"/>
        </w:rPr>
        <w:t>、</w:t>
      </w:r>
      <w:r>
        <w:rPr>
          <w:rFonts w:hint="eastAsia" w:ascii="仿宋" w:hAnsi="仿宋" w:eastAsia="仿宋" w:cs="仿宋"/>
          <w:sz w:val="32"/>
          <w:szCs w:val="32"/>
        </w:rPr>
        <w:t>“权益保护”（-</w:t>
      </w:r>
      <w:r>
        <w:rPr>
          <w:rFonts w:ascii="仿宋" w:hAnsi="仿宋" w:eastAsia="仿宋" w:cs="仿宋"/>
          <w:sz w:val="32"/>
          <w:szCs w:val="32"/>
        </w:rPr>
        <w:t>3.9</w:t>
      </w:r>
      <w:r>
        <w:rPr>
          <w:rFonts w:hint="eastAsia" w:ascii="仿宋" w:hAnsi="仿宋" w:eastAsia="仿宋" w:cs="仿宋"/>
          <w:sz w:val="32"/>
          <w:szCs w:val="32"/>
          <w:lang w:val="en-US" w:eastAsia="zh-CN"/>
        </w:rPr>
        <w:t>1</w:t>
      </w:r>
      <w:r>
        <w:rPr>
          <w:rFonts w:hint="eastAsia" w:ascii="仿宋" w:hAnsi="仿宋" w:eastAsia="仿宋" w:cs="仿宋"/>
          <w:sz w:val="32"/>
          <w:szCs w:val="32"/>
        </w:rPr>
        <w:t>分，-</w:t>
      </w:r>
      <w:r>
        <w:rPr>
          <w:rFonts w:ascii="仿宋" w:hAnsi="仿宋" w:eastAsia="仿宋" w:cs="仿宋"/>
          <w:sz w:val="32"/>
          <w:szCs w:val="32"/>
        </w:rPr>
        <w:t>6</w:t>
      </w:r>
      <w:r>
        <w:rPr>
          <w:rFonts w:hint="eastAsia" w:ascii="仿宋" w:hAnsi="仿宋" w:eastAsia="仿宋" w:cs="仿宋"/>
          <w:sz w:val="32"/>
          <w:szCs w:val="32"/>
        </w:rPr>
        <w:t>名）</w:t>
      </w:r>
      <w:r>
        <w:rPr>
          <w:rFonts w:hint="eastAsia" w:ascii="仿宋" w:hAnsi="仿宋" w:eastAsia="仿宋" w:cs="仿宋"/>
          <w:sz w:val="32"/>
          <w:szCs w:val="32"/>
          <w:lang w:eastAsia="zh-CN"/>
        </w:rPr>
        <w:t>、</w:t>
      </w:r>
      <w:r>
        <w:rPr>
          <w:rFonts w:hint="eastAsia" w:ascii="仿宋" w:hAnsi="仿宋" w:eastAsia="仿宋" w:cs="仿宋"/>
          <w:sz w:val="32"/>
          <w:szCs w:val="32"/>
        </w:rPr>
        <w:t>“消费知情权”（-</w:t>
      </w:r>
      <w:r>
        <w:rPr>
          <w:rFonts w:ascii="仿宋" w:hAnsi="仿宋" w:eastAsia="仿宋" w:cs="仿宋"/>
          <w:sz w:val="32"/>
          <w:szCs w:val="32"/>
        </w:rPr>
        <w:t>3.4</w:t>
      </w:r>
      <w:r>
        <w:rPr>
          <w:rFonts w:hint="eastAsia" w:ascii="仿宋" w:hAnsi="仿宋" w:eastAsia="仿宋" w:cs="仿宋"/>
          <w:sz w:val="32"/>
          <w:szCs w:val="32"/>
          <w:lang w:val="en-US" w:eastAsia="zh-CN"/>
        </w:rPr>
        <w:t>5</w:t>
      </w:r>
      <w:r>
        <w:rPr>
          <w:rFonts w:hint="eastAsia" w:ascii="仿宋" w:hAnsi="仿宋" w:eastAsia="仿宋" w:cs="仿宋"/>
          <w:sz w:val="32"/>
          <w:szCs w:val="32"/>
        </w:rPr>
        <w:t>分，-</w:t>
      </w:r>
      <w:r>
        <w:rPr>
          <w:rFonts w:ascii="仿宋" w:hAnsi="仿宋" w:eastAsia="仿宋" w:cs="仿宋"/>
          <w:sz w:val="32"/>
          <w:szCs w:val="32"/>
        </w:rPr>
        <w:t>2</w:t>
      </w:r>
      <w:r>
        <w:rPr>
          <w:rFonts w:hint="eastAsia" w:ascii="仿宋" w:hAnsi="仿宋" w:eastAsia="仿宋" w:cs="仿宋"/>
          <w:sz w:val="32"/>
          <w:szCs w:val="32"/>
        </w:rPr>
        <w:t>名）4个二级指标得分和排名下降幅度都较大，后续值得重点关注。</w:t>
      </w:r>
    </w:p>
    <w:p>
      <w:pPr>
        <w:ind w:firstLine="640" w:firstLineChars="200"/>
        <w:rPr>
          <w:rFonts w:ascii="仿宋" w:hAnsi="仿宋" w:eastAsia="仿宋" w:cs="仿宋"/>
          <w:sz w:val="32"/>
          <w:szCs w:val="32"/>
        </w:rPr>
        <w:sectPr>
          <w:pgSz w:w="11906" w:h="16838"/>
          <w:pgMar w:top="1440" w:right="1800" w:bottom="1440" w:left="1800" w:header="851" w:footer="992" w:gutter="0"/>
          <w:pgNumType w:fmt="numberInDash" w:start="1"/>
          <w:cols w:space="425" w:num="1"/>
          <w:docGrid w:type="lines" w:linePitch="326" w:charSpace="0"/>
        </w:sectPr>
      </w:pPr>
    </w:p>
    <w:p>
      <w:pPr>
        <w:jc w:val="center"/>
      </w:pPr>
      <w:r>
        <w:rPr>
          <w:rFonts w:hint="eastAsia"/>
        </w:rPr>
        <w:drawing>
          <wp:inline distT="0" distB="0" distL="0" distR="0">
            <wp:extent cx="8420735" cy="4826635"/>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rFonts w:ascii="黑体" w:hAnsi="黑体" w:eastAsia="黑体" w:cs="黑体"/>
          <w:sz w:val="28"/>
          <w:szCs w:val="28"/>
        </w:rPr>
        <w:sectPr>
          <w:pgSz w:w="16838" w:h="11906" w:orient="landscape"/>
          <w:pgMar w:top="1800" w:right="1440" w:bottom="1800" w:left="1440" w:header="851" w:footer="992" w:gutter="0"/>
          <w:pgNumType w:fmt="numberInDash"/>
          <w:cols w:space="425" w:num="1"/>
          <w:docGrid w:type="lines" w:linePitch="312" w:charSpace="0"/>
        </w:sectPr>
      </w:pPr>
      <w:r>
        <w:rPr>
          <w:rFonts w:hint="eastAsia" w:ascii="黑体" w:hAnsi="黑体" w:eastAsia="黑体" w:cs="黑体"/>
          <w:sz w:val="28"/>
          <w:szCs w:val="28"/>
        </w:rPr>
        <w:t>图4 2017-2022年消费者满意度二级指标得分对比（按202</w:t>
      </w:r>
      <w:r>
        <w:rPr>
          <w:rFonts w:ascii="黑体" w:hAnsi="黑体" w:eastAsia="黑体" w:cs="黑体"/>
          <w:sz w:val="28"/>
          <w:szCs w:val="28"/>
        </w:rPr>
        <w:t>2</w:t>
      </w:r>
      <w:r>
        <w:rPr>
          <w:rFonts w:hint="eastAsia" w:ascii="黑体" w:hAnsi="黑体" w:eastAsia="黑体" w:cs="黑体"/>
          <w:sz w:val="28"/>
          <w:szCs w:val="28"/>
        </w:rPr>
        <w:t>年指标得分高低排序）</w:t>
      </w:r>
    </w:p>
    <w:p>
      <w:pPr>
        <w:pStyle w:val="3"/>
        <w:ind w:firstLine="640" w:firstLineChars="200"/>
        <w:rPr>
          <w:rFonts w:ascii="黑体" w:hAnsi="黑体" w:eastAsia="黑体" w:cs="黑体"/>
          <w:b w:val="0"/>
          <w:bCs/>
          <w:i w:val="0"/>
          <w:iCs/>
          <w:sz w:val="32"/>
          <w:szCs w:val="32"/>
        </w:rPr>
      </w:pPr>
      <w:bookmarkStart w:id="26" w:name="_Toc6741"/>
      <w:bookmarkStart w:id="27" w:name="_Toc62721758"/>
      <w:r>
        <w:rPr>
          <w:rFonts w:hint="eastAsia" w:ascii="黑体" w:hAnsi="黑体" w:eastAsia="黑体" w:cs="黑体"/>
          <w:b w:val="0"/>
          <w:bCs/>
          <w:i w:val="0"/>
          <w:iCs/>
          <w:sz w:val="32"/>
          <w:szCs w:val="28"/>
        </w:rPr>
        <w:t>四、消费者满意度</w:t>
      </w:r>
      <w:r>
        <w:rPr>
          <w:rFonts w:hint="eastAsia" w:ascii="黑体" w:hAnsi="黑体" w:eastAsia="黑体" w:cs="黑体"/>
          <w:b w:val="0"/>
          <w:bCs/>
          <w:i w:val="0"/>
          <w:iCs/>
          <w:sz w:val="32"/>
          <w:szCs w:val="32"/>
        </w:rPr>
        <w:t>三级指标得分</w:t>
      </w:r>
      <w:bookmarkEnd w:id="26"/>
      <w:bookmarkEnd w:id="27"/>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消费者满意度三级指标共有</w:t>
      </w:r>
      <w:r>
        <w:rPr>
          <w:rFonts w:ascii="仿宋" w:hAnsi="仿宋" w:eastAsia="仿宋" w:cs="仿宋"/>
          <w:sz w:val="32"/>
          <w:szCs w:val="32"/>
        </w:rPr>
        <w:t>25个：种类丰富性、替代产品丰富性、分布合理、物流便利、公共基础设施完善、供给创新性、货品真实、商品或服务质量、服务水平、安全性、舒适性、价格公道、明码标价、信息真实、售后保障、商家信任度、交易安全、消费知情权、消费自主选择权、维权渠道、维权效率、维权结果、消费警示提示、消费知识法制宣传、消费执法。</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根据</w:t>
      </w:r>
      <w:r>
        <w:rPr>
          <w:rFonts w:ascii="仿宋" w:hAnsi="仿宋" w:eastAsia="仿宋" w:cs="仿宋"/>
          <w:sz w:val="32"/>
          <w:szCs w:val="32"/>
        </w:rPr>
        <w:t>2022年消费者满意度测评三级指标的得分情况，大致可以将25个三级指标分为以下四个梯队：</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第一梯队得分在</w:t>
      </w:r>
      <w:r>
        <w:rPr>
          <w:rFonts w:ascii="仿宋" w:hAnsi="仿宋" w:eastAsia="仿宋" w:cs="仿宋"/>
          <w:sz w:val="32"/>
          <w:szCs w:val="32"/>
        </w:rPr>
        <w:t>82分以上，包括3个指标：“物流便利”（83.37分）、“公共基础设施完善”（82.86分）、“种类丰富性”（82.29分）。</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第二梯队得分介于</w:t>
      </w:r>
      <w:r>
        <w:rPr>
          <w:rFonts w:ascii="仿宋" w:hAnsi="仿宋" w:eastAsia="仿宋" w:cs="仿宋"/>
          <w:sz w:val="32"/>
          <w:szCs w:val="32"/>
        </w:rPr>
        <w:t>80分-82分之间，包括5个指标，分别是：“消费自主选择权”（81.22分）、“分布合理”（80.80分）、“货品真实”（80.46分）、“替代产品丰富性”（80.20分）、“消费知情权”（80.04分）。</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第三梯队得分介于</w:t>
      </w:r>
      <w:r>
        <w:rPr>
          <w:rFonts w:ascii="仿宋" w:hAnsi="仿宋" w:eastAsia="仿宋" w:cs="仿宋"/>
          <w:sz w:val="32"/>
          <w:szCs w:val="32"/>
        </w:rPr>
        <w:t>77分-80分之间，包括14个指标，分别是：“商家信任度”（79.83分）、“舒适性”（79.68分）、“维权渠道”（79.66分）、“商品或服务质量”（79.42分）、“售后保障”（79.27分）、“安全性”（79.11分）、“维权结果”（79.05分）、“服务水平”（78.46分）、“维权效率”（78.41分）、“价格公道”（78.00分）、“明码标价”（77.89分）、“信息真实”（77.87分）、“消费知识法制宣传”（77.51分）、“供给创新性”（77.12分）。</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第四梯队得分在</w:t>
      </w:r>
      <w:r>
        <w:rPr>
          <w:rFonts w:ascii="仿宋" w:hAnsi="仿宋" w:eastAsia="仿宋" w:cs="仿宋"/>
          <w:sz w:val="32"/>
          <w:szCs w:val="32"/>
        </w:rPr>
        <w:t>77分以下，包括3个指标： “消费执法”（76.91分）、“消费警示提示”（76.19分）、“交易安全”（75.89分）</w:t>
      </w:r>
      <w:r>
        <w:rPr>
          <w:rFonts w:hint="eastAsia" w:ascii="仿宋" w:hAnsi="仿宋" w:eastAsia="仿宋" w:cs="仿宋"/>
          <w:sz w:val="32"/>
          <w:szCs w:val="32"/>
        </w:rPr>
        <w:t>。</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698490" cy="320040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rFonts w:ascii="黑体" w:hAnsi="黑体" w:eastAsia="黑体" w:cs="黑体"/>
          <w:sz w:val="28"/>
          <w:szCs w:val="28"/>
        </w:rPr>
      </w:pPr>
      <w:r>
        <w:rPr>
          <w:rFonts w:hint="eastAsia" w:ascii="黑体" w:hAnsi="黑体" w:eastAsia="黑体" w:cs="黑体"/>
          <w:sz w:val="28"/>
          <w:szCs w:val="28"/>
        </w:rPr>
        <w:t>图5 2022年消费者满意度三级指标得分（按指标得分高低排序）</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对比2017-2022年六年得分情况，主要呈现如下特征：</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一是整体来看 三级指标得分更加平均。2</w:t>
      </w:r>
      <w:r>
        <w:rPr>
          <w:rFonts w:ascii="仿宋" w:hAnsi="仿宋" w:eastAsia="仿宋" w:cs="仿宋"/>
          <w:sz w:val="32"/>
          <w:szCs w:val="32"/>
        </w:rPr>
        <w:t>02</w:t>
      </w:r>
      <w:r>
        <w:rPr>
          <w:rFonts w:hint="eastAsia" w:ascii="仿宋" w:hAnsi="仿宋" w:eastAsia="仿宋" w:cs="仿宋"/>
          <w:sz w:val="32"/>
          <w:szCs w:val="32"/>
        </w:rPr>
        <w:t>2年，三级指标最高分（“物流便利”83</w:t>
      </w:r>
      <w:r>
        <w:rPr>
          <w:rFonts w:ascii="仿宋" w:hAnsi="仿宋" w:eastAsia="仿宋" w:cs="仿宋"/>
          <w:sz w:val="32"/>
          <w:szCs w:val="32"/>
        </w:rPr>
        <w:t>.</w:t>
      </w:r>
      <w:r>
        <w:rPr>
          <w:rFonts w:hint="eastAsia" w:ascii="仿宋" w:hAnsi="仿宋" w:eastAsia="仿宋" w:cs="仿宋"/>
          <w:sz w:val="32"/>
          <w:szCs w:val="32"/>
        </w:rPr>
        <w:t>3</w:t>
      </w:r>
      <w:r>
        <w:rPr>
          <w:rFonts w:ascii="仿宋" w:hAnsi="仿宋" w:eastAsia="仿宋" w:cs="仿宋"/>
          <w:sz w:val="32"/>
          <w:szCs w:val="32"/>
        </w:rPr>
        <w:t>7</w:t>
      </w:r>
      <w:r>
        <w:rPr>
          <w:rFonts w:hint="eastAsia" w:ascii="仿宋" w:hAnsi="仿宋" w:eastAsia="仿宋" w:cs="仿宋"/>
          <w:sz w:val="32"/>
          <w:szCs w:val="32"/>
        </w:rPr>
        <w:t>分）与最低分（“交易安全”75.89分）之间的差距为7.48分，低于2017-2021年，三级指标最高分和最低分之间的差距（</w:t>
      </w:r>
      <w:r>
        <w:rPr>
          <w:rFonts w:ascii="仿宋" w:hAnsi="仿宋" w:eastAsia="仿宋" w:cs="仿宋"/>
          <w:sz w:val="32"/>
          <w:szCs w:val="32"/>
        </w:rPr>
        <w:t>18.00</w:t>
      </w:r>
      <w:r>
        <w:rPr>
          <w:rFonts w:hint="eastAsia" w:ascii="仿宋" w:hAnsi="仿宋" w:eastAsia="仿宋" w:cs="仿宋"/>
          <w:sz w:val="32"/>
          <w:szCs w:val="32"/>
        </w:rPr>
        <w:t>分、</w:t>
      </w:r>
      <w:r>
        <w:rPr>
          <w:rFonts w:ascii="仿宋" w:hAnsi="仿宋" w:eastAsia="仿宋" w:cs="仿宋"/>
          <w:sz w:val="32"/>
          <w:szCs w:val="32"/>
        </w:rPr>
        <w:t>29.44</w:t>
      </w:r>
      <w:r>
        <w:rPr>
          <w:rFonts w:hint="eastAsia" w:ascii="仿宋" w:hAnsi="仿宋" w:eastAsia="仿宋" w:cs="仿宋"/>
          <w:sz w:val="32"/>
          <w:szCs w:val="32"/>
        </w:rPr>
        <w:t>分、</w:t>
      </w:r>
      <w:r>
        <w:rPr>
          <w:rFonts w:ascii="仿宋" w:hAnsi="仿宋" w:eastAsia="仿宋" w:cs="仿宋"/>
          <w:sz w:val="32"/>
          <w:szCs w:val="32"/>
        </w:rPr>
        <w:t>26.63</w:t>
      </w:r>
      <w:r>
        <w:rPr>
          <w:rFonts w:hint="eastAsia" w:ascii="仿宋" w:hAnsi="仿宋" w:eastAsia="仿宋" w:cs="仿宋"/>
          <w:sz w:val="32"/>
          <w:szCs w:val="32"/>
        </w:rPr>
        <w:t>分、</w:t>
      </w:r>
      <w:r>
        <w:rPr>
          <w:rFonts w:ascii="仿宋" w:hAnsi="仿宋" w:eastAsia="仿宋" w:cs="仿宋"/>
          <w:sz w:val="32"/>
          <w:szCs w:val="32"/>
        </w:rPr>
        <w:t>20.88</w:t>
      </w:r>
      <w:r>
        <w:rPr>
          <w:rFonts w:hint="eastAsia" w:ascii="仿宋" w:hAnsi="仿宋" w:eastAsia="仿宋" w:cs="仿宋"/>
          <w:sz w:val="32"/>
          <w:szCs w:val="32"/>
        </w:rPr>
        <w:t>分和</w:t>
      </w:r>
      <w:r>
        <w:rPr>
          <w:rFonts w:ascii="仿宋" w:hAnsi="仿宋" w:eastAsia="仿宋" w:cs="仿宋"/>
          <w:sz w:val="32"/>
          <w:szCs w:val="32"/>
        </w:rPr>
        <w:t>12.03</w:t>
      </w:r>
      <w:r>
        <w:rPr>
          <w:rFonts w:hint="eastAsia" w:ascii="仿宋" w:hAnsi="仿宋" w:eastAsia="仿宋" w:cs="仿宋"/>
          <w:sz w:val="32"/>
          <w:szCs w:val="32"/>
        </w:rPr>
        <w:t>分）。</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二是个别指标逆势提升。2</w:t>
      </w:r>
      <w:r>
        <w:rPr>
          <w:rFonts w:ascii="仿宋" w:hAnsi="仿宋" w:eastAsia="仿宋" w:cs="仿宋"/>
          <w:sz w:val="32"/>
          <w:szCs w:val="32"/>
        </w:rPr>
        <w:t>022</w:t>
      </w:r>
      <w:r>
        <w:rPr>
          <w:rFonts w:hint="eastAsia" w:ascii="仿宋" w:hAnsi="仿宋" w:eastAsia="仿宋" w:cs="仿宋"/>
          <w:sz w:val="32"/>
          <w:szCs w:val="32"/>
        </w:rPr>
        <w:t>年，2</w:t>
      </w:r>
      <w:r>
        <w:rPr>
          <w:rFonts w:ascii="仿宋" w:hAnsi="仿宋" w:eastAsia="仿宋" w:cs="仿宋"/>
          <w:sz w:val="32"/>
          <w:szCs w:val="32"/>
        </w:rPr>
        <w:t>5</w:t>
      </w:r>
      <w:r>
        <w:rPr>
          <w:rFonts w:hint="eastAsia" w:ascii="仿宋" w:hAnsi="仿宋" w:eastAsia="仿宋" w:cs="仿宋"/>
          <w:sz w:val="32"/>
          <w:szCs w:val="32"/>
        </w:rPr>
        <w:t>个三级指标中，有5个指标（“信息真实”“物流便利”“分布合理”“服务水平”“售后保障”）实现了得分提升。其中“信息真实”（+</w:t>
      </w:r>
      <w:r>
        <w:rPr>
          <w:rFonts w:ascii="仿宋" w:hAnsi="仿宋" w:eastAsia="仿宋" w:cs="仿宋"/>
          <w:sz w:val="32"/>
          <w:szCs w:val="32"/>
        </w:rPr>
        <w:t>2.94</w:t>
      </w:r>
      <w:r>
        <w:rPr>
          <w:rFonts w:hint="eastAsia" w:ascii="仿宋" w:hAnsi="仿宋" w:eastAsia="仿宋" w:cs="仿宋"/>
          <w:sz w:val="32"/>
          <w:szCs w:val="32"/>
        </w:rPr>
        <w:t>分）得分提升最多，排名也有所提升，2</w:t>
      </w:r>
      <w:r>
        <w:rPr>
          <w:rFonts w:ascii="仿宋" w:hAnsi="仿宋" w:eastAsia="仿宋" w:cs="仿宋"/>
          <w:sz w:val="32"/>
          <w:szCs w:val="32"/>
        </w:rPr>
        <w:t>022</w:t>
      </w:r>
      <w:r>
        <w:rPr>
          <w:rFonts w:hint="eastAsia" w:ascii="仿宋" w:hAnsi="仿宋" w:eastAsia="仿宋" w:cs="仿宋"/>
          <w:sz w:val="32"/>
          <w:szCs w:val="32"/>
        </w:rPr>
        <w:t>年排名第2</w:t>
      </w:r>
      <w:r>
        <w:rPr>
          <w:rFonts w:ascii="仿宋" w:hAnsi="仿宋" w:eastAsia="仿宋" w:cs="仿宋"/>
          <w:sz w:val="32"/>
          <w:szCs w:val="32"/>
        </w:rPr>
        <w:t>0</w:t>
      </w:r>
      <w:r>
        <w:rPr>
          <w:rFonts w:hint="eastAsia" w:ascii="仿宋" w:hAnsi="仿宋" w:eastAsia="仿宋" w:cs="仿宋"/>
          <w:sz w:val="32"/>
          <w:szCs w:val="32"/>
        </w:rPr>
        <w:t>名，高于2</w:t>
      </w:r>
      <w:r>
        <w:rPr>
          <w:rFonts w:ascii="仿宋" w:hAnsi="仿宋" w:eastAsia="仿宋" w:cs="仿宋"/>
          <w:sz w:val="32"/>
          <w:szCs w:val="32"/>
        </w:rPr>
        <w:t>021</w:t>
      </w:r>
      <w:r>
        <w:rPr>
          <w:rFonts w:hint="eastAsia" w:ascii="仿宋" w:hAnsi="仿宋" w:eastAsia="仿宋" w:cs="仿宋"/>
          <w:sz w:val="32"/>
          <w:szCs w:val="32"/>
        </w:rPr>
        <w:t>年第2</w:t>
      </w:r>
      <w:r>
        <w:rPr>
          <w:rFonts w:ascii="仿宋" w:hAnsi="仿宋" w:eastAsia="仿宋" w:cs="仿宋"/>
          <w:sz w:val="32"/>
          <w:szCs w:val="32"/>
        </w:rPr>
        <w:t>5</w:t>
      </w:r>
      <w:r>
        <w:rPr>
          <w:rFonts w:hint="eastAsia" w:ascii="仿宋" w:hAnsi="仿宋" w:eastAsia="仿宋" w:cs="仿宋"/>
          <w:sz w:val="32"/>
          <w:szCs w:val="32"/>
        </w:rPr>
        <w:t>名和2</w:t>
      </w:r>
      <w:r>
        <w:rPr>
          <w:rFonts w:ascii="仿宋" w:hAnsi="仿宋" w:eastAsia="仿宋" w:cs="仿宋"/>
          <w:sz w:val="32"/>
          <w:szCs w:val="32"/>
        </w:rPr>
        <w:t>020</w:t>
      </w:r>
      <w:r>
        <w:rPr>
          <w:rFonts w:hint="eastAsia" w:ascii="仿宋" w:hAnsi="仿宋" w:eastAsia="仿宋" w:cs="仿宋"/>
          <w:sz w:val="32"/>
          <w:szCs w:val="32"/>
        </w:rPr>
        <w:t>年第2</w:t>
      </w:r>
      <w:r>
        <w:rPr>
          <w:rFonts w:ascii="仿宋" w:hAnsi="仿宋" w:eastAsia="仿宋" w:cs="仿宋"/>
          <w:sz w:val="32"/>
          <w:szCs w:val="32"/>
        </w:rPr>
        <w:t>1</w:t>
      </w:r>
      <w:r>
        <w:rPr>
          <w:rFonts w:hint="eastAsia" w:ascii="仿宋" w:hAnsi="仿宋" w:eastAsia="仿宋" w:cs="仿宋"/>
          <w:sz w:val="32"/>
          <w:szCs w:val="32"/>
        </w:rPr>
        <w:t>名。</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其次，三级指标“种类丰富性”在大多数指标得分降低的情况下，</w:t>
      </w:r>
      <w:r>
        <w:rPr>
          <w:rFonts w:hint="eastAsia" w:ascii="仿宋" w:hAnsi="仿宋" w:eastAsia="仿宋" w:cs="仿宋"/>
          <w:sz w:val="32"/>
          <w:szCs w:val="32"/>
          <w:lang w:val="en-US" w:eastAsia="zh-CN"/>
        </w:rPr>
        <w:t>基本</w:t>
      </w:r>
      <w:r>
        <w:rPr>
          <w:rFonts w:hint="eastAsia" w:ascii="仿宋" w:hAnsi="仿宋" w:eastAsia="仿宋" w:cs="仿宋"/>
          <w:sz w:val="32"/>
          <w:szCs w:val="32"/>
        </w:rPr>
        <w:t>维持满意度得分不变。同时排名持续提升，从2</w:t>
      </w:r>
      <w:r>
        <w:rPr>
          <w:rFonts w:ascii="仿宋" w:hAnsi="仿宋" w:eastAsia="仿宋" w:cs="仿宋"/>
          <w:sz w:val="32"/>
          <w:szCs w:val="32"/>
        </w:rPr>
        <w:t>017</w:t>
      </w:r>
      <w:r>
        <w:rPr>
          <w:rFonts w:hint="eastAsia" w:ascii="仿宋" w:hAnsi="仿宋" w:eastAsia="仿宋" w:cs="仿宋"/>
          <w:sz w:val="32"/>
          <w:szCs w:val="32"/>
        </w:rPr>
        <w:t>年、2</w:t>
      </w:r>
      <w:r>
        <w:rPr>
          <w:rFonts w:ascii="仿宋" w:hAnsi="仿宋" w:eastAsia="仿宋" w:cs="仿宋"/>
          <w:sz w:val="32"/>
          <w:szCs w:val="32"/>
        </w:rPr>
        <w:t>018</w:t>
      </w:r>
      <w:r>
        <w:rPr>
          <w:rFonts w:hint="eastAsia" w:ascii="仿宋" w:hAnsi="仿宋" w:eastAsia="仿宋" w:cs="仿宋"/>
          <w:sz w:val="32"/>
          <w:szCs w:val="32"/>
        </w:rPr>
        <w:t>年的第1</w:t>
      </w:r>
      <w:r>
        <w:rPr>
          <w:rFonts w:ascii="仿宋" w:hAnsi="仿宋" w:eastAsia="仿宋" w:cs="仿宋"/>
          <w:sz w:val="32"/>
          <w:szCs w:val="32"/>
        </w:rPr>
        <w:t>5</w:t>
      </w:r>
      <w:r>
        <w:rPr>
          <w:rFonts w:hint="eastAsia" w:ascii="仿宋" w:hAnsi="仿宋" w:eastAsia="仿宋" w:cs="仿宋"/>
          <w:sz w:val="32"/>
          <w:szCs w:val="32"/>
        </w:rPr>
        <w:t>名，提升至2</w:t>
      </w:r>
      <w:r>
        <w:rPr>
          <w:rFonts w:ascii="仿宋" w:hAnsi="仿宋" w:eastAsia="仿宋" w:cs="仿宋"/>
          <w:sz w:val="32"/>
          <w:szCs w:val="32"/>
        </w:rPr>
        <w:t>020</w:t>
      </w:r>
      <w:r>
        <w:rPr>
          <w:rFonts w:hint="eastAsia" w:ascii="仿宋" w:hAnsi="仿宋" w:eastAsia="仿宋" w:cs="仿宋"/>
          <w:sz w:val="32"/>
          <w:szCs w:val="32"/>
        </w:rPr>
        <w:t>年、2</w:t>
      </w:r>
      <w:r>
        <w:rPr>
          <w:rFonts w:ascii="仿宋" w:hAnsi="仿宋" w:eastAsia="仿宋" w:cs="仿宋"/>
          <w:sz w:val="32"/>
          <w:szCs w:val="32"/>
        </w:rPr>
        <w:t>021</w:t>
      </w:r>
      <w:r>
        <w:rPr>
          <w:rFonts w:hint="eastAsia" w:ascii="仿宋" w:hAnsi="仿宋" w:eastAsia="仿宋" w:cs="仿宋"/>
          <w:sz w:val="32"/>
          <w:szCs w:val="32"/>
        </w:rPr>
        <w:t>年的第1</w:t>
      </w:r>
      <w:r>
        <w:rPr>
          <w:rFonts w:ascii="仿宋" w:hAnsi="仿宋" w:eastAsia="仿宋" w:cs="仿宋"/>
          <w:sz w:val="32"/>
          <w:szCs w:val="32"/>
        </w:rPr>
        <w:t>1</w:t>
      </w:r>
      <w:r>
        <w:rPr>
          <w:rFonts w:hint="eastAsia" w:ascii="仿宋" w:hAnsi="仿宋" w:eastAsia="仿宋" w:cs="仿宋"/>
          <w:sz w:val="32"/>
          <w:szCs w:val="32"/>
        </w:rPr>
        <w:t>名，进一步跃升至</w:t>
      </w:r>
      <w:r>
        <w:rPr>
          <w:rFonts w:ascii="仿宋" w:hAnsi="仿宋" w:eastAsia="仿宋" w:cs="仿宋"/>
          <w:sz w:val="32"/>
          <w:szCs w:val="32"/>
        </w:rPr>
        <w:t>2022</w:t>
      </w:r>
      <w:r>
        <w:rPr>
          <w:rFonts w:hint="eastAsia" w:ascii="仿宋" w:hAnsi="仿宋" w:eastAsia="仿宋" w:cs="仿宋"/>
          <w:sz w:val="32"/>
          <w:szCs w:val="32"/>
        </w:rPr>
        <w:t>年的第3名，进步显著。</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同时，个别指标在经历低谷后，排名恢复自身最高水平。“分布合理”2</w:t>
      </w:r>
      <w:r>
        <w:rPr>
          <w:rFonts w:ascii="仿宋" w:hAnsi="仿宋" w:eastAsia="仿宋" w:cs="仿宋"/>
          <w:sz w:val="32"/>
          <w:szCs w:val="32"/>
        </w:rPr>
        <w:t>021</w:t>
      </w:r>
      <w:r>
        <w:rPr>
          <w:rFonts w:hint="eastAsia" w:ascii="仿宋" w:hAnsi="仿宋" w:eastAsia="仿宋" w:cs="仿宋"/>
          <w:sz w:val="32"/>
          <w:szCs w:val="32"/>
        </w:rPr>
        <w:t>年得分下降超2分（</w:t>
      </w:r>
      <w:r>
        <w:rPr>
          <w:rFonts w:ascii="仿宋" w:hAnsi="仿宋" w:eastAsia="仿宋" w:cs="仿宋"/>
          <w:sz w:val="32"/>
          <w:szCs w:val="32"/>
        </w:rPr>
        <w:t>-2.15</w:t>
      </w:r>
      <w:r>
        <w:rPr>
          <w:rFonts w:hint="eastAsia" w:ascii="仿宋" w:hAnsi="仿宋" w:eastAsia="仿宋" w:cs="仿宋"/>
          <w:sz w:val="32"/>
          <w:szCs w:val="32"/>
        </w:rPr>
        <w:t>分），2</w:t>
      </w:r>
      <w:r>
        <w:rPr>
          <w:rFonts w:ascii="仿宋" w:hAnsi="仿宋" w:eastAsia="仿宋" w:cs="仿宋"/>
          <w:sz w:val="32"/>
          <w:szCs w:val="32"/>
        </w:rPr>
        <w:t>022</w:t>
      </w:r>
      <w:r>
        <w:rPr>
          <w:rFonts w:hint="eastAsia" w:ascii="仿宋" w:hAnsi="仿宋" w:eastAsia="仿宋" w:cs="仿宋"/>
          <w:sz w:val="32"/>
          <w:szCs w:val="32"/>
        </w:rPr>
        <w:t>年得分有所增加（+</w:t>
      </w:r>
      <w:r>
        <w:rPr>
          <w:rFonts w:ascii="仿宋" w:hAnsi="仿宋" w:eastAsia="仿宋" w:cs="仿宋"/>
          <w:sz w:val="32"/>
          <w:szCs w:val="32"/>
        </w:rPr>
        <w:t>0.63</w:t>
      </w:r>
      <w:r>
        <w:rPr>
          <w:rFonts w:hint="eastAsia" w:ascii="仿宋" w:hAnsi="仿宋" w:eastAsia="仿宋" w:cs="仿宋"/>
          <w:sz w:val="32"/>
          <w:szCs w:val="32"/>
        </w:rPr>
        <w:t>分）。“分布合理”排名从第6名（2</w:t>
      </w:r>
      <w:r>
        <w:rPr>
          <w:rFonts w:ascii="仿宋" w:hAnsi="仿宋" w:eastAsia="仿宋" w:cs="仿宋"/>
          <w:sz w:val="32"/>
          <w:szCs w:val="32"/>
        </w:rPr>
        <w:t>017</w:t>
      </w:r>
      <w:r>
        <w:rPr>
          <w:rFonts w:hint="eastAsia" w:ascii="仿宋" w:hAnsi="仿宋" w:eastAsia="仿宋" w:cs="仿宋"/>
          <w:sz w:val="32"/>
          <w:szCs w:val="32"/>
        </w:rPr>
        <w:t>年），下降到第1</w:t>
      </w:r>
      <w:r>
        <w:rPr>
          <w:rFonts w:ascii="仿宋" w:hAnsi="仿宋" w:eastAsia="仿宋" w:cs="仿宋"/>
          <w:sz w:val="32"/>
          <w:szCs w:val="32"/>
        </w:rPr>
        <w:t>7</w:t>
      </w:r>
      <w:r>
        <w:rPr>
          <w:rFonts w:hint="eastAsia" w:ascii="仿宋" w:hAnsi="仿宋" w:eastAsia="仿宋" w:cs="仿宋"/>
          <w:sz w:val="32"/>
          <w:szCs w:val="32"/>
        </w:rPr>
        <w:t>名（2</w:t>
      </w:r>
      <w:r>
        <w:rPr>
          <w:rFonts w:ascii="仿宋" w:hAnsi="仿宋" w:eastAsia="仿宋" w:cs="仿宋"/>
          <w:sz w:val="32"/>
          <w:szCs w:val="32"/>
        </w:rPr>
        <w:t>021</w:t>
      </w:r>
      <w:r>
        <w:rPr>
          <w:rFonts w:hint="eastAsia" w:ascii="仿宋" w:hAnsi="仿宋" w:eastAsia="仿宋" w:cs="仿宋"/>
          <w:sz w:val="32"/>
          <w:szCs w:val="32"/>
        </w:rPr>
        <w:t>年），在2</w:t>
      </w:r>
      <w:r>
        <w:rPr>
          <w:rFonts w:ascii="仿宋" w:hAnsi="仿宋" w:eastAsia="仿宋" w:cs="仿宋"/>
          <w:sz w:val="32"/>
          <w:szCs w:val="32"/>
        </w:rPr>
        <w:t>022</w:t>
      </w:r>
      <w:r>
        <w:rPr>
          <w:rFonts w:hint="eastAsia" w:ascii="仿宋" w:hAnsi="仿宋" w:eastAsia="仿宋" w:cs="仿宋"/>
          <w:sz w:val="32"/>
          <w:szCs w:val="32"/>
        </w:rPr>
        <w:t>年迅速提升至第5名。“物流便利”得分连续两年有较大幅度的下降，而后在2</w:t>
      </w:r>
      <w:r>
        <w:rPr>
          <w:rFonts w:ascii="仿宋" w:hAnsi="仿宋" w:eastAsia="仿宋" w:cs="仿宋"/>
          <w:sz w:val="32"/>
          <w:szCs w:val="32"/>
        </w:rPr>
        <w:t>022</w:t>
      </w:r>
      <w:r>
        <w:rPr>
          <w:rFonts w:hint="eastAsia" w:ascii="仿宋" w:hAnsi="仿宋" w:eastAsia="仿宋" w:cs="仿宋"/>
          <w:sz w:val="32"/>
          <w:szCs w:val="32"/>
        </w:rPr>
        <w:t>年有小幅增长。“物流便利”得分2</w:t>
      </w:r>
      <w:r>
        <w:rPr>
          <w:rFonts w:ascii="仿宋" w:hAnsi="仿宋" w:eastAsia="仿宋" w:cs="仿宋"/>
          <w:sz w:val="32"/>
          <w:szCs w:val="32"/>
        </w:rPr>
        <w:t>020</w:t>
      </w:r>
      <w:r>
        <w:rPr>
          <w:rFonts w:hint="eastAsia" w:ascii="仿宋" w:hAnsi="仿宋" w:eastAsia="仿宋" w:cs="仿宋"/>
          <w:sz w:val="32"/>
          <w:szCs w:val="32"/>
        </w:rPr>
        <w:t>年下降1</w:t>
      </w:r>
      <w:r>
        <w:rPr>
          <w:rFonts w:ascii="仿宋" w:hAnsi="仿宋" w:eastAsia="仿宋" w:cs="仿宋"/>
          <w:sz w:val="32"/>
          <w:szCs w:val="32"/>
        </w:rPr>
        <w:t>.45</w:t>
      </w:r>
      <w:r>
        <w:rPr>
          <w:rFonts w:hint="eastAsia" w:ascii="仿宋" w:hAnsi="仿宋" w:eastAsia="仿宋" w:cs="仿宋"/>
          <w:sz w:val="32"/>
          <w:szCs w:val="32"/>
        </w:rPr>
        <w:t>分、2</w:t>
      </w:r>
      <w:r>
        <w:rPr>
          <w:rFonts w:ascii="仿宋" w:hAnsi="仿宋" w:eastAsia="仿宋" w:cs="仿宋"/>
          <w:sz w:val="32"/>
          <w:szCs w:val="32"/>
        </w:rPr>
        <w:t>021</w:t>
      </w:r>
      <w:r>
        <w:rPr>
          <w:rFonts w:hint="eastAsia" w:ascii="仿宋" w:hAnsi="仿宋" w:eastAsia="仿宋" w:cs="仿宋"/>
          <w:sz w:val="32"/>
          <w:szCs w:val="32"/>
        </w:rPr>
        <w:t>年下降</w:t>
      </w:r>
      <w:r>
        <w:rPr>
          <w:rFonts w:ascii="仿宋" w:hAnsi="仿宋" w:eastAsia="仿宋" w:cs="仿宋"/>
          <w:sz w:val="32"/>
          <w:szCs w:val="32"/>
        </w:rPr>
        <w:t>4.70</w:t>
      </w:r>
      <w:r>
        <w:rPr>
          <w:rFonts w:hint="eastAsia" w:ascii="仿宋" w:hAnsi="仿宋" w:eastAsia="仿宋" w:cs="仿宋"/>
          <w:sz w:val="32"/>
          <w:szCs w:val="32"/>
        </w:rPr>
        <w:t>分，2</w:t>
      </w:r>
      <w:r>
        <w:rPr>
          <w:rFonts w:ascii="仿宋" w:hAnsi="仿宋" w:eastAsia="仿宋" w:cs="仿宋"/>
          <w:sz w:val="32"/>
          <w:szCs w:val="32"/>
        </w:rPr>
        <w:t>022</w:t>
      </w:r>
      <w:r>
        <w:rPr>
          <w:rFonts w:hint="eastAsia" w:ascii="仿宋" w:hAnsi="仿宋" w:eastAsia="仿宋" w:cs="仿宋"/>
          <w:sz w:val="32"/>
          <w:szCs w:val="32"/>
        </w:rPr>
        <w:t>年上升0</w:t>
      </w:r>
      <w:r>
        <w:rPr>
          <w:rFonts w:ascii="仿宋" w:hAnsi="仿宋" w:eastAsia="仿宋" w:cs="仿宋"/>
          <w:sz w:val="32"/>
          <w:szCs w:val="32"/>
        </w:rPr>
        <w:t>.81</w:t>
      </w:r>
      <w:r>
        <w:rPr>
          <w:rFonts w:hint="eastAsia" w:ascii="仿宋" w:hAnsi="仿宋" w:eastAsia="仿宋" w:cs="仿宋"/>
          <w:sz w:val="32"/>
          <w:szCs w:val="32"/>
        </w:rPr>
        <w:t>分。“物流便利”排名在2</w:t>
      </w:r>
      <w:r>
        <w:rPr>
          <w:rFonts w:ascii="仿宋" w:hAnsi="仿宋" w:eastAsia="仿宋" w:cs="仿宋"/>
          <w:sz w:val="32"/>
          <w:szCs w:val="32"/>
        </w:rPr>
        <w:t>021</w:t>
      </w:r>
      <w:r>
        <w:rPr>
          <w:rFonts w:hint="eastAsia" w:ascii="仿宋" w:hAnsi="仿宋" w:eastAsia="仿宋" w:cs="仿宋"/>
          <w:sz w:val="32"/>
          <w:szCs w:val="32"/>
        </w:rPr>
        <w:t>年大幅下降6名至第9名后，又在2</w:t>
      </w:r>
      <w:r>
        <w:rPr>
          <w:rFonts w:ascii="仿宋" w:hAnsi="仿宋" w:eastAsia="仿宋" w:cs="仿宋"/>
          <w:sz w:val="32"/>
          <w:szCs w:val="32"/>
        </w:rPr>
        <w:t>022</w:t>
      </w:r>
      <w:r>
        <w:rPr>
          <w:rFonts w:hint="eastAsia" w:ascii="仿宋" w:hAnsi="仿宋" w:eastAsia="仿宋" w:cs="仿宋"/>
          <w:sz w:val="32"/>
          <w:szCs w:val="32"/>
        </w:rPr>
        <w:t>年大幅上升至第1名。</w:t>
      </w:r>
    </w:p>
    <w:p>
      <w:pPr>
        <w:spacing w:line="560" w:lineRule="exact"/>
        <w:jc w:val="both"/>
        <w:rPr>
          <w:rFonts w:ascii="仿宋" w:hAnsi="仿宋" w:eastAsia="仿宋" w:cs="仿宋"/>
          <w:sz w:val="32"/>
          <w:szCs w:val="32"/>
        </w:rPr>
        <w:sectPr>
          <w:pgSz w:w="11906" w:h="16838"/>
          <w:pgMar w:top="1440" w:right="1800" w:bottom="1440" w:left="1800" w:header="851" w:footer="992" w:gutter="0"/>
          <w:pgNumType w:fmt="numberInDash"/>
          <w:cols w:space="425" w:num="1"/>
          <w:docGrid w:type="lines" w:linePitch="312" w:charSpace="0"/>
        </w:sectPr>
      </w:pPr>
    </w:p>
    <w:p>
      <w:pPr>
        <w:jc w:val="center"/>
      </w:pPr>
      <w:r>
        <w:rPr>
          <w:rFonts w:hint="eastAsia"/>
        </w:rPr>
        <w:drawing>
          <wp:inline distT="0" distB="0" distL="0" distR="0">
            <wp:extent cx="8303895" cy="4901565"/>
            <wp:effectExtent l="0" t="0" r="1905" b="63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jc w:val="center"/>
        <w:rPr>
          <w:rFonts w:ascii="黑体" w:hAnsi="黑体" w:eastAsia="黑体" w:cs="黑体"/>
          <w:sz w:val="28"/>
          <w:szCs w:val="28"/>
        </w:rPr>
        <w:sectPr>
          <w:pgSz w:w="16838" w:h="11906" w:orient="landscape"/>
          <w:pgMar w:top="1800" w:right="1440" w:bottom="1800" w:left="1440" w:header="851" w:footer="992" w:gutter="0"/>
          <w:pgNumType w:fmt="numberInDash"/>
          <w:cols w:space="425" w:num="1"/>
          <w:docGrid w:type="lines" w:linePitch="312" w:charSpace="0"/>
        </w:sectPr>
      </w:pPr>
      <w:r>
        <w:rPr>
          <w:rFonts w:hint="eastAsia" w:ascii="黑体" w:hAnsi="黑体" w:eastAsia="黑体" w:cs="黑体"/>
          <w:sz w:val="28"/>
          <w:szCs w:val="28"/>
        </w:rPr>
        <w:t>图6  2017-2022年消费者满意度三级指标得分对比（按202</w:t>
      </w:r>
      <w:r>
        <w:rPr>
          <w:rFonts w:ascii="黑体" w:hAnsi="黑体" w:eastAsia="黑体" w:cs="黑体"/>
          <w:sz w:val="28"/>
          <w:szCs w:val="28"/>
        </w:rPr>
        <w:t>2</w:t>
      </w:r>
      <w:r>
        <w:rPr>
          <w:rFonts w:hint="eastAsia" w:ascii="黑体" w:hAnsi="黑体" w:eastAsia="黑体" w:cs="黑体"/>
          <w:sz w:val="28"/>
          <w:szCs w:val="28"/>
        </w:rPr>
        <w:t>年指标得分高低排序）</w:t>
      </w:r>
    </w:p>
    <w:p>
      <w:pPr>
        <w:pStyle w:val="3"/>
        <w:numPr>
          <w:ilvl w:val="255"/>
          <w:numId w:val="0"/>
        </w:numPr>
        <w:ind w:firstLine="640" w:firstLineChars="200"/>
        <w:rPr>
          <w:rFonts w:ascii="黑体" w:hAnsi="黑体" w:eastAsia="黑体" w:cs="黑体"/>
          <w:b w:val="0"/>
          <w:bCs/>
          <w:i w:val="0"/>
          <w:iCs/>
          <w:sz w:val="32"/>
          <w:szCs w:val="28"/>
        </w:rPr>
      </w:pPr>
      <w:bookmarkStart w:id="28" w:name="_Toc214"/>
      <w:bookmarkStart w:id="29" w:name="_Toc62721759"/>
      <w:r>
        <w:rPr>
          <w:rFonts w:hint="eastAsia" w:ascii="黑体" w:hAnsi="黑体" w:eastAsia="黑体" w:cs="黑体"/>
          <w:b w:val="0"/>
          <w:bCs/>
          <w:i w:val="0"/>
          <w:iCs/>
          <w:sz w:val="32"/>
          <w:szCs w:val="28"/>
        </w:rPr>
        <w:t>五、消费者满意度测评指标体系优改分析</w:t>
      </w:r>
      <w:bookmarkEnd w:id="28"/>
      <w:bookmarkEnd w:id="29"/>
    </w:p>
    <w:p>
      <w:pPr>
        <w:ind w:firstLine="640" w:firstLineChars="200"/>
        <w:jc w:val="both"/>
        <w:rPr>
          <w:rFonts w:ascii="仿宋" w:hAnsi="仿宋" w:eastAsia="仿宋" w:cs="仿宋"/>
          <w:color w:val="1C1C1C"/>
          <w:sz w:val="32"/>
          <w:szCs w:val="32"/>
        </w:rPr>
      </w:pPr>
      <w:r>
        <w:rPr>
          <w:rFonts w:ascii="仿宋" w:hAnsi="仿宋" w:eastAsia="仿宋" w:cs="仿宋"/>
          <w:color w:val="1C1C1C"/>
          <w:sz w:val="32"/>
          <w:szCs w:val="32"/>
        </w:rPr>
        <w:t>根据</w:t>
      </w:r>
      <w:r>
        <w:rPr>
          <w:rFonts w:ascii="TimesNewRomanPSMT" w:hAnsi="TimesNewRomanPSMT" w:eastAsia="TimesNewRomanPSMT" w:cs="TimesNewRomanPSMT"/>
          <w:color w:val="1C1C1C"/>
          <w:sz w:val="32"/>
          <w:szCs w:val="32"/>
        </w:rPr>
        <w:t>20</w:t>
      </w:r>
      <w:r>
        <w:rPr>
          <w:rFonts w:hint="eastAsia" w:ascii="TimesNewRomanPSMT" w:hAnsi="TimesNewRomanPSMT" w:eastAsia="TimesNewRomanPSMT" w:cs="TimesNewRomanPSMT"/>
          <w:color w:val="1C1C1C"/>
          <w:sz w:val="32"/>
          <w:szCs w:val="32"/>
        </w:rPr>
        <w:t>2</w:t>
      </w:r>
      <w:r>
        <w:rPr>
          <w:rFonts w:ascii="TimesNewRomanPSMT" w:hAnsi="TimesNewRomanPSMT" w:eastAsia="TimesNewRomanPSMT" w:cs="TimesNewRomanPSMT"/>
          <w:color w:val="1C1C1C"/>
          <w:sz w:val="32"/>
          <w:szCs w:val="32"/>
        </w:rPr>
        <w:t>2</w:t>
      </w:r>
      <w:r>
        <w:rPr>
          <w:rFonts w:hint="eastAsia" w:ascii="仿宋" w:hAnsi="仿宋" w:eastAsia="仿宋" w:cs="仿宋"/>
          <w:color w:val="1C1C1C"/>
          <w:sz w:val="32"/>
          <w:szCs w:val="32"/>
        </w:rPr>
        <w:t>年消费者满意度</w:t>
      </w:r>
      <w:r>
        <w:rPr>
          <w:rFonts w:ascii="TimesNewRomanPSMT" w:hAnsi="TimesNewRomanPSMT" w:eastAsia="TimesNewRomanPSMT" w:cs="TimesNewRomanPSMT"/>
          <w:color w:val="1C1C1C"/>
          <w:sz w:val="32"/>
          <w:szCs w:val="32"/>
        </w:rPr>
        <w:t>2</w:t>
      </w:r>
      <w:r>
        <w:rPr>
          <w:rFonts w:hint="eastAsia" w:ascii="TimesNewRomanPSMT" w:hAnsi="TimesNewRomanPSMT" w:eastAsia="TimesNewRomanPSMT" w:cs="TimesNewRomanPSMT"/>
          <w:color w:val="1C1C1C"/>
          <w:sz w:val="32"/>
          <w:szCs w:val="32"/>
        </w:rPr>
        <w:t>5</w:t>
      </w:r>
      <w:r>
        <w:rPr>
          <w:rFonts w:hint="eastAsia" w:ascii="仿宋" w:hAnsi="仿宋" w:eastAsia="仿宋" w:cs="仿宋"/>
          <w:color w:val="1C1C1C"/>
          <w:sz w:val="32"/>
          <w:szCs w:val="32"/>
        </w:rPr>
        <w:t>个三级指标的重要性（权重）和满意度表现（得分），可以将</w:t>
      </w:r>
      <w:r>
        <w:rPr>
          <w:rFonts w:hint="eastAsia" w:ascii="TimesNewRomanPSMT" w:hAnsi="TimesNewRomanPSMT" w:eastAsia="TimesNewRomanPSMT" w:cs="TimesNewRomanPSMT"/>
          <w:color w:val="1C1C1C"/>
          <w:sz w:val="32"/>
          <w:szCs w:val="32"/>
        </w:rPr>
        <w:t>25</w:t>
      </w:r>
      <w:r>
        <w:rPr>
          <w:rFonts w:hint="eastAsia" w:ascii="仿宋" w:hAnsi="仿宋" w:eastAsia="仿宋" w:cs="仿宋"/>
          <w:color w:val="1C1C1C"/>
          <w:sz w:val="32"/>
          <w:szCs w:val="32"/>
        </w:rPr>
        <w:t>个指标分为四类进行优改分析。如图</w:t>
      </w:r>
      <w:r>
        <w:rPr>
          <w:rFonts w:ascii="TimesNewRomanPSMT" w:hAnsi="TimesNewRomanPSMT" w:eastAsia="TimesNewRomanPSMT" w:cs="TimesNewRomanPSMT"/>
          <w:color w:val="1C1C1C"/>
          <w:sz w:val="32"/>
          <w:szCs w:val="32"/>
        </w:rPr>
        <w:t>11</w:t>
      </w:r>
      <w:r>
        <w:rPr>
          <w:rFonts w:hint="eastAsia" w:ascii="仿宋" w:hAnsi="仿宋" w:eastAsia="仿宋" w:cs="仿宋"/>
          <w:color w:val="1C1C1C"/>
          <w:sz w:val="32"/>
          <w:szCs w:val="32"/>
        </w:rPr>
        <w:t>所示，横轴代表重要性，纵轴代表满意度表现。</w:t>
      </w:r>
    </w:p>
    <w:p>
      <w:pPr>
        <w:numPr>
          <w:ilvl w:val="255"/>
          <w:numId w:val="0"/>
        </w:numPr>
        <w:ind w:firstLine="643" w:firstLineChars="200"/>
        <w:jc w:val="both"/>
        <w:rPr>
          <w:rFonts w:ascii="仿宋" w:hAnsi="仿宋" w:eastAsia="仿宋" w:cs="仿宋"/>
          <w:color w:val="1C1C1C"/>
          <w:sz w:val="32"/>
          <w:szCs w:val="32"/>
        </w:rPr>
      </w:pPr>
      <w:r>
        <w:rPr>
          <w:rFonts w:hint="eastAsia" w:ascii="仿宋" w:hAnsi="仿宋" w:eastAsia="仿宋" w:cs="仿宋"/>
          <w:b/>
          <w:bCs/>
          <w:color w:val="1C1C1C"/>
          <w:sz w:val="32"/>
          <w:szCs w:val="32"/>
        </w:rPr>
        <w:t>1.</w:t>
      </w:r>
      <w:r>
        <w:rPr>
          <w:rFonts w:ascii="仿宋" w:hAnsi="仿宋" w:eastAsia="仿宋" w:cs="仿宋"/>
          <w:b/>
          <w:bCs/>
          <w:color w:val="1C1C1C"/>
          <w:sz w:val="32"/>
          <w:szCs w:val="32"/>
        </w:rPr>
        <w:t>优势区指标。</w:t>
      </w:r>
      <w:r>
        <w:rPr>
          <w:rFonts w:hint="eastAsia" w:ascii="仿宋" w:hAnsi="仿宋" w:eastAsia="仿宋" w:cs="仿宋"/>
          <w:bCs/>
          <w:color w:val="1C1C1C"/>
          <w:sz w:val="32"/>
          <w:szCs w:val="32"/>
        </w:rPr>
        <w:t>“消费自主选择权”</w:t>
      </w:r>
      <w:r>
        <w:rPr>
          <w:rFonts w:hint="eastAsia" w:ascii="仿宋" w:hAnsi="仿宋" w:eastAsia="仿宋" w:cs="仿宋"/>
          <w:color w:val="1C1C1C"/>
          <w:sz w:val="32"/>
          <w:szCs w:val="32"/>
        </w:rPr>
        <w:t>和“消费知情权”这2个指标的得分和重要性都比较高，说明这两个影响较大的指标同时也获得了比较高的分数。这两个指标均属于“消费环境”这个一级指标。</w:t>
      </w:r>
    </w:p>
    <w:p>
      <w:pPr>
        <w:numPr>
          <w:ilvl w:val="255"/>
          <w:numId w:val="0"/>
        </w:numPr>
        <w:ind w:firstLine="643" w:firstLineChars="200"/>
        <w:jc w:val="both"/>
        <w:rPr>
          <w:rFonts w:ascii="仿宋" w:hAnsi="仿宋" w:eastAsia="仿宋" w:cs="仿宋"/>
          <w:color w:val="1C1C1C"/>
          <w:sz w:val="32"/>
          <w:szCs w:val="32"/>
        </w:rPr>
      </w:pPr>
      <w:r>
        <w:rPr>
          <w:rFonts w:hint="eastAsia" w:ascii="仿宋" w:hAnsi="仿宋" w:eastAsia="仿宋" w:cs="仿宋"/>
          <w:b/>
          <w:bCs/>
          <w:color w:val="1C1C1C"/>
          <w:sz w:val="32"/>
          <w:szCs w:val="32"/>
        </w:rPr>
        <w:t>2.</w:t>
      </w:r>
      <w:r>
        <w:rPr>
          <w:rFonts w:ascii="仿宋" w:hAnsi="仿宋" w:eastAsia="仿宋" w:cs="仿宋"/>
          <w:b/>
          <w:bCs/>
          <w:color w:val="1C1C1C"/>
          <w:sz w:val="32"/>
          <w:szCs w:val="32"/>
        </w:rPr>
        <w:t>优改区指标。</w:t>
      </w:r>
      <w:r>
        <w:rPr>
          <w:rFonts w:hint="eastAsia" w:ascii="仿宋" w:hAnsi="仿宋" w:eastAsia="仿宋" w:cs="仿宋"/>
          <w:color w:val="1C1C1C"/>
          <w:sz w:val="32"/>
          <w:szCs w:val="32"/>
        </w:rPr>
        <w:t>“商家信任度”“售后保障”“服务水平” “信息真实”“消费执法”“交易安全”这6个指标处于优改区，表明这些指标的重要性较高，但满意度得分相对于所有三级指标而言较低，是需要重点关注和改进的指标。</w:t>
      </w:r>
    </w:p>
    <w:p>
      <w:pPr>
        <w:spacing w:line="600" w:lineRule="exact"/>
        <w:ind w:left="85"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其中，我们针对“交易安全”做了进一步调查。调查结果显示，在6</w:t>
      </w:r>
      <w:r>
        <w:rPr>
          <w:rFonts w:ascii="仿宋" w:hAnsi="仿宋" w:eastAsia="仿宋" w:cs="仿宋"/>
          <w:color w:val="1C1C1C"/>
          <w:sz w:val="32"/>
          <w:szCs w:val="32"/>
        </w:rPr>
        <w:t>1930</w:t>
      </w:r>
      <w:r>
        <w:rPr>
          <w:rFonts w:hint="eastAsia" w:ascii="仿宋" w:hAnsi="仿宋" w:eastAsia="仿宋" w:cs="仿宋"/>
          <w:color w:val="1C1C1C"/>
          <w:sz w:val="32"/>
          <w:szCs w:val="32"/>
        </w:rPr>
        <w:t>个调查对象中，有1</w:t>
      </w:r>
      <w:r>
        <w:rPr>
          <w:rFonts w:ascii="仿宋" w:hAnsi="仿宋" w:eastAsia="仿宋" w:cs="仿宋"/>
          <w:color w:val="1C1C1C"/>
          <w:sz w:val="32"/>
          <w:szCs w:val="32"/>
        </w:rPr>
        <w:t>5248</w:t>
      </w:r>
      <w:r>
        <w:rPr>
          <w:rFonts w:hint="eastAsia" w:ascii="仿宋" w:hAnsi="仿宋" w:eastAsia="仿宋" w:cs="仿宋"/>
          <w:color w:val="1C1C1C"/>
          <w:sz w:val="32"/>
          <w:szCs w:val="32"/>
        </w:rPr>
        <w:t>个调查对象遇到过身份信息泄露的情况，占调查对象总数的2</w:t>
      </w:r>
      <w:r>
        <w:rPr>
          <w:rFonts w:ascii="仿宋" w:hAnsi="仿宋" w:eastAsia="仿宋" w:cs="仿宋"/>
          <w:color w:val="1C1C1C"/>
          <w:sz w:val="32"/>
          <w:szCs w:val="32"/>
        </w:rPr>
        <w:t>4.6%</w:t>
      </w:r>
      <w:r>
        <w:rPr>
          <w:rFonts w:hint="eastAsia" w:ascii="仿宋" w:hAnsi="仿宋" w:eastAsia="仿宋" w:cs="仿宋"/>
          <w:color w:val="1C1C1C"/>
          <w:sz w:val="32"/>
          <w:szCs w:val="32"/>
        </w:rPr>
        <w:t>。</w:t>
      </w:r>
    </w:p>
    <w:p>
      <w:pPr>
        <w:spacing w:line="600" w:lineRule="exact"/>
        <w:ind w:left="85"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具体分机构来看，消费者没有留过信息但是接到过电话的机构主要包括：“投资、理财、贷款类”（5</w:t>
      </w:r>
      <w:r>
        <w:rPr>
          <w:rFonts w:ascii="仿宋" w:hAnsi="仿宋" w:eastAsia="仿宋" w:cs="仿宋"/>
          <w:color w:val="1C1C1C"/>
          <w:sz w:val="32"/>
          <w:szCs w:val="32"/>
        </w:rPr>
        <w:t>2.9%</w:t>
      </w:r>
      <w:r>
        <w:rPr>
          <w:rFonts w:hint="eastAsia" w:ascii="仿宋" w:hAnsi="仿宋" w:eastAsia="仿宋" w:cs="仿宋"/>
          <w:color w:val="1C1C1C"/>
          <w:sz w:val="32"/>
          <w:szCs w:val="32"/>
        </w:rPr>
        <w:t>）、“电信诈骗类”（4</w:t>
      </w:r>
      <w:r>
        <w:rPr>
          <w:rFonts w:ascii="仿宋" w:hAnsi="仿宋" w:eastAsia="仿宋" w:cs="仿宋"/>
          <w:color w:val="1C1C1C"/>
          <w:sz w:val="32"/>
          <w:szCs w:val="32"/>
        </w:rPr>
        <w:t>3.9%</w:t>
      </w:r>
      <w:r>
        <w:rPr>
          <w:rFonts w:hint="eastAsia" w:ascii="仿宋" w:hAnsi="仿宋" w:eastAsia="仿宋" w:cs="仿宋"/>
          <w:color w:val="1C1C1C"/>
          <w:sz w:val="32"/>
          <w:szCs w:val="32"/>
        </w:rPr>
        <w:t>）、“寿险、车险、医疗险类”（</w:t>
      </w:r>
      <w:r>
        <w:rPr>
          <w:rFonts w:ascii="仿宋" w:hAnsi="仿宋" w:eastAsia="仿宋" w:cs="仿宋"/>
          <w:color w:val="1C1C1C"/>
          <w:sz w:val="32"/>
          <w:szCs w:val="32"/>
        </w:rPr>
        <w:t>39.3%</w:t>
      </w:r>
      <w:r>
        <w:rPr>
          <w:rFonts w:hint="eastAsia" w:ascii="仿宋" w:hAnsi="仿宋" w:eastAsia="仿宋" w:cs="仿宋"/>
          <w:color w:val="1C1C1C"/>
          <w:sz w:val="32"/>
          <w:szCs w:val="32"/>
        </w:rPr>
        <w:t>）、“教育培训机构”（</w:t>
      </w:r>
      <w:r>
        <w:rPr>
          <w:rFonts w:ascii="仿宋" w:hAnsi="仿宋" w:eastAsia="仿宋" w:cs="仿宋"/>
          <w:color w:val="1C1C1C"/>
          <w:sz w:val="32"/>
          <w:szCs w:val="32"/>
        </w:rPr>
        <w:t>36.6%</w:t>
      </w:r>
      <w:r>
        <w:rPr>
          <w:rFonts w:hint="eastAsia" w:ascii="仿宋" w:hAnsi="仿宋" w:eastAsia="仿宋" w:cs="仿宋"/>
          <w:color w:val="1C1C1C"/>
          <w:sz w:val="32"/>
          <w:szCs w:val="32"/>
        </w:rPr>
        <w:t>）、“房产中介”（3</w:t>
      </w:r>
      <w:r>
        <w:rPr>
          <w:rFonts w:ascii="仿宋" w:hAnsi="仿宋" w:eastAsia="仿宋" w:cs="仿宋"/>
          <w:color w:val="1C1C1C"/>
          <w:sz w:val="32"/>
          <w:szCs w:val="32"/>
        </w:rPr>
        <w:t>0.6%</w:t>
      </w:r>
      <w:r>
        <w:rPr>
          <w:rFonts w:hint="eastAsia" w:ascii="仿宋" w:hAnsi="仿宋" w:eastAsia="仿宋" w:cs="仿宋"/>
          <w:color w:val="1C1C1C"/>
          <w:sz w:val="32"/>
          <w:szCs w:val="32"/>
        </w:rPr>
        <w:t>），这5类机构占比达到了3</w:t>
      </w:r>
      <w:r>
        <w:rPr>
          <w:rFonts w:ascii="仿宋" w:hAnsi="仿宋" w:eastAsia="仿宋" w:cs="仿宋"/>
          <w:color w:val="1C1C1C"/>
          <w:sz w:val="32"/>
          <w:szCs w:val="32"/>
        </w:rPr>
        <w:t>0%</w:t>
      </w:r>
      <w:r>
        <w:rPr>
          <w:rFonts w:hint="eastAsia" w:ascii="仿宋" w:hAnsi="仿宋" w:eastAsia="仿宋" w:cs="仿宋"/>
          <w:color w:val="1C1C1C"/>
          <w:sz w:val="32"/>
          <w:szCs w:val="32"/>
        </w:rPr>
        <w:t>以上。“装修公司”（</w:t>
      </w:r>
      <w:r>
        <w:rPr>
          <w:rFonts w:ascii="仿宋" w:hAnsi="仿宋" w:eastAsia="仿宋" w:cs="仿宋"/>
          <w:color w:val="1C1C1C"/>
          <w:sz w:val="32"/>
          <w:szCs w:val="32"/>
        </w:rPr>
        <w:t>12.8%）、</w:t>
      </w:r>
      <w:r>
        <w:rPr>
          <w:rFonts w:hint="eastAsia" w:ascii="仿宋" w:hAnsi="仿宋" w:eastAsia="仿宋" w:cs="仿宋"/>
          <w:color w:val="1C1C1C"/>
          <w:sz w:val="32"/>
          <w:szCs w:val="32"/>
        </w:rPr>
        <w:t>“</w:t>
      </w:r>
      <w:r>
        <w:rPr>
          <w:rFonts w:ascii="仿宋" w:hAnsi="仿宋" w:eastAsia="仿宋" w:cs="仿宋"/>
          <w:color w:val="1C1C1C"/>
          <w:sz w:val="32"/>
          <w:szCs w:val="32"/>
        </w:rPr>
        <w:t>美容医疗类</w:t>
      </w:r>
      <w:r>
        <w:rPr>
          <w:rFonts w:hint="eastAsia" w:ascii="仿宋" w:hAnsi="仿宋" w:eastAsia="仿宋" w:cs="仿宋"/>
          <w:color w:val="1C1C1C"/>
          <w:sz w:val="32"/>
          <w:szCs w:val="32"/>
        </w:rPr>
        <w:t>”</w:t>
      </w:r>
      <w:r>
        <w:rPr>
          <w:rFonts w:ascii="仿宋" w:hAnsi="仿宋" w:eastAsia="仿宋" w:cs="仿宋"/>
          <w:color w:val="1C1C1C"/>
          <w:sz w:val="32"/>
          <w:szCs w:val="32"/>
        </w:rPr>
        <w:t>（8.8%）</w:t>
      </w:r>
      <w:r>
        <w:rPr>
          <w:rFonts w:hint="eastAsia" w:ascii="仿宋" w:hAnsi="仿宋" w:eastAsia="仿宋" w:cs="仿宋"/>
          <w:color w:val="1C1C1C"/>
          <w:sz w:val="32"/>
          <w:szCs w:val="32"/>
        </w:rPr>
        <w:t>、“赌博彩票类”（5</w:t>
      </w:r>
      <w:r>
        <w:rPr>
          <w:rFonts w:ascii="仿宋" w:hAnsi="仿宋" w:eastAsia="仿宋" w:cs="仿宋"/>
          <w:color w:val="1C1C1C"/>
          <w:sz w:val="32"/>
          <w:szCs w:val="32"/>
        </w:rPr>
        <w:t>.8%</w:t>
      </w:r>
      <w:r>
        <w:rPr>
          <w:rFonts w:hint="eastAsia" w:ascii="仿宋" w:hAnsi="仿宋" w:eastAsia="仿宋" w:cs="仿宋"/>
          <w:color w:val="1C1C1C"/>
          <w:sz w:val="32"/>
          <w:szCs w:val="32"/>
        </w:rPr>
        <w:t>）、“</w:t>
      </w:r>
      <w:r>
        <w:rPr>
          <w:rFonts w:ascii="仿宋" w:hAnsi="仿宋" w:eastAsia="仿宋" w:cs="仿宋"/>
          <w:color w:val="1C1C1C"/>
          <w:sz w:val="32"/>
          <w:szCs w:val="32"/>
        </w:rPr>
        <w:t>健身机构</w:t>
      </w:r>
      <w:r>
        <w:rPr>
          <w:rFonts w:hint="eastAsia" w:ascii="仿宋" w:hAnsi="仿宋" w:eastAsia="仿宋" w:cs="仿宋"/>
          <w:color w:val="1C1C1C"/>
          <w:sz w:val="32"/>
          <w:szCs w:val="32"/>
        </w:rPr>
        <w:t>”</w:t>
      </w:r>
      <w:r>
        <w:rPr>
          <w:rFonts w:ascii="仿宋" w:hAnsi="仿宋" w:eastAsia="仿宋" w:cs="仿宋"/>
          <w:color w:val="1C1C1C"/>
          <w:sz w:val="32"/>
          <w:szCs w:val="32"/>
        </w:rPr>
        <w:t>（5.2%）</w:t>
      </w:r>
      <w:r>
        <w:rPr>
          <w:rFonts w:hint="eastAsia" w:ascii="仿宋" w:hAnsi="仿宋" w:eastAsia="仿宋" w:cs="仿宋"/>
          <w:color w:val="1C1C1C"/>
          <w:sz w:val="32"/>
          <w:szCs w:val="32"/>
        </w:rPr>
        <w:t>等机构也有较低的比例。</w:t>
      </w:r>
    </w:p>
    <w:p>
      <w:pPr>
        <w:spacing w:line="600" w:lineRule="exact"/>
        <w:ind w:left="85"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与去年的占比情况相对比，除“电信诈骗类”机构占比有小幅度增长（+</w:t>
      </w:r>
      <w:r>
        <w:rPr>
          <w:rFonts w:ascii="仿宋" w:hAnsi="仿宋" w:eastAsia="仿宋" w:cs="仿宋"/>
          <w:color w:val="1C1C1C"/>
          <w:sz w:val="32"/>
          <w:szCs w:val="32"/>
        </w:rPr>
        <w:t>0.6%</w:t>
      </w:r>
      <w:r>
        <w:rPr>
          <w:rFonts w:hint="eastAsia" w:ascii="仿宋" w:hAnsi="仿宋" w:eastAsia="仿宋" w:cs="仿宋"/>
          <w:color w:val="1C1C1C"/>
          <w:sz w:val="32"/>
          <w:szCs w:val="32"/>
        </w:rPr>
        <w:t>）外，其他机构占比均有所降低，表明身份信息泄露的情况整体有所减少，交易安全性整体有所提高。“房产中介”（-</w:t>
      </w:r>
      <w:r>
        <w:rPr>
          <w:rFonts w:ascii="仿宋" w:hAnsi="仿宋" w:eastAsia="仿宋" w:cs="仿宋"/>
          <w:color w:val="1C1C1C"/>
          <w:sz w:val="32"/>
          <w:szCs w:val="32"/>
        </w:rPr>
        <w:t>7.1%</w:t>
      </w:r>
      <w:r>
        <w:rPr>
          <w:rFonts w:hint="eastAsia" w:ascii="仿宋" w:hAnsi="仿宋" w:eastAsia="仿宋" w:cs="仿宋"/>
          <w:color w:val="1C1C1C"/>
          <w:sz w:val="32"/>
          <w:szCs w:val="32"/>
        </w:rPr>
        <w:t>）、“教育培训机构”（-</w:t>
      </w:r>
      <w:r>
        <w:rPr>
          <w:rFonts w:ascii="仿宋" w:hAnsi="仿宋" w:eastAsia="仿宋" w:cs="仿宋"/>
          <w:color w:val="1C1C1C"/>
          <w:sz w:val="32"/>
          <w:szCs w:val="32"/>
        </w:rPr>
        <w:t>7.1%</w:t>
      </w:r>
      <w:r>
        <w:rPr>
          <w:rFonts w:hint="eastAsia" w:ascii="仿宋" w:hAnsi="仿宋" w:eastAsia="仿宋" w:cs="仿宋"/>
          <w:color w:val="1C1C1C"/>
          <w:sz w:val="32"/>
          <w:szCs w:val="32"/>
        </w:rPr>
        <w:t>）、“赌博彩票类”（-</w:t>
      </w:r>
      <w:r>
        <w:rPr>
          <w:rFonts w:ascii="仿宋" w:hAnsi="仿宋" w:eastAsia="仿宋" w:cs="仿宋"/>
          <w:color w:val="1C1C1C"/>
          <w:sz w:val="32"/>
          <w:szCs w:val="32"/>
        </w:rPr>
        <w:t>6.8%</w:t>
      </w:r>
      <w:r>
        <w:rPr>
          <w:rFonts w:hint="eastAsia" w:ascii="仿宋" w:hAnsi="仿宋" w:eastAsia="仿宋" w:cs="仿宋"/>
          <w:color w:val="1C1C1C"/>
          <w:sz w:val="32"/>
          <w:szCs w:val="32"/>
        </w:rPr>
        <w:t>）、“健身机构”（-</w:t>
      </w:r>
      <w:r>
        <w:rPr>
          <w:rFonts w:ascii="仿宋" w:hAnsi="仿宋" w:eastAsia="仿宋" w:cs="仿宋"/>
          <w:color w:val="1C1C1C"/>
          <w:sz w:val="32"/>
          <w:szCs w:val="32"/>
        </w:rPr>
        <w:t>6.6%</w:t>
      </w:r>
      <w:r>
        <w:rPr>
          <w:rFonts w:hint="eastAsia" w:ascii="仿宋" w:hAnsi="仿宋" w:eastAsia="仿宋" w:cs="仿宋"/>
          <w:color w:val="1C1C1C"/>
          <w:sz w:val="32"/>
          <w:szCs w:val="32"/>
        </w:rPr>
        <w:t>）、“美容医疗类”（-</w:t>
      </w:r>
      <w:r>
        <w:rPr>
          <w:rFonts w:ascii="仿宋" w:hAnsi="仿宋" w:eastAsia="仿宋" w:cs="仿宋"/>
          <w:color w:val="1C1C1C"/>
          <w:sz w:val="32"/>
          <w:szCs w:val="32"/>
        </w:rPr>
        <w:t>5.7%</w:t>
      </w:r>
      <w:r>
        <w:rPr>
          <w:rFonts w:hint="eastAsia" w:ascii="仿宋" w:hAnsi="仿宋" w:eastAsia="仿宋" w:cs="仿宋"/>
          <w:color w:val="1C1C1C"/>
          <w:sz w:val="32"/>
          <w:szCs w:val="32"/>
        </w:rPr>
        <w:t>）这5类机构占比降低均超过5</w:t>
      </w:r>
      <w:r>
        <w:rPr>
          <w:rFonts w:ascii="仿宋" w:hAnsi="仿宋" w:eastAsia="仿宋" w:cs="仿宋"/>
          <w:color w:val="1C1C1C"/>
          <w:sz w:val="32"/>
          <w:szCs w:val="32"/>
        </w:rPr>
        <w:t>%</w:t>
      </w:r>
      <w:r>
        <w:rPr>
          <w:rFonts w:hint="eastAsia" w:ascii="仿宋" w:hAnsi="仿宋" w:eastAsia="仿宋" w:cs="仿宋"/>
          <w:color w:val="1C1C1C"/>
          <w:sz w:val="32"/>
          <w:szCs w:val="32"/>
        </w:rPr>
        <w:t>。</w:t>
      </w:r>
    </w:p>
    <w:p>
      <w:pPr>
        <w:jc w:val="center"/>
      </w:pPr>
      <w:r>
        <w:rPr>
          <w:rFonts w:hint="eastAsia"/>
        </w:rPr>
        <w:drawing>
          <wp:inline distT="0" distB="0" distL="0" distR="0">
            <wp:extent cx="5274310" cy="3076575"/>
            <wp:effectExtent l="0" t="0" r="2540" b="0"/>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jc w:val="center"/>
        <w:rPr>
          <w:rFonts w:ascii="黑体" w:hAnsi="黑体" w:eastAsia="黑体" w:cs="黑体"/>
          <w:sz w:val="28"/>
          <w:szCs w:val="28"/>
        </w:rPr>
      </w:pPr>
      <w:r>
        <w:rPr>
          <w:rFonts w:hint="eastAsia" w:ascii="黑体" w:hAnsi="黑体" w:eastAsia="黑体" w:cs="黑体"/>
          <w:sz w:val="28"/>
          <w:szCs w:val="28"/>
        </w:rPr>
        <w:t>图7  没有留过信息但接到过电话的机构（%）</w:t>
      </w:r>
    </w:p>
    <w:p>
      <w:pPr>
        <w:numPr>
          <w:ilvl w:val="255"/>
          <w:numId w:val="0"/>
        </w:numPr>
        <w:ind w:firstLine="643" w:firstLineChars="200"/>
        <w:jc w:val="both"/>
        <w:rPr>
          <w:rFonts w:ascii="仿宋" w:hAnsi="仿宋" w:eastAsia="仿宋" w:cs="仿宋"/>
          <w:color w:val="1C1C1C"/>
          <w:sz w:val="32"/>
          <w:szCs w:val="32"/>
        </w:rPr>
      </w:pPr>
      <w:r>
        <w:rPr>
          <w:rFonts w:hint="eastAsia" w:ascii="仿宋" w:hAnsi="仿宋" w:eastAsia="仿宋" w:cs="仿宋"/>
          <w:b/>
          <w:bCs/>
          <w:color w:val="1C1C1C"/>
          <w:sz w:val="32"/>
          <w:szCs w:val="32"/>
        </w:rPr>
        <w:t>3.次改区指标。</w:t>
      </w:r>
      <w:r>
        <w:rPr>
          <w:rFonts w:hint="eastAsia" w:ascii="仿宋" w:hAnsi="仿宋" w:eastAsia="仿宋" w:cs="仿宋"/>
          <w:bCs/>
          <w:color w:val="1C1C1C"/>
          <w:sz w:val="32"/>
          <w:szCs w:val="32"/>
        </w:rPr>
        <w:t>“维权效率”“维权结果”“维权渠道”“舒适性”“商品或服务质量”“安全性”“价格公道”“明码标价”“消费知识法制宣传”“供给创新性”“消费警示提示”这</w:t>
      </w:r>
      <w:r>
        <w:rPr>
          <w:rFonts w:ascii="仿宋" w:hAnsi="仿宋" w:eastAsia="仿宋" w:cs="仿宋"/>
          <w:bCs/>
          <w:color w:val="1C1C1C"/>
          <w:sz w:val="32"/>
          <w:szCs w:val="32"/>
        </w:rPr>
        <w:t>11</w:t>
      </w:r>
      <w:r>
        <w:rPr>
          <w:rFonts w:hint="eastAsia" w:ascii="仿宋" w:hAnsi="仿宋" w:eastAsia="仿宋" w:cs="仿宋"/>
          <w:bCs/>
          <w:color w:val="1C1C1C"/>
          <w:sz w:val="32"/>
          <w:szCs w:val="32"/>
        </w:rPr>
        <w:t>个指标位于次改区，表示这些三级指标重要性较低，满意度得分也有待提高</w:t>
      </w:r>
      <w:r>
        <w:rPr>
          <w:rFonts w:hint="eastAsia" w:ascii="仿宋" w:hAnsi="仿宋" w:eastAsia="仿宋" w:cs="仿宋"/>
          <w:color w:val="1C1C1C"/>
          <w:sz w:val="32"/>
          <w:szCs w:val="32"/>
        </w:rPr>
        <w:t>。</w:t>
      </w:r>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关于“价格公道”，调查显示，当被</w:t>
      </w:r>
      <w:r>
        <w:rPr>
          <w:rFonts w:ascii="仿宋" w:hAnsi="仿宋" w:eastAsia="仿宋" w:cs="仿宋"/>
          <w:color w:val="1C1C1C"/>
          <w:sz w:val="32"/>
          <w:szCs w:val="32"/>
        </w:rPr>
        <w:t>问及</w:t>
      </w:r>
      <w:r>
        <w:rPr>
          <w:rFonts w:hint="eastAsia" w:ascii="仿宋" w:hAnsi="仿宋" w:eastAsia="仿宋" w:cs="仿宋"/>
          <w:color w:val="1C1C1C"/>
          <w:sz w:val="32"/>
          <w:szCs w:val="32"/>
        </w:rPr>
        <w:t>“哪些商品或服务的价格往往比您预期的价格高”时</w:t>
      </w:r>
      <w:r>
        <w:rPr>
          <w:rFonts w:ascii="仿宋" w:hAnsi="仿宋" w:eastAsia="仿宋" w:cs="仿宋"/>
          <w:color w:val="1C1C1C"/>
          <w:sz w:val="32"/>
          <w:szCs w:val="32"/>
        </w:rPr>
        <w:t>，</w:t>
      </w:r>
      <w:r>
        <w:rPr>
          <w:rFonts w:hint="eastAsia" w:ascii="仿宋" w:hAnsi="仿宋" w:eastAsia="仿宋" w:cs="仿宋"/>
          <w:color w:val="1C1C1C"/>
          <w:sz w:val="32"/>
          <w:szCs w:val="32"/>
        </w:rPr>
        <w:t>消费者选择最多的类别是“食品类”（</w:t>
      </w:r>
      <w:r>
        <w:rPr>
          <w:rFonts w:ascii="仿宋" w:hAnsi="仿宋" w:eastAsia="仿宋" w:cs="仿宋"/>
          <w:color w:val="1C1C1C"/>
          <w:sz w:val="32"/>
          <w:szCs w:val="32"/>
        </w:rPr>
        <w:t>38.6%</w:t>
      </w:r>
      <w:r>
        <w:rPr>
          <w:rFonts w:hint="eastAsia" w:ascii="仿宋" w:hAnsi="仿宋" w:eastAsia="仿宋" w:cs="仿宋"/>
          <w:color w:val="1C1C1C"/>
          <w:sz w:val="32"/>
          <w:szCs w:val="32"/>
        </w:rPr>
        <w:t>），其次</w:t>
      </w:r>
      <w:r>
        <w:rPr>
          <w:rFonts w:ascii="仿宋" w:hAnsi="仿宋" w:eastAsia="仿宋" w:cs="仿宋"/>
          <w:color w:val="1C1C1C"/>
          <w:sz w:val="32"/>
          <w:szCs w:val="32"/>
        </w:rPr>
        <w:t>“家用电器类”</w:t>
      </w:r>
      <w:r>
        <w:rPr>
          <w:rFonts w:hint="eastAsia" w:ascii="仿宋" w:hAnsi="仿宋" w:eastAsia="仿宋" w:cs="仿宋"/>
          <w:color w:val="1C1C1C"/>
          <w:sz w:val="32"/>
          <w:szCs w:val="32"/>
        </w:rPr>
        <w:t>（</w:t>
      </w:r>
      <w:r>
        <w:rPr>
          <w:rFonts w:ascii="仿宋" w:hAnsi="仿宋" w:eastAsia="仿宋" w:cs="仿宋"/>
          <w:color w:val="1C1C1C"/>
          <w:sz w:val="32"/>
          <w:szCs w:val="32"/>
        </w:rPr>
        <w:t>35.3%）</w:t>
      </w:r>
      <w:r>
        <w:rPr>
          <w:rFonts w:hint="eastAsia" w:ascii="仿宋" w:hAnsi="仿宋" w:eastAsia="仿宋" w:cs="仿宋"/>
          <w:color w:val="1C1C1C"/>
          <w:sz w:val="32"/>
          <w:szCs w:val="32"/>
        </w:rPr>
        <w:t>、“智能</w:t>
      </w:r>
      <w:r>
        <w:rPr>
          <w:rFonts w:ascii="仿宋" w:hAnsi="仿宋" w:eastAsia="仿宋" w:cs="仿宋"/>
          <w:color w:val="1C1C1C"/>
          <w:sz w:val="32"/>
          <w:szCs w:val="32"/>
        </w:rPr>
        <w:t>产品类”</w:t>
      </w:r>
      <w:r>
        <w:rPr>
          <w:rFonts w:hint="eastAsia" w:ascii="仿宋" w:hAnsi="仿宋" w:eastAsia="仿宋" w:cs="仿宋"/>
          <w:color w:val="1C1C1C"/>
          <w:sz w:val="32"/>
          <w:szCs w:val="32"/>
        </w:rPr>
        <w:t>（32.5%</w:t>
      </w:r>
      <w:r>
        <w:rPr>
          <w:rFonts w:ascii="仿宋" w:hAnsi="仿宋" w:eastAsia="仿宋" w:cs="仿宋"/>
          <w:color w:val="1C1C1C"/>
          <w:sz w:val="32"/>
          <w:szCs w:val="32"/>
        </w:rPr>
        <w:t>）</w:t>
      </w:r>
      <w:r>
        <w:rPr>
          <w:rFonts w:hint="eastAsia" w:ascii="仿宋" w:hAnsi="仿宋" w:eastAsia="仿宋" w:cs="仿宋"/>
          <w:color w:val="1C1C1C"/>
          <w:sz w:val="32"/>
          <w:szCs w:val="32"/>
        </w:rPr>
        <w:t>，这3项占比在3</w:t>
      </w:r>
      <w:r>
        <w:rPr>
          <w:rFonts w:ascii="仿宋" w:hAnsi="仿宋" w:eastAsia="仿宋" w:cs="仿宋"/>
          <w:color w:val="1C1C1C"/>
          <w:sz w:val="32"/>
          <w:szCs w:val="32"/>
        </w:rPr>
        <w:t>0</w:t>
      </w:r>
      <w:r>
        <w:rPr>
          <w:rFonts w:hint="eastAsia" w:ascii="仿宋" w:hAnsi="仿宋" w:eastAsia="仿宋" w:cs="仿宋"/>
          <w:color w:val="1C1C1C"/>
          <w:sz w:val="32"/>
          <w:szCs w:val="32"/>
        </w:rPr>
        <w:t>%以上；</w:t>
      </w:r>
      <w:r>
        <w:rPr>
          <w:rFonts w:ascii="仿宋" w:hAnsi="仿宋" w:eastAsia="仿宋" w:cs="仿宋"/>
          <w:color w:val="1C1C1C"/>
          <w:sz w:val="32"/>
          <w:szCs w:val="32"/>
        </w:rPr>
        <w:t>“日用百货商品”</w:t>
      </w:r>
      <w:r>
        <w:rPr>
          <w:rFonts w:hint="eastAsia" w:ascii="仿宋" w:hAnsi="仿宋" w:eastAsia="仿宋" w:cs="仿宋"/>
          <w:color w:val="1C1C1C"/>
          <w:sz w:val="32"/>
          <w:szCs w:val="32"/>
        </w:rPr>
        <w:t>（</w:t>
      </w:r>
      <w:r>
        <w:rPr>
          <w:rFonts w:ascii="仿宋" w:hAnsi="仿宋" w:eastAsia="仿宋" w:cs="仿宋"/>
          <w:color w:val="1C1C1C"/>
          <w:sz w:val="32"/>
          <w:szCs w:val="32"/>
        </w:rPr>
        <w:t>27.2%）</w:t>
      </w:r>
      <w:r>
        <w:rPr>
          <w:rFonts w:hint="eastAsia" w:ascii="仿宋" w:hAnsi="仿宋" w:eastAsia="仿宋" w:cs="仿宋"/>
          <w:color w:val="1C1C1C"/>
          <w:sz w:val="32"/>
          <w:szCs w:val="32"/>
        </w:rPr>
        <w:t>、</w:t>
      </w:r>
      <w:r>
        <w:rPr>
          <w:rFonts w:ascii="仿宋" w:hAnsi="仿宋" w:eastAsia="仿宋" w:cs="仿宋"/>
          <w:color w:val="1C1C1C"/>
          <w:sz w:val="32"/>
          <w:szCs w:val="32"/>
        </w:rPr>
        <w:t>“服装鞋帽类商品”</w:t>
      </w:r>
      <w:r>
        <w:rPr>
          <w:rFonts w:hint="eastAsia" w:ascii="仿宋" w:hAnsi="仿宋" w:eastAsia="仿宋" w:cs="仿宋"/>
          <w:color w:val="1C1C1C"/>
          <w:sz w:val="32"/>
          <w:szCs w:val="32"/>
        </w:rPr>
        <w:t>（</w:t>
      </w:r>
      <w:r>
        <w:rPr>
          <w:rFonts w:ascii="仿宋" w:hAnsi="仿宋" w:eastAsia="仿宋" w:cs="仿宋"/>
          <w:color w:val="1C1C1C"/>
          <w:sz w:val="32"/>
          <w:szCs w:val="32"/>
        </w:rPr>
        <w:t>26.2%）</w:t>
      </w:r>
      <w:r>
        <w:rPr>
          <w:rFonts w:hint="eastAsia" w:ascii="仿宋" w:hAnsi="仿宋" w:eastAsia="仿宋" w:cs="仿宋"/>
          <w:color w:val="1C1C1C"/>
          <w:sz w:val="32"/>
          <w:szCs w:val="32"/>
        </w:rPr>
        <w:t>这2项占比在2</w:t>
      </w:r>
      <w:r>
        <w:rPr>
          <w:rFonts w:ascii="仿宋" w:hAnsi="仿宋" w:eastAsia="仿宋" w:cs="仿宋"/>
          <w:color w:val="1C1C1C"/>
          <w:sz w:val="32"/>
          <w:szCs w:val="32"/>
        </w:rPr>
        <w:t>0</w:t>
      </w:r>
      <w:r>
        <w:rPr>
          <w:rFonts w:hint="eastAsia" w:ascii="仿宋" w:hAnsi="仿宋" w:eastAsia="仿宋" w:cs="仿宋"/>
          <w:color w:val="1C1C1C"/>
          <w:sz w:val="32"/>
          <w:szCs w:val="32"/>
        </w:rPr>
        <w:t>%以上；“教育培训类”（</w:t>
      </w:r>
      <w:r>
        <w:rPr>
          <w:rFonts w:ascii="仿宋" w:hAnsi="仿宋" w:eastAsia="仿宋" w:cs="仿宋"/>
          <w:color w:val="1C1C1C"/>
          <w:sz w:val="32"/>
          <w:szCs w:val="32"/>
        </w:rPr>
        <w:t>17.7%</w:t>
      </w:r>
      <w:r>
        <w:rPr>
          <w:rFonts w:hint="eastAsia" w:ascii="仿宋" w:hAnsi="仿宋" w:eastAsia="仿宋" w:cs="仿宋"/>
          <w:color w:val="1C1C1C"/>
          <w:sz w:val="32"/>
          <w:szCs w:val="32"/>
        </w:rPr>
        <w:t>）、“儿童用品类”（</w:t>
      </w:r>
      <w:r>
        <w:rPr>
          <w:rFonts w:ascii="仿宋" w:hAnsi="仿宋" w:eastAsia="仿宋" w:cs="仿宋"/>
          <w:color w:val="1C1C1C"/>
          <w:sz w:val="32"/>
          <w:szCs w:val="32"/>
        </w:rPr>
        <w:t>16.3%</w:t>
      </w:r>
      <w:r>
        <w:rPr>
          <w:rFonts w:hint="eastAsia" w:ascii="仿宋" w:hAnsi="仿宋" w:eastAsia="仿宋" w:cs="仿宋"/>
          <w:color w:val="1C1C1C"/>
          <w:sz w:val="32"/>
          <w:szCs w:val="32"/>
        </w:rPr>
        <w:t>）、“保健品类”（</w:t>
      </w:r>
      <w:r>
        <w:rPr>
          <w:rFonts w:ascii="仿宋" w:hAnsi="仿宋" w:eastAsia="仿宋" w:cs="仿宋"/>
          <w:color w:val="1C1C1C"/>
          <w:sz w:val="32"/>
          <w:szCs w:val="32"/>
        </w:rPr>
        <w:t>15.8%</w:t>
      </w:r>
      <w:r>
        <w:rPr>
          <w:rFonts w:hint="eastAsia" w:ascii="仿宋" w:hAnsi="仿宋" w:eastAsia="仿宋" w:cs="仿宋"/>
          <w:color w:val="1C1C1C"/>
          <w:sz w:val="32"/>
          <w:szCs w:val="32"/>
        </w:rPr>
        <w:t>）、“美容美发美妆类”（</w:t>
      </w:r>
      <w:r>
        <w:rPr>
          <w:rFonts w:ascii="仿宋" w:hAnsi="仿宋" w:eastAsia="仿宋" w:cs="仿宋"/>
          <w:color w:val="1C1C1C"/>
          <w:sz w:val="32"/>
          <w:szCs w:val="32"/>
        </w:rPr>
        <w:t>15.4%</w:t>
      </w:r>
      <w:r>
        <w:rPr>
          <w:rFonts w:hint="eastAsia" w:ascii="仿宋" w:hAnsi="仿宋" w:eastAsia="仿宋" w:cs="仿宋"/>
          <w:color w:val="1C1C1C"/>
          <w:sz w:val="32"/>
          <w:szCs w:val="32"/>
        </w:rPr>
        <w:t>）、“餐饮消费类”（</w:t>
      </w:r>
      <w:r>
        <w:rPr>
          <w:rFonts w:ascii="仿宋" w:hAnsi="仿宋" w:eastAsia="仿宋" w:cs="仿宋"/>
          <w:color w:val="1C1C1C"/>
          <w:sz w:val="32"/>
          <w:szCs w:val="32"/>
        </w:rPr>
        <w:t>14.1%</w:t>
      </w:r>
      <w:r>
        <w:rPr>
          <w:rFonts w:hint="eastAsia" w:ascii="仿宋" w:hAnsi="仿宋" w:eastAsia="仿宋" w:cs="仿宋"/>
          <w:color w:val="1C1C1C"/>
          <w:sz w:val="32"/>
          <w:szCs w:val="32"/>
        </w:rPr>
        <w:t>）、“文体用品类”（</w:t>
      </w:r>
      <w:r>
        <w:rPr>
          <w:rFonts w:ascii="仿宋" w:hAnsi="仿宋" w:eastAsia="仿宋" w:cs="仿宋"/>
          <w:color w:val="1C1C1C"/>
          <w:sz w:val="32"/>
          <w:szCs w:val="32"/>
        </w:rPr>
        <w:t>10.1%</w:t>
      </w:r>
      <w:r>
        <w:rPr>
          <w:rFonts w:hint="eastAsia" w:ascii="仿宋" w:hAnsi="仿宋" w:eastAsia="仿宋" w:cs="仿宋"/>
          <w:color w:val="1C1C1C"/>
          <w:sz w:val="32"/>
          <w:szCs w:val="32"/>
        </w:rPr>
        <w:t>），这</w:t>
      </w:r>
      <w:r>
        <w:rPr>
          <w:rFonts w:ascii="仿宋" w:hAnsi="仿宋" w:eastAsia="仿宋" w:cs="仿宋"/>
          <w:color w:val="1C1C1C"/>
          <w:sz w:val="32"/>
          <w:szCs w:val="32"/>
        </w:rPr>
        <w:t>6</w:t>
      </w:r>
      <w:r>
        <w:rPr>
          <w:rFonts w:hint="eastAsia" w:ascii="仿宋" w:hAnsi="仿宋" w:eastAsia="仿宋" w:cs="仿宋"/>
          <w:color w:val="1C1C1C"/>
          <w:sz w:val="32"/>
          <w:szCs w:val="32"/>
        </w:rPr>
        <w:t>项占比在1</w:t>
      </w:r>
      <w:r>
        <w:rPr>
          <w:rFonts w:ascii="仿宋" w:hAnsi="仿宋" w:eastAsia="仿宋" w:cs="仿宋"/>
          <w:color w:val="1C1C1C"/>
          <w:sz w:val="32"/>
          <w:szCs w:val="32"/>
        </w:rPr>
        <w:t>0</w:t>
      </w:r>
      <w:r>
        <w:rPr>
          <w:rFonts w:hint="eastAsia" w:ascii="仿宋" w:hAnsi="仿宋" w:eastAsia="仿宋" w:cs="仿宋"/>
          <w:color w:val="1C1C1C"/>
          <w:sz w:val="32"/>
          <w:szCs w:val="32"/>
        </w:rPr>
        <w:t>%以上；而“金融保险理财类”（</w:t>
      </w:r>
      <w:r>
        <w:rPr>
          <w:rFonts w:ascii="仿宋" w:hAnsi="仿宋" w:eastAsia="仿宋" w:cs="仿宋"/>
          <w:color w:val="1C1C1C"/>
          <w:sz w:val="32"/>
          <w:szCs w:val="32"/>
        </w:rPr>
        <w:t>7.6%</w:t>
      </w:r>
      <w:r>
        <w:rPr>
          <w:rFonts w:hint="eastAsia" w:ascii="仿宋" w:hAnsi="仿宋" w:eastAsia="仿宋" w:cs="仿宋"/>
          <w:color w:val="1C1C1C"/>
          <w:sz w:val="32"/>
          <w:szCs w:val="32"/>
        </w:rPr>
        <w:t>）、“家居家装类”（</w:t>
      </w:r>
      <w:r>
        <w:rPr>
          <w:rFonts w:ascii="仿宋" w:hAnsi="仿宋" w:eastAsia="仿宋" w:cs="仿宋"/>
          <w:color w:val="1C1C1C"/>
          <w:sz w:val="32"/>
          <w:szCs w:val="32"/>
        </w:rPr>
        <w:t>6.8%</w:t>
      </w:r>
      <w:r>
        <w:rPr>
          <w:rFonts w:hint="eastAsia" w:ascii="仿宋" w:hAnsi="仿宋" w:eastAsia="仿宋" w:cs="仿宋"/>
          <w:color w:val="1C1C1C"/>
          <w:sz w:val="32"/>
          <w:szCs w:val="32"/>
        </w:rPr>
        <w:t>）、“文体娱乐等服务消费类”（</w:t>
      </w:r>
      <w:r>
        <w:rPr>
          <w:rFonts w:ascii="仿宋" w:hAnsi="仿宋" w:eastAsia="仿宋" w:cs="仿宋"/>
          <w:color w:val="1C1C1C"/>
          <w:sz w:val="32"/>
          <w:szCs w:val="32"/>
        </w:rPr>
        <w:t>6.7%</w:t>
      </w:r>
      <w:r>
        <w:rPr>
          <w:rFonts w:hint="eastAsia" w:ascii="仿宋" w:hAnsi="仿宋" w:eastAsia="仿宋" w:cs="仿宋"/>
          <w:color w:val="1C1C1C"/>
          <w:sz w:val="32"/>
          <w:szCs w:val="32"/>
        </w:rPr>
        <w:t>）、“家政服务类”（</w:t>
      </w:r>
      <w:r>
        <w:rPr>
          <w:rFonts w:ascii="仿宋" w:hAnsi="仿宋" w:eastAsia="仿宋" w:cs="仿宋"/>
          <w:color w:val="1C1C1C"/>
          <w:sz w:val="32"/>
          <w:szCs w:val="32"/>
        </w:rPr>
        <w:t>6.4%</w:t>
      </w:r>
      <w:r>
        <w:rPr>
          <w:rFonts w:hint="eastAsia" w:ascii="仿宋" w:hAnsi="仿宋" w:eastAsia="仿宋" w:cs="仿宋"/>
          <w:color w:val="1C1C1C"/>
          <w:sz w:val="32"/>
          <w:szCs w:val="32"/>
        </w:rPr>
        <w:t>）、“旅游服务类”（</w:t>
      </w:r>
      <w:r>
        <w:rPr>
          <w:rFonts w:ascii="仿宋" w:hAnsi="仿宋" w:eastAsia="仿宋" w:cs="仿宋"/>
          <w:color w:val="1C1C1C"/>
          <w:sz w:val="32"/>
          <w:szCs w:val="32"/>
        </w:rPr>
        <w:t>5.8%</w:t>
      </w:r>
      <w:r>
        <w:rPr>
          <w:rFonts w:hint="eastAsia" w:ascii="仿宋" w:hAnsi="仿宋" w:eastAsia="仿宋" w:cs="仿宋"/>
          <w:color w:val="1C1C1C"/>
          <w:sz w:val="32"/>
          <w:szCs w:val="32"/>
        </w:rPr>
        <w:t>）、“中介服务类”（5</w:t>
      </w:r>
      <w:r>
        <w:rPr>
          <w:rFonts w:ascii="仿宋" w:hAnsi="仿宋" w:eastAsia="仿宋" w:cs="仿宋"/>
          <w:color w:val="1C1C1C"/>
          <w:sz w:val="32"/>
          <w:szCs w:val="32"/>
        </w:rPr>
        <w:t>.6%</w:t>
      </w:r>
      <w:r>
        <w:rPr>
          <w:rFonts w:hint="eastAsia" w:ascii="仿宋" w:hAnsi="仿宋" w:eastAsia="仿宋" w:cs="仿宋"/>
          <w:color w:val="1C1C1C"/>
          <w:sz w:val="32"/>
          <w:szCs w:val="32"/>
        </w:rPr>
        <w:t>）、“宠物及宠物用品类”（5</w:t>
      </w:r>
      <w:r>
        <w:rPr>
          <w:rFonts w:ascii="仿宋" w:hAnsi="仿宋" w:eastAsia="仿宋" w:cs="仿宋"/>
          <w:color w:val="1C1C1C"/>
          <w:sz w:val="32"/>
          <w:szCs w:val="32"/>
        </w:rPr>
        <w:t>.5%</w:t>
      </w:r>
      <w:r>
        <w:rPr>
          <w:rFonts w:hint="eastAsia" w:ascii="仿宋" w:hAnsi="仿宋" w:eastAsia="仿宋" w:cs="仿宋"/>
          <w:color w:val="1C1C1C"/>
          <w:sz w:val="32"/>
          <w:szCs w:val="32"/>
        </w:rPr>
        <w:t>）、“交通出行类”（</w:t>
      </w:r>
      <w:r>
        <w:rPr>
          <w:rFonts w:ascii="仿宋" w:hAnsi="仿宋" w:eastAsia="仿宋" w:cs="仿宋"/>
          <w:color w:val="1C1C1C"/>
          <w:sz w:val="32"/>
          <w:szCs w:val="32"/>
        </w:rPr>
        <w:t>5.3%</w:t>
      </w:r>
      <w:r>
        <w:rPr>
          <w:rFonts w:hint="eastAsia" w:ascii="仿宋" w:hAnsi="仿宋" w:eastAsia="仿宋" w:cs="仿宋"/>
          <w:color w:val="1C1C1C"/>
          <w:sz w:val="32"/>
          <w:szCs w:val="32"/>
        </w:rPr>
        <w:t>），这8项占比则在1</w:t>
      </w:r>
      <w:r>
        <w:rPr>
          <w:rFonts w:ascii="仿宋" w:hAnsi="仿宋" w:eastAsia="仿宋" w:cs="仿宋"/>
          <w:color w:val="1C1C1C"/>
          <w:sz w:val="32"/>
          <w:szCs w:val="32"/>
        </w:rPr>
        <w:t>0%</w:t>
      </w:r>
      <w:r>
        <w:rPr>
          <w:rFonts w:hint="eastAsia" w:ascii="仿宋" w:hAnsi="仿宋" w:eastAsia="仿宋" w:cs="仿宋"/>
          <w:color w:val="1C1C1C"/>
          <w:sz w:val="32"/>
          <w:szCs w:val="32"/>
        </w:rPr>
        <w:t>以下。</w:t>
      </w:r>
    </w:p>
    <w:p>
      <w:pPr>
        <w:jc w:val="center"/>
      </w:pPr>
      <w:r>
        <w:rPr>
          <w:rFonts w:hint="eastAsia"/>
        </w:rPr>
        <w:drawing>
          <wp:inline distT="0" distB="0" distL="0" distR="0">
            <wp:extent cx="6013450" cy="3319780"/>
            <wp:effectExtent l="0" t="0" r="6350" b="0"/>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jc w:val="center"/>
        <w:rPr>
          <w:rFonts w:ascii="黑体" w:hAnsi="黑体" w:eastAsia="黑体" w:cs="黑体"/>
          <w:sz w:val="28"/>
          <w:szCs w:val="28"/>
        </w:rPr>
      </w:pPr>
      <w:r>
        <w:rPr>
          <w:rFonts w:hint="eastAsia" w:ascii="黑体" w:hAnsi="黑体" w:eastAsia="黑体" w:cs="黑体"/>
          <w:sz w:val="28"/>
          <w:szCs w:val="28"/>
        </w:rPr>
        <w:t>图</w:t>
      </w:r>
      <w:r>
        <w:rPr>
          <w:rFonts w:ascii="黑体" w:hAnsi="黑体" w:eastAsia="黑体" w:cs="黑体"/>
          <w:sz w:val="28"/>
          <w:szCs w:val="28"/>
        </w:rPr>
        <w:t>8</w:t>
      </w:r>
      <w:r>
        <w:rPr>
          <w:rFonts w:hint="eastAsia" w:ascii="黑体" w:hAnsi="黑体" w:eastAsia="黑体" w:cs="黑体"/>
          <w:sz w:val="28"/>
          <w:szCs w:val="28"/>
        </w:rPr>
        <w:t xml:space="preserve">  哪些类别的商品或服务的价格往往比您预期的价格高（%）</w:t>
      </w:r>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关于消费维权情况，调查结果显示，有2</w:t>
      </w:r>
      <w:r>
        <w:rPr>
          <w:rFonts w:ascii="仿宋" w:hAnsi="仿宋" w:eastAsia="仿宋" w:cs="仿宋"/>
          <w:color w:val="1C1C1C"/>
          <w:sz w:val="32"/>
          <w:szCs w:val="32"/>
        </w:rPr>
        <w:t>2983</w:t>
      </w:r>
      <w:r>
        <w:rPr>
          <w:rFonts w:hint="eastAsia" w:ascii="仿宋" w:hAnsi="仿宋" w:eastAsia="仿宋" w:cs="仿宋"/>
          <w:color w:val="1C1C1C"/>
          <w:sz w:val="32"/>
          <w:szCs w:val="32"/>
        </w:rPr>
        <w:t>个调查对象遇到过消费问题，占调查对象总数的3</w:t>
      </w:r>
      <w:r>
        <w:rPr>
          <w:rFonts w:ascii="仿宋" w:hAnsi="仿宋" w:eastAsia="仿宋" w:cs="仿宋"/>
          <w:color w:val="1C1C1C"/>
          <w:sz w:val="32"/>
          <w:szCs w:val="32"/>
        </w:rPr>
        <w:t>7.1%</w:t>
      </w:r>
      <w:r>
        <w:rPr>
          <w:rFonts w:hint="eastAsia" w:ascii="仿宋" w:hAnsi="仿宋" w:eastAsia="仿宋" w:cs="仿宋"/>
          <w:color w:val="1C1C1C"/>
          <w:sz w:val="32"/>
          <w:szCs w:val="32"/>
        </w:rPr>
        <w:t>，低于2</w:t>
      </w:r>
      <w:r>
        <w:rPr>
          <w:rFonts w:ascii="仿宋" w:hAnsi="仿宋" w:eastAsia="仿宋" w:cs="仿宋"/>
          <w:color w:val="1C1C1C"/>
          <w:sz w:val="32"/>
          <w:szCs w:val="32"/>
        </w:rPr>
        <w:t>021</w:t>
      </w:r>
      <w:r>
        <w:rPr>
          <w:rFonts w:hint="eastAsia" w:ascii="仿宋" w:hAnsi="仿宋" w:eastAsia="仿宋" w:cs="仿宋"/>
          <w:color w:val="1C1C1C"/>
          <w:sz w:val="32"/>
          <w:szCs w:val="32"/>
        </w:rPr>
        <w:t>年的4</w:t>
      </w:r>
      <w:r>
        <w:rPr>
          <w:rFonts w:ascii="仿宋" w:hAnsi="仿宋" w:eastAsia="仿宋" w:cs="仿宋"/>
          <w:color w:val="1C1C1C"/>
          <w:sz w:val="32"/>
          <w:szCs w:val="32"/>
        </w:rPr>
        <w:t>7.0%</w:t>
      </w:r>
      <w:r>
        <w:rPr>
          <w:rFonts w:hint="eastAsia" w:ascii="仿宋" w:hAnsi="仿宋" w:eastAsia="仿宋" w:cs="仿宋"/>
          <w:color w:val="1C1C1C"/>
          <w:sz w:val="32"/>
          <w:szCs w:val="32"/>
        </w:rPr>
        <w:t>近1</w:t>
      </w:r>
      <w:r>
        <w:rPr>
          <w:rFonts w:ascii="仿宋" w:hAnsi="仿宋" w:eastAsia="仿宋" w:cs="仿宋"/>
          <w:color w:val="1C1C1C"/>
          <w:sz w:val="32"/>
          <w:szCs w:val="32"/>
        </w:rPr>
        <w:t>0</w:t>
      </w:r>
      <w:r>
        <w:rPr>
          <w:rFonts w:hint="eastAsia" w:ascii="仿宋" w:hAnsi="仿宋" w:eastAsia="仿宋" w:cs="仿宋"/>
          <w:color w:val="1C1C1C"/>
          <w:sz w:val="32"/>
          <w:szCs w:val="32"/>
        </w:rPr>
        <w:t>个百分点，表明消费环境整体向好。其中，1</w:t>
      </w:r>
      <w:r>
        <w:rPr>
          <w:rFonts w:ascii="仿宋" w:hAnsi="仿宋" w:eastAsia="仿宋" w:cs="仿宋"/>
          <w:color w:val="1C1C1C"/>
          <w:sz w:val="32"/>
          <w:szCs w:val="32"/>
        </w:rPr>
        <w:t>4.5%</w:t>
      </w:r>
      <w:r>
        <w:rPr>
          <w:rFonts w:hint="eastAsia" w:ascii="仿宋" w:hAnsi="仿宋" w:eastAsia="仿宋" w:cs="仿宋"/>
          <w:color w:val="1C1C1C"/>
          <w:sz w:val="32"/>
          <w:szCs w:val="32"/>
        </w:rPr>
        <w:t>的受访者表示遇到过问题且投诉过，2</w:t>
      </w:r>
      <w:r>
        <w:rPr>
          <w:rFonts w:ascii="仿宋" w:hAnsi="仿宋" w:eastAsia="仿宋" w:cs="仿宋"/>
          <w:color w:val="1C1C1C"/>
          <w:sz w:val="32"/>
          <w:szCs w:val="32"/>
        </w:rPr>
        <w:t>2.5%</w:t>
      </w:r>
      <w:r>
        <w:rPr>
          <w:rFonts w:hint="eastAsia" w:ascii="仿宋" w:hAnsi="仿宋" w:eastAsia="仿宋" w:cs="仿宋"/>
          <w:color w:val="1C1C1C"/>
          <w:sz w:val="32"/>
          <w:szCs w:val="32"/>
        </w:rPr>
        <w:t>的受访者表示遇到过问题但没有投诉，未投诉比例高于投诉比例8个百分点。遇到问题且投诉过的消费者，选择“向经营者投诉”的比例最高，达</w:t>
      </w:r>
      <w:r>
        <w:rPr>
          <w:rFonts w:ascii="仿宋" w:hAnsi="仿宋" w:eastAsia="仿宋" w:cs="仿宋"/>
          <w:color w:val="1C1C1C"/>
          <w:sz w:val="32"/>
          <w:szCs w:val="32"/>
        </w:rPr>
        <w:t>61.6</w:t>
      </w:r>
      <w:r>
        <w:rPr>
          <w:rFonts w:hint="eastAsia" w:ascii="仿宋" w:hAnsi="仿宋" w:eastAsia="仿宋" w:cs="仿宋"/>
          <w:color w:val="1C1C1C"/>
          <w:sz w:val="32"/>
          <w:szCs w:val="32"/>
        </w:rPr>
        <w:t>%，其次是“向消协等消费者权益保护组织投诉”（</w:t>
      </w:r>
      <w:r>
        <w:rPr>
          <w:rFonts w:ascii="仿宋" w:hAnsi="仿宋" w:eastAsia="仿宋" w:cs="仿宋"/>
          <w:color w:val="1C1C1C"/>
          <w:sz w:val="32"/>
          <w:szCs w:val="32"/>
        </w:rPr>
        <w:t>50.7</w:t>
      </w:r>
      <w:r>
        <w:rPr>
          <w:rFonts w:hint="eastAsia" w:ascii="仿宋" w:hAnsi="仿宋" w:eastAsia="仿宋" w:cs="仿宋"/>
          <w:color w:val="1C1C1C"/>
          <w:sz w:val="32"/>
          <w:szCs w:val="32"/>
        </w:rPr>
        <w:t>%），再次是“向有关行政部门投诉”（2</w:t>
      </w:r>
      <w:r>
        <w:rPr>
          <w:rFonts w:ascii="仿宋" w:hAnsi="仿宋" w:eastAsia="仿宋" w:cs="仿宋"/>
          <w:color w:val="1C1C1C"/>
          <w:sz w:val="32"/>
          <w:szCs w:val="32"/>
        </w:rPr>
        <w:t>5.6</w:t>
      </w:r>
      <w:r>
        <w:rPr>
          <w:rFonts w:hint="eastAsia" w:ascii="仿宋" w:hAnsi="仿宋" w:eastAsia="仿宋" w:cs="仿宋"/>
          <w:color w:val="1C1C1C"/>
          <w:sz w:val="32"/>
          <w:szCs w:val="32"/>
        </w:rPr>
        <w:t>%）。数据结果显示，消费者最终选择“向仲裁机构申请仲裁”（</w:t>
      </w:r>
      <w:r>
        <w:rPr>
          <w:rFonts w:ascii="仿宋" w:hAnsi="仿宋" w:eastAsia="仿宋" w:cs="仿宋"/>
          <w:color w:val="1C1C1C"/>
          <w:sz w:val="32"/>
          <w:szCs w:val="32"/>
        </w:rPr>
        <w:t>5.2</w:t>
      </w:r>
      <w:r>
        <w:rPr>
          <w:rFonts w:hint="eastAsia" w:ascii="仿宋" w:hAnsi="仿宋" w:eastAsia="仿宋" w:cs="仿宋"/>
          <w:color w:val="1C1C1C"/>
          <w:sz w:val="32"/>
          <w:szCs w:val="32"/>
        </w:rPr>
        <w:t>%）和“向法院提起诉讼”（</w:t>
      </w:r>
      <w:r>
        <w:rPr>
          <w:rFonts w:ascii="仿宋" w:hAnsi="仿宋" w:eastAsia="仿宋" w:cs="仿宋"/>
          <w:color w:val="1C1C1C"/>
          <w:sz w:val="32"/>
          <w:szCs w:val="32"/>
        </w:rPr>
        <w:t>2.8</w:t>
      </w:r>
      <w:r>
        <w:rPr>
          <w:rFonts w:hint="eastAsia" w:ascii="仿宋" w:hAnsi="仿宋" w:eastAsia="仿宋" w:cs="仿宋"/>
          <w:color w:val="1C1C1C"/>
          <w:sz w:val="32"/>
          <w:szCs w:val="32"/>
        </w:rPr>
        <w:t>%）等的行为总体占比较低。</w:t>
      </w:r>
    </w:p>
    <w:p>
      <w:pPr>
        <w:jc w:val="center"/>
      </w:pPr>
    </w:p>
    <w:p>
      <w:pPr>
        <w:jc w:val="center"/>
      </w:pPr>
      <w:r>
        <w:rPr>
          <w:rFonts w:hint="eastAsia"/>
        </w:rPr>
        <w:drawing>
          <wp:inline distT="0" distB="0" distL="0" distR="0">
            <wp:extent cx="4346575" cy="2338705"/>
            <wp:effectExtent l="0" t="0" r="15875" b="4445"/>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jc w:val="center"/>
      </w:pPr>
      <w:r>
        <w:rPr>
          <w:rFonts w:hint="eastAsia" w:ascii="黑体" w:hAnsi="黑体" w:eastAsia="黑体" w:cs="黑体"/>
          <w:sz w:val="28"/>
          <w:szCs w:val="28"/>
        </w:rPr>
        <w:t>图</w:t>
      </w:r>
      <w:r>
        <w:rPr>
          <w:rFonts w:ascii="黑体" w:hAnsi="黑体" w:eastAsia="黑体" w:cs="黑体"/>
          <w:sz w:val="28"/>
          <w:szCs w:val="28"/>
        </w:rPr>
        <w:t>9</w:t>
      </w:r>
      <w:r>
        <w:rPr>
          <w:rFonts w:hint="eastAsia" w:ascii="黑体" w:hAnsi="黑体" w:eastAsia="黑体" w:cs="黑体"/>
          <w:sz w:val="28"/>
          <w:szCs w:val="28"/>
        </w:rPr>
        <w:t xml:space="preserve">  投诉渠道选择（%）</w:t>
      </w:r>
    </w:p>
    <w:p>
      <w:pPr>
        <w:spacing w:line="560" w:lineRule="exact"/>
        <w:ind w:firstLine="640" w:firstLineChars="200"/>
        <w:jc w:val="both"/>
        <w:rPr>
          <w:rFonts w:ascii="仿宋" w:hAnsi="仿宋" w:eastAsia="仿宋" w:cs="仿宋"/>
          <w:color w:val="1C1C1C"/>
          <w:spacing w:val="-2"/>
          <w:sz w:val="32"/>
          <w:szCs w:val="32"/>
        </w:rPr>
      </w:pPr>
      <w:r>
        <w:rPr>
          <w:rFonts w:hint="eastAsia" w:ascii="仿宋" w:hAnsi="仿宋" w:eastAsia="仿宋" w:cs="仿宋"/>
          <w:color w:val="1C1C1C"/>
          <w:sz w:val="32"/>
          <w:szCs w:val="32"/>
        </w:rPr>
        <w:t>受访者之所以遇到问题而没有投诉的原因依次为：“损失比较小，就算了”（5</w:t>
      </w:r>
      <w:r>
        <w:rPr>
          <w:rFonts w:ascii="仿宋" w:hAnsi="仿宋" w:eastAsia="仿宋" w:cs="仿宋"/>
          <w:color w:val="1C1C1C"/>
          <w:sz w:val="32"/>
          <w:szCs w:val="32"/>
        </w:rPr>
        <w:t>2.4</w:t>
      </w:r>
      <w:r>
        <w:rPr>
          <w:rFonts w:hint="eastAsia" w:ascii="仿宋" w:hAnsi="仿宋" w:eastAsia="仿宋" w:cs="仿宋"/>
          <w:color w:val="1C1C1C"/>
          <w:sz w:val="32"/>
          <w:szCs w:val="32"/>
        </w:rPr>
        <w:t>%）、“感觉投诉也没有什么用”（4</w:t>
      </w:r>
      <w:r>
        <w:rPr>
          <w:rFonts w:ascii="仿宋" w:hAnsi="仿宋" w:eastAsia="仿宋" w:cs="仿宋"/>
          <w:color w:val="1C1C1C"/>
          <w:sz w:val="32"/>
          <w:szCs w:val="32"/>
        </w:rPr>
        <w:t>6.8</w:t>
      </w:r>
      <w:r>
        <w:rPr>
          <w:rFonts w:hint="eastAsia" w:ascii="仿宋" w:hAnsi="仿宋" w:eastAsia="仿宋" w:cs="仿宋"/>
          <w:color w:val="1C1C1C"/>
          <w:sz w:val="32"/>
          <w:szCs w:val="32"/>
        </w:rPr>
        <w:t>%）、“认为流程可能会比较复杂或花时间”（</w:t>
      </w:r>
      <w:r>
        <w:rPr>
          <w:rFonts w:ascii="仿宋" w:hAnsi="仿宋" w:eastAsia="仿宋" w:cs="仿宋"/>
          <w:color w:val="1C1C1C"/>
          <w:sz w:val="32"/>
          <w:szCs w:val="32"/>
        </w:rPr>
        <w:t>42.2</w:t>
      </w:r>
      <w:r>
        <w:rPr>
          <w:rFonts w:hint="eastAsia" w:ascii="仿宋" w:hAnsi="仿宋" w:eastAsia="仿宋" w:cs="仿宋"/>
          <w:color w:val="1C1C1C"/>
          <w:sz w:val="32"/>
          <w:szCs w:val="32"/>
        </w:rPr>
        <w:t>%）、和“不知道去</w:t>
      </w:r>
      <w:r>
        <w:rPr>
          <w:rFonts w:hint="eastAsia" w:ascii="仿宋" w:hAnsi="仿宋" w:eastAsia="仿宋" w:cs="仿宋"/>
          <w:color w:val="1C1C1C"/>
          <w:spacing w:val="-2"/>
          <w:sz w:val="32"/>
          <w:szCs w:val="32"/>
        </w:rPr>
        <w:t>哪投诉”（</w:t>
      </w:r>
      <w:r>
        <w:rPr>
          <w:rFonts w:ascii="仿宋" w:hAnsi="仿宋" w:eastAsia="仿宋" w:cs="仿宋"/>
          <w:color w:val="1C1C1C"/>
          <w:spacing w:val="-2"/>
          <w:sz w:val="32"/>
          <w:szCs w:val="32"/>
        </w:rPr>
        <w:t>27.8</w:t>
      </w:r>
      <w:r>
        <w:rPr>
          <w:rFonts w:hint="eastAsia" w:ascii="仿宋" w:hAnsi="仿宋" w:eastAsia="仿宋" w:cs="仿宋"/>
          <w:color w:val="1C1C1C"/>
          <w:spacing w:val="-2"/>
          <w:sz w:val="32"/>
          <w:szCs w:val="32"/>
        </w:rPr>
        <w:t>%），这四项原因的占比均超过了</w:t>
      </w:r>
      <w:r>
        <w:rPr>
          <w:rFonts w:ascii="仿宋" w:hAnsi="仿宋" w:eastAsia="仿宋" w:cs="仿宋"/>
          <w:color w:val="1C1C1C"/>
          <w:spacing w:val="-2"/>
          <w:sz w:val="32"/>
          <w:szCs w:val="32"/>
        </w:rPr>
        <w:t>25</w:t>
      </w:r>
      <w:r>
        <w:rPr>
          <w:rFonts w:hint="eastAsia" w:ascii="仿宋" w:hAnsi="仿宋" w:eastAsia="仿宋" w:cs="仿宋"/>
          <w:color w:val="1C1C1C"/>
          <w:spacing w:val="-2"/>
          <w:sz w:val="32"/>
          <w:szCs w:val="32"/>
        </w:rPr>
        <w:t>%；“当时没有意识到自己的权益受到侵害”（1</w:t>
      </w:r>
      <w:r>
        <w:rPr>
          <w:rFonts w:ascii="仿宋" w:hAnsi="仿宋" w:eastAsia="仿宋" w:cs="仿宋"/>
          <w:color w:val="1C1C1C"/>
          <w:spacing w:val="-2"/>
          <w:sz w:val="32"/>
          <w:szCs w:val="32"/>
        </w:rPr>
        <w:t>4.6</w:t>
      </w:r>
      <w:r>
        <w:rPr>
          <w:rFonts w:hint="eastAsia" w:ascii="仿宋" w:hAnsi="仿宋" w:eastAsia="仿宋" w:cs="仿宋"/>
          <w:color w:val="1C1C1C"/>
          <w:spacing w:val="-2"/>
          <w:sz w:val="32"/>
          <w:szCs w:val="32"/>
        </w:rPr>
        <w:t>%）、“投诉影响消费的心情”（</w:t>
      </w:r>
      <w:r>
        <w:rPr>
          <w:rFonts w:ascii="仿宋" w:hAnsi="仿宋" w:eastAsia="仿宋" w:cs="仿宋"/>
          <w:color w:val="1C1C1C"/>
          <w:spacing w:val="-2"/>
          <w:sz w:val="32"/>
          <w:szCs w:val="32"/>
        </w:rPr>
        <w:t>12</w:t>
      </w:r>
      <w:r>
        <w:rPr>
          <w:rFonts w:hint="eastAsia" w:ascii="仿宋" w:hAnsi="仿宋" w:eastAsia="仿宋" w:cs="仿宋"/>
          <w:color w:val="1C1C1C"/>
          <w:spacing w:val="-2"/>
          <w:sz w:val="32"/>
          <w:szCs w:val="32"/>
        </w:rPr>
        <w:t>.</w:t>
      </w:r>
      <w:r>
        <w:rPr>
          <w:rFonts w:ascii="仿宋" w:hAnsi="仿宋" w:eastAsia="仿宋" w:cs="仿宋"/>
          <w:color w:val="1C1C1C"/>
          <w:spacing w:val="-2"/>
          <w:sz w:val="32"/>
          <w:szCs w:val="32"/>
        </w:rPr>
        <w:t>2</w:t>
      </w:r>
      <w:r>
        <w:rPr>
          <w:rFonts w:hint="eastAsia" w:ascii="仿宋" w:hAnsi="仿宋" w:eastAsia="仿宋" w:cs="仿宋"/>
          <w:color w:val="1C1C1C"/>
          <w:spacing w:val="-2"/>
          <w:sz w:val="32"/>
          <w:szCs w:val="32"/>
        </w:rPr>
        <w:t>%）、“害怕投诉后遭到报复或其他不良影响”（</w:t>
      </w:r>
      <w:r>
        <w:rPr>
          <w:rFonts w:ascii="仿宋" w:hAnsi="仿宋" w:eastAsia="仿宋" w:cs="仿宋"/>
          <w:color w:val="1C1C1C"/>
          <w:spacing w:val="-2"/>
          <w:sz w:val="32"/>
          <w:szCs w:val="32"/>
        </w:rPr>
        <w:t>8.7</w:t>
      </w:r>
      <w:r>
        <w:rPr>
          <w:rFonts w:hint="eastAsia" w:ascii="仿宋" w:hAnsi="仿宋" w:eastAsia="仿宋" w:cs="仿宋"/>
          <w:color w:val="1C1C1C"/>
          <w:spacing w:val="-2"/>
          <w:sz w:val="32"/>
          <w:szCs w:val="32"/>
        </w:rPr>
        <w:t>%）等也占了部分比例。</w:t>
      </w:r>
    </w:p>
    <w:p>
      <w:pPr>
        <w:jc w:val="center"/>
      </w:pPr>
      <w:r>
        <w:rPr>
          <w:rFonts w:hint="eastAsia"/>
        </w:rPr>
        <w:drawing>
          <wp:inline distT="0" distB="0" distL="0" distR="0">
            <wp:extent cx="5985510" cy="2741930"/>
            <wp:effectExtent l="0" t="0" r="15240" b="1270"/>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jc w:val="center"/>
        <w:rPr>
          <w:rFonts w:ascii="黑体" w:hAnsi="黑体" w:eastAsia="黑体" w:cs="黑体"/>
          <w:sz w:val="28"/>
          <w:szCs w:val="28"/>
        </w:rPr>
      </w:pPr>
      <w:r>
        <w:rPr>
          <w:rFonts w:hint="eastAsia" w:ascii="黑体" w:hAnsi="黑体" w:eastAsia="黑体" w:cs="黑体"/>
          <w:sz w:val="28"/>
          <w:szCs w:val="28"/>
        </w:rPr>
        <w:t>图</w:t>
      </w:r>
      <w:r>
        <w:rPr>
          <w:rFonts w:ascii="黑体" w:hAnsi="黑体" w:eastAsia="黑体" w:cs="黑体"/>
          <w:sz w:val="28"/>
          <w:szCs w:val="28"/>
        </w:rPr>
        <w:t>10</w:t>
      </w:r>
      <w:r>
        <w:rPr>
          <w:rFonts w:hint="eastAsia" w:ascii="黑体" w:hAnsi="黑体" w:eastAsia="黑体" w:cs="黑体"/>
          <w:sz w:val="28"/>
          <w:szCs w:val="28"/>
        </w:rPr>
        <w:t xml:space="preserve">  遇到过问题没有投诉的原因（%）</w:t>
      </w:r>
    </w:p>
    <w:p>
      <w:pPr>
        <w:ind w:firstLine="640" w:firstLineChars="200"/>
        <w:jc w:val="both"/>
        <w:rPr>
          <w:rFonts w:ascii="仿宋" w:hAnsi="仿宋" w:eastAsia="仿宋" w:cs="仿宋"/>
          <w:color w:val="1C1C1C"/>
          <w:sz w:val="32"/>
          <w:szCs w:val="32"/>
        </w:rPr>
      </w:pPr>
    </w:p>
    <w:p>
      <w:pPr>
        <w:numPr>
          <w:ilvl w:val="255"/>
          <w:numId w:val="0"/>
        </w:numPr>
        <w:ind w:firstLine="643" w:firstLineChars="200"/>
        <w:jc w:val="both"/>
        <w:rPr>
          <w:rFonts w:ascii="仿宋" w:hAnsi="仿宋" w:eastAsia="仿宋" w:cs="仿宋"/>
          <w:b/>
          <w:bCs/>
          <w:color w:val="1C1C1C"/>
          <w:sz w:val="32"/>
          <w:szCs w:val="32"/>
        </w:rPr>
      </w:pPr>
      <w:r>
        <w:rPr>
          <w:rFonts w:hint="eastAsia" w:ascii="仿宋" w:hAnsi="仿宋" w:eastAsia="仿宋" w:cs="仿宋"/>
          <w:b/>
          <w:bCs/>
          <w:color w:val="1C1C1C"/>
          <w:sz w:val="32"/>
          <w:szCs w:val="32"/>
        </w:rPr>
        <w:t>4.保持区指标。</w:t>
      </w:r>
      <w:r>
        <w:rPr>
          <w:rFonts w:hint="eastAsia" w:ascii="仿宋" w:hAnsi="仿宋" w:eastAsia="仿宋" w:cs="仿宋"/>
          <w:bCs/>
          <w:color w:val="1C1C1C"/>
          <w:sz w:val="32"/>
          <w:szCs w:val="32"/>
        </w:rPr>
        <w:t>“物流便利”“公共基础设施完善”“种类丰富性”“分布合理”“货品真实”“替代产品丰富性”这</w:t>
      </w:r>
      <w:r>
        <w:rPr>
          <w:rFonts w:ascii="仿宋" w:hAnsi="仿宋" w:eastAsia="仿宋" w:cs="仿宋"/>
          <w:bCs/>
          <w:color w:val="1C1C1C"/>
          <w:sz w:val="32"/>
          <w:szCs w:val="32"/>
        </w:rPr>
        <w:t>6</w:t>
      </w:r>
      <w:r>
        <w:rPr>
          <w:rFonts w:hint="eastAsia" w:ascii="仿宋" w:hAnsi="仿宋" w:eastAsia="仿宋" w:cs="仿宋"/>
          <w:bCs/>
          <w:color w:val="1C1C1C"/>
          <w:sz w:val="32"/>
          <w:szCs w:val="32"/>
        </w:rPr>
        <w:t>个</w:t>
      </w:r>
      <w:r>
        <w:rPr>
          <w:rFonts w:hint="eastAsia" w:ascii="仿宋" w:hAnsi="仿宋" w:eastAsia="仿宋" w:cs="仿宋"/>
          <w:color w:val="1C1C1C"/>
          <w:sz w:val="32"/>
          <w:szCs w:val="32"/>
        </w:rPr>
        <w:t>指标处于该区域，这些指标的重要性较低，但满意度表现较好，今后需要继续保持。</w:t>
      </w:r>
    </w:p>
    <w:p>
      <w:pPr>
        <w:ind w:firstLine="640" w:firstLineChars="200"/>
        <w:rPr>
          <w:rFonts w:ascii="仿宋" w:hAnsi="仿宋" w:eastAsia="仿宋" w:cs="仿宋"/>
          <w:color w:val="1C1C1C"/>
          <w:sz w:val="32"/>
          <w:szCs w:val="32"/>
        </w:rPr>
      </w:pPr>
      <w:r>
        <w:rPr>
          <w:rFonts w:hint="eastAsia" w:ascii="仿宋" w:hAnsi="仿宋" w:eastAsia="仿宋" w:cs="仿宋"/>
          <w:color w:val="1C1C1C"/>
          <w:sz w:val="32"/>
          <w:szCs w:val="32"/>
        </w:rPr>
        <w:t>与</w:t>
      </w:r>
      <w:r>
        <w:rPr>
          <w:rFonts w:ascii="仿宋" w:hAnsi="仿宋" w:eastAsia="仿宋" w:cs="仿宋"/>
          <w:color w:val="1C1C1C"/>
          <w:sz w:val="32"/>
          <w:szCs w:val="32"/>
        </w:rPr>
        <w:t>202</w:t>
      </w:r>
      <w:r>
        <w:rPr>
          <w:rFonts w:hint="eastAsia" w:ascii="仿宋" w:hAnsi="仿宋" w:eastAsia="仿宋" w:cs="仿宋"/>
          <w:color w:val="1C1C1C"/>
          <w:sz w:val="32"/>
          <w:szCs w:val="32"/>
        </w:rPr>
        <w:t>1年相比，各项三级指标的优改分布主要呈现如下特征：</w:t>
      </w:r>
    </w:p>
    <w:p>
      <w:pPr>
        <w:ind w:firstLine="640" w:firstLineChars="200"/>
        <w:rPr>
          <w:rFonts w:ascii="仿宋" w:hAnsi="仿宋" w:eastAsia="仿宋" w:cs="仿宋"/>
          <w:color w:val="1C1C1C"/>
          <w:sz w:val="32"/>
          <w:szCs w:val="32"/>
          <w:highlight w:val="yellow"/>
        </w:rPr>
      </w:pPr>
      <w:r>
        <w:rPr>
          <w:rFonts w:hint="eastAsia" w:ascii="仿宋" w:hAnsi="仿宋" w:eastAsia="仿宋" w:cs="仿宋"/>
          <w:color w:val="1C1C1C"/>
          <w:sz w:val="32"/>
          <w:szCs w:val="32"/>
        </w:rPr>
        <w:t>一是优势区和优改区指标基本保持不变。优势区</w:t>
      </w:r>
      <w:r>
        <w:rPr>
          <w:rFonts w:hint="eastAsia" w:ascii="仿宋" w:hAnsi="仿宋" w:eastAsia="仿宋" w:cs="仿宋"/>
          <w:bCs/>
          <w:color w:val="1C1C1C"/>
          <w:sz w:val="32"/>
          <w:szCs w:val="32"/>
        </w:rPr>
        <w:t>“消费自主选择权”</w:t>
      </w:r>
      <w:r>
        <w:rPr>
          <w:rFonts w:hint="eastAsia" w:ascii="仿宋" w:hAnsi="仿宋" w:eastAsia="仿宋" w:cs="仿宋"/>
          <w:color w:val="1C1C1C"/>
          <w:sz w:val="32"/>
          <w:szCs w:val="32"/>
        </w:rPr>
        <w:t>和“消费知情权”这两个指标重要性很高，在今年三级指标得分普遍下降的形势下，保持了较高的得分。优改区6个指标和2021年一致，这些指标重要性很高，得分在整体中偏低，需要持续关注。</w:t>
      </w:r>
    </w:p>
    <w:p>
      <w:pPr>
        <w:ind w:firstLine="640" w:firstLineChars="200"/>
        <w:rPr>
          <w:rFonts w:ascii="仿宋" w:hAnsi="仿宋" w:eastAsia="仿宋" w:cs="仿宋"/>
          <w:color w:val="1C1C1C"/>
          <w:sz w:val="32"/>
          <w:szCs w:val="32"/>
        </w:rPr>
      </w:pPr>
      <w:r>
        <w:rPr>
          <w:rFonts w:hint="eastAsia" w:ascii="仿宋" w:hAnsi="仿宋" w:eastAsia="仿宋" w:cs="仿宋"/>
          <w:color w:val="1C1C1C"/>
          <w:sz w:val="32"/>
          <w:szCs w:val="32"/>
        </w:rPr>
        <w:t>二是“货品真实”指标从次改区提升到保持区。“货品真实”指标在2022年排第6名，比2021年第10名提升了4名。</w:t>
      </w:r>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三是部分指标从保持区滑落到次改区。“舒适性”“安全性”“维权效率”“维权渠道”“维权结果”5个指标从保持区滑落到了次改区。二级指标“权益保护”下的3个三级指标“维权效率”“维权渠道”“维权结果”，在2021年从次改区上升到了保持区，2022年又从保持区滑落到次改区，表明这些指标得分仍不稳定，需要持续建设提升相关内容。</w:t>
      </w:r>
    </w:p>
    <w:p>
      <w:pPr>
        <w:jc w:val="both"/>
        <w:sectPr>
          <w:pgSz w:w="11906" w:h="16838"/>
          <w:pgMar w:top="1440" w:right="1800" w:bottom="1440" w:left="1800" w:header="851" w:footer="992" w:gutter="0"/>
          <w:pgNumType w:fmt="numberInDash"/>
          <w:cols w:space="425" w:num="1"/>
          <w:docGrid w:type="lines" w:linePitch="312" w:charSpace="0"/>
        </w:sectPr>
      </w:pPr>
    </w:p>
    <w:p>
      <w:pPr>
        <w:jc w:val="center"/>
        <w:sectPr>
          <w:pgSz w:w="16838" w:h="11906" w:orient="landscape"/>
          <w:pgMar w:top="1800" w:right="1440" w:bottom="1800" w:left="1440" w:header="851" w:footer="992" w:gutter="0"/>
          <w:pgNumType w:fmt="numberInDash"/>
          <w:cols w:space="425" w:num="1"/>
          <w:docGrid w:type="lines" w:linePitch="312" w:charSpace="0"/>
        </w:sectPr>
      </w:pPr>
      <w:r>
        <w:drawing>
          <wp:inline distT="0" distB="0" distL="114300" distR="114300">
            <wp:extent cx="8350885" cy="4978400"/>
            <wp:effectExtent l="0" t="0" r="5715" b="0"/>
            <wp:docPr id="16" name="图片 16" descr="优改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优改分析"/>
                    <pic:cNvPicPr>
                      <a:picLocks noChangeAspect="1"/>
                    </pic:cNvPicPr>
                  </pic:nvPicPr>
                  <pic:blipFill>
                    <a:blip r:embed="rId20"/>
                    <a:srcRect r="612" b="734"/>
                    <a:stretch>
                      <a:fillRect/>
                    </a:stretch>
                  </pic:blipFill>
                  <pic:spPr>
                    <a:xfrm>
                      <a:off x="0" y="0"/>
                      <a:ext cx="8350885" cy="4978400"/>
                    </a:xfrm>
                    <a:prstGeom prst="rect">
                      <a:avLst/>
                    </a:prstGeom>
                  </pic:spPr>
                </pic:pic>
              </a:graphicData>
            </a:graphic>
          </wp:inline>
        </w:drawing>
      </w:r>
      <w:r>
        <w:t xml:space="preserve">    </w:t>
      </w:r>
    </w:p>
    <w:p>
      <w:pPr>
        <w:spacing w:line="400" w:lineRule="exact"/>
        <w:rPr>
          <w:sz w:val="28"/>
        </w:rPr>
      </w:pPr>
    </w:p>
    <w:p>
      <w:pPr>
        <w:pStyle w:val="2"/>
        <w:spacing w:before="312" w:beforeLines="100" w:after="312" w:afterLines="100"/>
        <w:jc w:val="center"/>
        <w:rPr>
          <w:rFonts w:ascii="方正小标宋简体" w:hAnsi="华文中宋" w:eastAsia="方正小标宋简体" w:cs="华文中宋"/>
          <w:b w:val="0"/>
          <w:bCs/>
          <w:sz w:val="40"/>
          <w:szCs w:val="28"/>
        </w:rPr>
      </w:pPr>
      <w:bookmarkStart w:id="30" w:name="_Toc5859"/>
      <w:bookmarkStart w:id="31" w:name="_Toc62721760"/>
      <w:r>
        <w:rPr>
          <w:rFonts w:hint="eastAsia" w:ascii="方正小标宋简体" w:hAnsi="华文中宋" w:eastAsia="方正小标宋简体" w:cs="华文中宋"/>
          <w:b w:val="0"/>
          <w:bCs/>
          <w:sz w:val="40"/>
          <w:szCs w:val="28"/>
        </w:rPr>
        <w:t>第四部分  100个城市消费者满意度测评结果</w:t>
      </w:r>
      <w:bookmarkEnd w:id="30"/>
      <w:bookmarkEnd w:id="31"/>
    </w:p>
    <w:p>
      <w:pPr>
        <w:pStyle w:val="3"/>
        <w:ind w:firstLine="640" w:firstLineChars="200"/>
        <w:rPr>
          <w:rFonts w:ascii="黑体" w:hAnsi="黑体" w:eastAsia="黑体" w:cs="黑体"/>
          <w:b w:val="0"/>
          <w:bCs/>
          <w:i w:val="0"/>
          <w:iCs/>
          <w:sz w:val="32"/>
          <w:szCs w:val="32"/>
        </w:rPr>
      </w:pPr>
      <w:bookmarkStart w:id="32" w:name="_Toc15035"/>
      <w:bookmarkStart w:id="33" w:name="_Toc62721761"/>
      <w:r>
        <w:rPr>
          <w:rFonts w:hint="eastAsia" w:ascii="黑体" w:hAnsi="黑体" w:eastAsia="黑体" w:cs="黑体"/>
          <w:b w:val="0"/>
          <w:bCs/>
          <w:i w:val="0"/>
          <w:iCs/>
          <w:sz w:val="32"/>
          <w:szCs w:val="32"/>
        </w:rPr>
        <w:t>一、100个城市消费者满意度得分</w:t>
      </w:r>
      <w:bookmarkEnd w:id="32"/>
      <w:bookmarkEnd w:id="33"/>
    </w:p>
    <w:p>
      <w:pPr>
        <w:pStyle w:val="4"/>
        <w:ind w:firstLine="640"/>
        <w:rPr>
          <w:rFonts w:ascii="仿宋" w:hAnsi="仿宋" w:eastAsia="仿宋" w:cs="仿宋"/>
          <w:color w:val="1C1C1C"/>
          <w:sz w:val="32"/>
          <w:szCs w:val="32"/>
        </w:rPr>
      </w:pPr>
      <w:bookmarkStart w:id="34" w:name="_Toc5420"/>
      <w:bookmarkStart w:id="35" w:name="_Toc33719401"/>
      <w:bookmarkStart w:id="36" w:name="_Toc62721762"/>
      <w:r>
        <w:rPr>
          <w:rFonts w:hint="eastAsia" w:ascii="仿宋" w:hAnsi="仿宋" w:eastAsia="仿宋" w:cs="仿宋"/>
          <w:color w:val="1C1C1C"/>
          <w:sz w:val="32"/>
          <w:szCs w:val="32"/>
        </w:rPr>
        <w:t>（一）100个城市消费者满意度得分及总排名</w:t>
      </w:r>
      <w:bookmarkEnd w:id="34"/>
      <w:bookmarkEnd w:id="35"/>
      <w:bookmarkEnd w:id="36"/>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根据2022年消费者满意度调查结果，100个城市的消费者满意度综合得分为78.81分，得分最高为91.81分（苏州市），最低为70.19分（衡阳市），最高分和最低分相差21.62分，39个城市得分高于本年度全国综合得分。</w:t>
      </w:r>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测评得分排名前1</w:t>
      </w:r>
      <w:r>
        <w:rPr>
          <w:rFonts w:ascii="仿宋" w:hAnsi="仿宋" w:eastAsia="仿宋" w:cs="仿宋"/>
          <w:color w:val="1C1C1C"/>
          <w:sz w:val="32"/>
          <w:szCs w:val="32"/>
        </w:rPr>
        <w:t>0</w:t>
      </w:r>
      <w:r>
        <w:rPr>
          <w:rFonts w:hint="eastAsia" w:ascii="仿宋" w:hAnsi="仿宋" w:eastAsia="仿宋" w:cs="仿宋"/>
          <w:color w:val="1C1C1C"/>
          <w:sz w:val="32"/>
          <w:szCs w:val="32"/>
        </w:rPr>
        <w:t>位的城市依次为：苏州市（91.81分）、青岛市（90.40分）、杭州市（89.74分）、烟台市（89.17分）、南京市（88.85分）、佛山市（88.15分）、无锡市（88.13分）、厦门市（84.45分）、北京市（84.42分）、宜昌市（83.54分）。从地域分布来看，排名前9位的城市均属于东部地区城市，排名第10位的宜昌市属于中部城市。</w:t>
      </w:r>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测评得分排名后1</w:t>
      </w:r>
      <w:r>
        <w:rPr>
          <w:rFonts w:ascii="仿宋" w:hAnsi="仿宋" w:eastAsia="仿宋" w:cs="仿宋"/>
          <w:color w:val="1C1C1C"/>
          <w:sz w:val="32"/>
          <w:szCs w:val="32"/>
        </w:rPr>
        <w:t>0</w:t>
      </w:r>
      <w:r>
        <w:rPr>
          <w:rFonts w:hint="eastAsia" w:ascii="仿宋" w:hAnsi="仿宋" w:eastAsia="仿宋" w:cs="仿宋"/>
          <w:color w:val="1C1C1C"/>
          <w:sz w:val="32"/>
          <w:szCs w:val="32"/>
        </w:rPr>
        <w:t>位的城市依次为：哈密市（72.48分）、柳州市（72.10分）、运城市（71.96分）、兰州市（71.79分）、宝鸡市（71.66分）、三亚市（71.52分）、呼和浩特市（71.35分）、庆阳市（</w:t>
      </w:r>
      <w:bookmarkStart w:id="37" w:name="_Hlk96858265"/>
      <w:r>
        <w:rPr>
          <w:rFonts w:hint="eastAsia" w:ascii="仿宋" w:hAnsi="仿宋" w:eastAsia="仿宋" w:cs="仿宋"/>
          <w:color w:val="1C1C1C"/>
          <w:sz w:val="32"/>
          <w:szCs w:val="32"/>
        </w:rPr>
        <w:t>7</w:t>
      </w:r>
      <w:bookmarkEnd w:id="37"/>
      <w:r>
        <w:rPr>
          <w:rFonts w:hint="eastAsia" w:ascii="仿宋" w:hAnsi="仿宋" w:eastAsia="仿宋" w:cs="仿宋"/>
          <w:color w:val="1C1C1C"/>
          <w:sz w:val="32"/>
          <w:szCs w:val="32"/>
        </w:rPr>
        <w:t>0.81分）、吉林市（70.67分）、衡阳市（70.19分）。</w:t>
      </w:r>
      <w:r>
        <w:rPr>
          <w:rFonts w:ascii="仿宋" w:hAnsi="仿宋" w:eastAsia="仿宋" w:cs="仿宋"/>
          <w:color w:val="1C1C1C"/>
          <w:sz w:val="32"/>
          <w:szCs w:val="32"/>
        </w:rPr>
        <w:t>从地域分布来看</w:t>
      </w:r>
      <w:r>
        <w:rPr>
          <w:rFonts w:hint="eastAsia" w:ascii="仿宋" w:hAnsi="仿宋" w:eastAsia="仿宋" w:cs="仿宋"/>
          <w:color w:val="1C1C1C"/>
          <w:sz w:val="32"/>
          <w:szCs w:val="32"/>
        </w:rPr>
        <w:t>，得分排名后10位的城市有6个属于西部地区城市，3个属于中部地区城市，1个属于东部地区城市。</w:t>
      </w:r>
      <w:bookmarkStart w:id="38" w:name="_1644324162"/>
      <w:bookmarkEnd w:id="38"/>
    </w:p>
    <w:p>
      <w:pPr>
        <w:jc w:val="center"/>
      </w:pPr>
      <w:r>
        <w:drawing>
          <wp:inline distT="0" distB="0" distL="114300" distR="114300">
            <wp:extent cx="5080000" cy="8371840"/>
            <wp:effectExtent l="0" t="0" r="6350" b="1016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jc w:val="center"/>
      </w:pPr>
      <w:r>
        <w:drawing>
          <wp:inline distT="0" distB="0" distL="114300" distR="114300">
            <wp:extent cx="5080000" cy="7549515"/>
            <wp:effectExtent l="0" t="0" r="0" b="698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jc w:val="center"/>
        <w:rPr>
          <w:rFonts w:ascii="黑体" w:hAnsi="黑体" w:eastAsia="黑体" w:cs="黑体"/>
          <w:sz w:val="28"/>
          <w:szCs w:val="28"/>
        </w:rPr>
      </w:pPr>
      <w:r>
        <w:rPr>
          <w:rFonts w:hint="eastAsia" w:ascii="黑体" w:hAnsi="黑体" w:eastAsia="黑体" w:cs="黑体"/>
          <w:sz w:val="28"/>
          <w:szCs w:val="28"/>
        </w:rPr>
        <w:t>图12  100个城市消费者满意度得分与排名</w:t>
      </w:r>
      <w:bookmarkStart w:id="39" w:name="_Toc33719402"/>
      <w:r>
        <w:rPr>
          <w:rStyle w:val="25"/>
          <w:rFonts w:ascii="黑体" w:hAnsi="黑体" w:eastAsia="黑体" w:cs="黑体"/>
          <w:sz w:val="28"/>
          <w:szCs w:val="28"/>
        </w:rPr>
        <w:footnoteReference w:id="0"/>
      </w:r>
    </w:p>
    <w:p>
      <w:pPr>
        <w:pStyle w:val="4"/>
        <w:ind w:firstLine="640"/>
        <w:rPr>
          <w:rFonts w:ascii="仿宋" w:hAnsi="仿宋" w:eastAsia="仿宋" w:cs="仿宋"/>
          <w:color w:val="1C1C1C"/>
          <w:sz w:val="32"/>
          <w:szCs w:val="32"/>
        </w:rPr>
      </w:pPr>
      <w:bookmarkStart w:id="40" w:name="_Toc62721763"/>
      <w:bookmarkStart w:id="41" w:name="_Toc3103"/>
      <w:r>
        <w:rPr>
          <w:rFonts w:hint="eastAsia" w:ascii="仿宋" w:hAnsi="仿宋" w:eastAsia="仿宋" w:cs="仿宋"/>
          <w:color w:val="1C1C1C"/>
          <w:sz w:val="32"/>
          <w:szCs w:val="32"/>
        </w:rPr>
        <w:t>（二）基于社会消费品零售总额分类的各城市得分</w:t>
      </w:r>
      <w:bookmarkEnd w:id="39"/>
      <w:bookmarkEnd w:id="40"/>
      <w:bookmarkEnd w:id="41"/>
    </w:p>
    <w:p>
      <w:pPr>
        <w:ind w:firstLine="640" w:firstLineChars="200"/>
        <w:jc w:val="both"/>
        <w:rPr>
          <w:rFonts w:ascii="仿宋" w:hAnsi="仿宋" w:eastAsia="仿宋" w:cs="仿宋"/>
          <w:color w:val="1C1C1C"/>
          <w:spacing w:val="-6"/>
          <w:sz w:val="32"/>
          <w:szCs w:val="32"/>
        </w:rPr>
      </w:pPr>
      <w:r>
        <w:rPr>
          <w:rFonts w:hint="eastAsia" w:ascii="仿宋" w:hAnsi="仿宋" w:eastAsia="仿宋" w:cs="仿宋"/>
          <w:color w:val="1C1C1C"/>
          <w:sz w:val="32"/>
          <w:szCs w:val="32"/>
        </w:rPr>
        <w:t>社会消费品零售总额在4千亿以上的城市共有20个。其中，12个城市满意度得分超过80分，14个城市超过全国综合得分</w:t>
      </w:r>
      <w:r>
        <w:rPr>
          <w:rFonts w:hint="eastAsia" w:ascii="仿宋" w:hAnsi="仿宋" w:eastAsia="仿宋" w:cs="仿宋"/>
          <w:color w:val="1C1C1C"/>
          <w:spacing w:val="-6"/>
          <w:sz w:val="32"/>
          <w:szCs w:val="32"/>
        </w:rPr>
        <w:t>。排名靠前的3个城市依次为：苏州市、青岛市、杭州市；排名靠后的3个城市分别是：合肥市、长沙市、郑州市。</w:t>
      </w:r>
    </w:p>
    <w:p>
      <w:pPr>
        <w:jc w:val="center"/>
        <w:rPr>
          <w:rFonts w:ascii="黑体" w:hAnsi="黑体" w:eastAsia="黑体"/>
          <w:color w:val="1C1C1C"/>
          <w:sz w:val="28"/>
        </w:rPr>
      </w:pPr>
      <w:r>
        <w:rPr>
          <w:rFonts w:hint="eastAsia" w:ascii="黑体" w:hAnsi="黑体" w:eastAsia="黑体"/>
          <w:color w:val="1C1C1C"/>
          <w:sz w:val="28"/>
        </w:rPr>
        <w:t>表6 社会消费品零售总额4千亿以上城市得分</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651"/>
        <w:gridCol w:w="1439"/>
        <w:gridCol w:w="1230"/>
        <w:gridCol w:w="2073"/>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排名</w:t>
            </w:r>
          </w:p>
        </w:tc>
        <w:tc>
          <w:tcPr>
            <w:tcW w:w="1651" w:type="dxa"/>
            <w:shd w:val="clear" w:color="auto" w:fill="4472C4" w:themeFill="accent5"/>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城市</w:t>
            </w:r>
          </w:p>
        </w:tc>
        <w:tc>
          <w:tcPr>
            <w:tcW w:w="1439"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得分</w:t>
            </w:r>
          </w:p>
        </w:tc>
        <w:tc>
          <w:tcPr>
            <w:tcW w:w="1230"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排名</w:t>
            </w:r>
          </w:p>
        </w:tc>
        <w:tc>
          <w:tcPr>
            <w:tcW w:w="2073" w:type="dxa"/>
            <w:shd w:val="clear" w:color="auto" w:fill="4472C4" w:themeFill="accent5"/>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城市</w:t>
            </w:r>
          </w:p>
        </w:tc>
        <w:tc>
          <w:tcPr>
            <w:tcW w:w="1437"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苏州市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91.81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11</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泉州市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81.69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2</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青岛市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90.40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12</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武汉市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3</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杭州市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89.74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13</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徐州市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79.85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4</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南京市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88.85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14</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济南市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5</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北京市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84.42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15</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福州市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75.99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6</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宁波市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83.02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16</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重庆市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7</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深圳市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82.86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17</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西安市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74.64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8</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上海市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82.13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18</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合肥市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74.28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9</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成都市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82.11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19</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长沙市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10</w:t>
            </w:r>
          </w:p>
        </w:tc>
        <w:tc>
          <w:tcPr>
            <w:tcW w:w="1651"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广州市</w:t>
            </w:r>
          </w:p>
        </w:tc>
        <w:tc>
          <w:tcPr>
            <w:tcW w:w="1439"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81.89 </w:t>
            </w:r>
          </w:p>
        </w:tc>
        <w:tc>
          <w:tcPr>
            <w:tcW w:w="123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20</w:t>
            </w:r>
          </w:p>
        </w:tc>
        <w:tc>
          <w:tcPr>
            <w:tcW w:w="2073"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郑州市</w:t>
            </w:r>
          </w:p>
        </w:tc>
        <w:tc>
          <w:tcPr>
            <w:tcW w:w="1437"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73.40 </w:t>
            </w: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社会消费品零售总额2千亿到4千亿之间的城市共有29个。其中，18个城市满意度得分高于80分，21个城市超过全国综合得分。排名靠前的3个城市依次为：烟台市、佛山市、无锡市；排名靠后的3个城市依次是：南阳市、唐山市、阜阳市。</w:t>
      </w:r>
    </w:p>
    <w:p>
      <w:pPr>
        <w:jc w:val="center"/>
        <w:rPr>
          <w:rFonts w:ascii="黑体" w:hAnsi="黑体" w:eastAsia="黑体"/>
          <w:color w:val="1C1C1C"/>
          <w:sz w:val="28"/>
        </w:rPr>
      </w:pPr>
      <w:r>
        <w:rPr>
          <w:rFonts w:hint="eastAsia" w:ascii="黑体" w:hAnsi="黑体" w:eastAsia="黑体"/>
          <w:color w:val="1C1C1C"/>
          <w:sz w:val="28"/>
        </w:rPr>
        <w:t>表7 社会消费品零售总额2千亿-4千亿城市得分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651"/>
        <w:gridCol w:w="1439"/>
        <w:gridCol w:w="1230"/>
        <w:gridCol w:w="2073"/>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30"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排名</w:t>
            </w:r>
          </w:p>
        </w:tc>
        <w:tc>
          <w:tcPr>
            <w:tcW w:w="1651" w:type="dxa"/>
            <w:shd w:val="clear" w:color="auto" w:fill="4472C4" w:themeFill="accent5"/>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城市</w:t>
            </w:r>
          </w:p>
        </w:tc>
        <w:tc>
          <w:tcPr>
            <w:tcW w:w="1439"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得分</w:t>
            </w:r>
          </w:p>
        </w:tc>
        <w:tc>
          <w:tcPr>
            <w:tcW w:w="1230"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排名</w:t>
            </w:r>
          </w:p>
        </w:tc>
        <w:tc>
          <w:tcPr>
            <w:tcW w:w="2073" w:type="dxa"/>
            <w:shd w:val="clear" w:color="auto" w:fill="4472C4" w:themeFill="accent5"/>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城市</w:t>
            </w:r>
          </w:p>
        </w:tc>
        <w:tc>
          <w:tcPr>
            <w:tcW w:w="1437"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烟台市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89.17</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16</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温州市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80.27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佛山市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88.15</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17</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台州市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80.16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无锡市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88.13</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18</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沈阳市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80.02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厦门市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84.45</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19</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哈尔滨市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潍坊市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82.78</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20</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东莞市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天津市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82.74</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21</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贵阳市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78.82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南宁市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82.73</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22</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临沂市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常州市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82.71</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23</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长春市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78.43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9</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盐城市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81.97</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24</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昆明市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77.37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10</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金华市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81.61</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25</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南昌市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11</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南通市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81.57</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26</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石家庄市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12</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洛阳市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81.41</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27</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南阳市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13</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嘉兴市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80.95</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28</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唐山市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14</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济宁市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80.40</w:t>
            </w:r>
          </w:p>
        </w:tc>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29</w:t>
            </w:r>
          </w:p>
        </w:tc>
        <w:tc>
          <w:tcPr>
            <w:tcW w:w="207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阜阳市</w:t>
            </w:r>
          </w:p>
        </w:tc>
        <w:tc>
          <w:tcPr>
            <w:tcW w:w="1437" w:type="dxa"/>
            <w:noWrap/>
            <w:vAlign w:val="bottom"/>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 xml:space="preserve">73.62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15</w:t>
            </w:r>
          </w:p>
        </w:tc>
        <w:tc>
          <w:tcPr>
            <w:tcW w:w="1651"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绍兴市</w:t>
            </w:r>
          </w:p>
        </w:tc>
        <w:tc>
          <w:tcPr>
            <w:tcW w:w="1439"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80.39</w:t>
            </w:r>
          </w:p>
        </w:tc>
        <w:tc>
          <w:tcPr>
            <w:tcW w:w="1230" w:type="dxa"/>
            <w:noWrap/>
            <w:vAlign w:val="center"/>
          </w:tcPr>
          <w:p>
            <w:pPr>
              <w:pStyle w:val="27"/>
              <w:spacing w:line="400" w:lineRule="exact"/>
              <w:rPr>
                <w:rFonts w:ascii="仿宋" w:hAnsi="仿宋" w:eastAsia="仿宋" w:cs="仿宋"/>
                <w:color w:val="1C1C1C"/>
                <w:sz w:val="28"/>
              </w:rPr>
            </w:pPr>
          </w:p>
        </w:tc>
        <w:tc>
          <w:tcPr>
            <w:tcW w:w="2073" w:type="dxa"/>
            <w:noWrap/>
            <w:vAlign w:val="center"/>
          </w:tcPr>
          <w:p>
            <w:pPr>
              <w:pStyle w:val="27"/>
              <w:spacing w:line="400" w:lineRule="exact"/>
              <w:rPr>
                <w:rFonts w:ascii="仿宋" w:hAnsi="仿宋" w:eastAsia="仿宋" w:cs="仿宋"/>
                <w:color w:val="1C1C1C"/>
                <w:sz w:val="28"/>
              </w:rPr>
            </w:pPr>
          </w:p>
        </w:tc>
        <w:tc>
          <w:tcPr>
            <w:tcW w:w="1437" w:type="dxa"/>
            <w:noWrap/>
            <w:vAlign w:val="center"/>
          </w:tcPr>
          <w:p>
            <w:pPr>
              <w:pStyle w:val="27"/>
              <w:spacing w:line="400" w:lineRule="exact"/>
              <w:rPr>
                <w:rFonts w:ascii="仿宋" w:hAnsi="仿宋" w:eastAsia="仿宋" w:cs="仿宋"/>
                <w:color w:val="1C1C1C"/>
                <w:sz w:val="28"/>
              </w:rPr>
            </w:pP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社会消费品零售总额在1千亿-2千亿的城市共有23个。其中，3</w:t>
      </w:r>
      <w:r>
        <w:rPr>
          <w:rFonts w:ascii="仿宋" w:hAnsi="仿宋" w:eastAsia="仿宋" w:cs="仿宋"/>
          <w:color w:val="1C1C1C"/>
          <w:sz w:val="32"/>
          <w:szCs w:val="32"/>
        </w:rPr>
        <w:t>个城市满意度得分</w:t>
      </w:r>
      <w:r>
        <w:rPr>
          <w:rFonts w:hint="eastAsia" w:ascii="仿宋" w:hAnsi="仿宋" w:eastAsia="仿宋" w:cs="仿宋"/>
          <w:color w:val="1C1C1C"/>
          <w:sz w:val="32"/>
          <w:szCs w:val="32"/>
        </w:rPr>
        <w:t>超过全国综合得分。排名靠前的3个城市依次为：宜昌市、襄阳市、淄博市；排名靠后的3个城市依次是：兰州市、呼和浩特市、衡阳市。</w:t>
      </w:r>
    </w:p>
    <w:p>
      <w:pPr>
        <w:jc w:val="center"/>
        <w:rPr>
          <w:rFonts w:ascii="黑体" w:hAnsi="黑体" w:eastAsia="黑体"/>
          <w:color w:val="1C1C1C"/>
          <w:sz w:val="28"/>
        </w:rPr>
      </w:pPr>
      <w:r>
        <w:rPr>
          <w:rFonts w:hint="eastAsia" w:ascii="黑体" w:hAnsi="黑体" w:eastAsia="黑体"/>
          <w:color w:val="1C1C1C"/>
          <w:sz w:val="28"/>
        </w:rPr>
        <w:t>表8 社会消费品零售总额1千亿-2千亿城市得分</w:t>
      </w:r>
    </w:p>
    <w:tbl>
      <w:tblPr>
        <w:tblStyle w:val="16"/>
        <w:tblW w:w="9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2066"/>
        <w:gridCol w:w="1390"/>
        <w:gridCol w:w="1260"/>
        <w:gridCol w:w="1805"/>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177"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排名</w:t>
            </w:r>
          </w:p>
        </w:tc>
        <w:tc>
          <w:tcPr>
            <w:tcW w:w="2066" w:type="dxa"/>
            <w:shd w:val="clear" w:color="auto" w:fill="4472C4" w:themeFill="accent5"/>
            <w:noWrap/>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城市</w:t>
            </w:r>
          </w:p>
        </w:tc>
        <w:tc>
          <w:tcPr>
            <w:tcW w:w="1390"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得分</w:t>
            </w:r>
          </w:p>
        </w:tc>
        <w:tc>
          <w:tcPr>
            <w:tcW w:w="1260"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排名</w:t>
            </w:r>
          </w:p>
        </w:tc>
        <w:tc>
          <w:tcPr>
            <w:tcW w:w="1805" w:type="dxa"/>
            <w:shd w:val="clear" w:color="auto" w:fill="4472C4" w:themeFill="accent5"/>
            <w:noWrap/>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城市</w:t>
            </w:r>
          </w:p>
        </w:tc>
        <w:tc>
          <w:tcPr>
            <w:tcW w:w="1375"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宜昌市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83.54</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13</w:t>
            </w:r>
          </w:p>
        </w:tc>
        <w:tc>
          <w:tcPr>
            <w:tcW w:w="1805" w:type="dxa"/>
            <w:noWrap/>
          </w:tcPr>
          <w:p>
            <w:pPr>
              <w:jc w:val="center"/>
              <w:textAlignment w:val="top"/>
              <w:rPr>
                <w:rFonts w:ascii="仿宋" w:hAnsi="仿宋" w:eastAsia="仿宋" w:cs="仿宋"/>
                <w:color w:val="1C1C1C"/>
                <w:sz w:val="28"/>
              </w:rPr>
            </w:pPr>
            <w:r>
              <w:rPr>
                <w:rFonts w:hint="eastAsia" w:ascii="仿宋" w:hAnsi="仿宋" w:eastAsia="仿宋" w:cs="仿宋"/>
                <w:bCs/>
                <w:color w:val="1C1C1C"/>
                <w:kern w:val="2"/>
                <w:sz w:val="28"/>
              </w:rPr>
              <w:t>大连市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襄阳市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81.40</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14</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汕头市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淄博市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79.67</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15</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保定市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岳阳市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78.46</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16</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曲靖市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遵义市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78.36</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17</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海口市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芜湖市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78.22</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18</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绵阳市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太原市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77.38</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19</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乌鲁木齐市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上饶市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76.67</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20</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柳州市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9</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赣州市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76.63</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21</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兰州市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10</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南充市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76.59</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22</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呼和浩特市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11</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包头市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76.24</w:t>
            </w:r>
          </w:p>
        </w:tc>
        <w:tc>
          <w:tcPr>
            <w:tcW w:w="12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23</w:t>
            </w:r>
          </w:p>
        </w:tc>
        <w:tc>
          <w:tcPr>
            <w:tcW w:w="1805"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衡阳市</w:t>
            </w:r>
          </w:p>
        </w:tc>
        <w:tc>
          <w:tcPr>
            <w:tcW w:w="1375"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12</w:t>
            </w:r>
          </w:p>
        </w:tc>
        <w:tc>
          <w:tcPr>
            <w:tcW w:w="2066"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邯郸市</w:t>
            </w:r>
          </w:p>
        </w:tc>
        <w:tc>
          <w:tcPr>
            <w:tcW w:w="139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75.74</w:t>
            </w:r>
          </w:p>
        </w:tc>
        <w:tc>
          <w:tcPr>
            <w:tcW w:w="1260" w:type="dxa"/>
            <w:noWrap/>
            <w:vAlign w:val="center"/>
          </w:tcPr>
          <w:p>
            <w:pPr>
              <w:pStyle w:val="27"/>
              <w:spacing w:line="400" w:lineRule="exact"/>
              <w:rPr>
                <w:rFonts w:ascii="仿宋" w:hAnsi="仿宋" w:eastAsia="仿宋" w:cs="仿宋"/>
                <w:color w:val="1C1C1C"/>
                <w:sz w:val="28"/>
              </w:rPr>
            </w:pPr>
          </w:p>
        </w:tc>
        <w:tc>
          <w:tcPr>
            <w:tcW w:w="1805" w:type="dxa"/>
            <w:noWrap/>
            <w:vAlign w:val="center"/>
          </w:tcPr>
          <w:p>
            <w:pPr>
              <w:pStyle w:val="27"/>
              <w:spacing w:line="400" w:lineRule="exact"/>
              <w:rPr>
                <w:rFonts w:ascii="仿宋" w:hAnsi="仿宋" w:eastAsia="仿宋" w:cs="仿宋"/>
                <w:color w:val="1C1C1C"/>
                <w:sz w:val="28"/>
              </w:rPr>
            </w:pPr>
          </w:p>
        </w:tc>
        <w:tc>
          <w:tcPr>
            <w:tcW w:w="1375" w:type="dxa"/>
            <w:noWrap/>
            <w:vAlign w:val="center"/>
          </w:tcPr>
          <w:p>
            <w:pPr>
              <w:pStyle w:val="27"/>
              <w:spacing w:line="400" w:lineRule="exact"/>
              <w:rPr>
                <w:rFonts w:ascii="仿宋" w:hAnsi="仿宋" w:eastAsia="仿宋" w:cs="仿宋"/>
                <w:color w:val="1C1C1C"/>
                <w:sz w:val="28"/>
              </w:rPr>
            </w:pP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社会消费品零售总额在1千亿以下的城市共有28个。其中，仅1</w:t>
      </w:r>
      <w:r>
        <w:rPr>
          <w:rFonts w:ascii="仿宋" w:hAnsi="仿宋" w:eastAsia="仿宋" w:cs="仿宋"/>
          <w:color w:val="1C1C1C"/>
          <w:sz w:val="32"/>
          <w:szCs w:val="32"/>
        </w:rPr>
        <w:t>个城市满意度得分</w:t>
      </w:r>
      <w:r>
        <w:rPr>
          <w:rFonts w:hint="eastAsia" w:ascii="仿宋" w:hAnsi="仿宋" w:eastAsia="仿宋" w:cs="仿宋"/>
          <w:color w:val="1C1C1C"/>
          <w:sz w:val="32"/>
          <w:szCs w:val="32"/>
        </w:rPr>
        <w:t>超过全国综合得分。排名靠前的3个城市依次为：吴忠市、银川市、毕节市；排名靠后的3个城市依次是：三亚市、庆阳市、吉林市。</w:t>
      </w:r>
    </w:p>
    <w:p>
      <w:pPr>
        <w:jc w:val="center"/>
        <w:rPr>
          <w:rFonts w:ascii="黑体" w:hAnsi="黑体" w:eastAsia="黑体"/>
          <w:color w:val="1C1C1C"/>
        </w:rPr>
      </w:pPr>
      <w:r>
        <w:rPr>
          <w:rFonts w:hint="eastAsia" w:ascii="黑体" w:hAnsi="黑体" w:eastAsia="黑体"/>
          <w:color w:val="1C1C1C"/>
          <w:sz w:val="28"/>
        </w:rPr>
        <w:t>表9 社会消费品零售总额1千亿以下城市得分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213"/>
        <w:gridCol w:w="1310"/>
        <w:gridCol w:w="1060"/>
        <w:gridCol w:w="1810"/>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230"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排名</w:t>
            </w:r>
          </w:p>
        </w:tc>
        <w:tc>
          <w:tcPr>
            <w:tcW w:w="2213" w:type="dxa"/>
            <w:shd w:val="clear" w:color="auto" w:fill="4472C4" w:themeFill="accent5"/>
            <w:noWrap/>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城市</w:t>
            </w:r>
          </w:p>
        </w:tc>
        <w:tc>
          <w:tcPr>
            <w:tcW w:w="1310"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得分</w:t>
            </w:r>
          </w:p>
        </w:tc>
        <w:tc>
          <w:tcPr>
            <w:tcW w:w="1060"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排名</w:t>
            </w:r>
          </w:p>
        </w:tc>
        <w:tc>
          <w:tcPr>
            <w:tcW w:w="1810" w:type="dxa"/>
            <w:shd w:val="clear" w:color="auto" w:fill="4472C4" w:themeFill="accent5"/>
            <w:noWrap/>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城市</w:t>
            </w:r>
          </w:p>
        </w:tc>
        <w:tc>
          <w:tcPr>
            <w:tcW w:w="1437"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吴忠市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80.64</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15</w:t>
            </w:r>
          </w:p>
        </w:tc>
        <w:tc>
          <w:tcPr>
            <w:tcW w:w="1810"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儋州市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银川市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78.19</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16</w:t>
            </w:r>
          </w:p>
        </w:tc>
        <w:tc>
          <w:tcPr>
            <w:tcW w:w="1810"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鄂尔多斯市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毕节市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78.13</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17</w:t>
            </w:r>
          </w:p>
        </w:tc>
        <w:tc>
          <w:tcPr>
            <w:tcW w:w="1810"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鞍山市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克拉玛依市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77.89</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18</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玉溪市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日喀则市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77.82</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19</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石嘴山市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山南市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77.72</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20</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海东市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渭南市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77.41</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21</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桂林市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西宁市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77.02</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22</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松原市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9</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大同市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76.95</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23</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哈密市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10</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拉萨市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76.88</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24</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运城市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11</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齐齐哈尔市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76.76</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25</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宝鸡市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12</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天水市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76.38</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26</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三亚市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13</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大庆市</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76.24</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27</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庆阳市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3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14</w:t>
            </w:r>
          </w:p>
        </w:tc>
        <w:tc>
          <w:tcPr>
            <w:tcW w:w="2213" w:type="dxa"/>
            <w:noWrap/>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海西蒙古族藏族自治州</w:t>
            </w:r>
          </w:p>
        </w:tc>
        <w:tc>
          <w:tcPr>
            <w:tcW w:w="1310"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76.18</w:t>
            </w:r>
          </w:p>
        </w:tc>
        <w:tc>
          <w:tcPr>
            <w:tcW w:w="1060"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28</w:t>
            </w:r>
          </w:p>
        </w:tc>
        <w:tc>
          <w:tcPr>
            <w:tcW w:w="1810" w:type="dxa"/>
            <w:noWrap/>
            <w:vAlign w:val="center"/>
          </w:tcPr>
          <w:p>
            <w:pPr>
              <w:jc w:val="center"/>
              <w:textAlignment w:val="top"/>
              <w:rPr>
                <w:rFonts w:ascii="仿宋" w:hAnsi="仿宋" w:eastAsia="仿宋" w:cs="仿宋"/>
                <w:bCs/>
                <w:color w:val="1C1C1C"/>
                <w:kern w:val="2"/>
                <w:sz w:val="28"/>
              </w:rPr>
            </w:pPr>
            <w:r>
              <w:rPr>
                <w:rFonts w:hint="eastAsia" w:ascii="仿宋" w:hAnsi="仿宋" w:eastAsia="仿宋" w:cs="仿宋"/>
                <w:bCs/>
                <w:color w:val="1C1C1C"/>
                <w:kern w:val="2"/>
                <w:sz w:val="28"/>
              </w:rPr>
              <w:t>吉林市</w:t>
            </w:r>
          </w:p>
        </w:tc>
        <w:tc>
          <w:tcPr>
            <w:tcW w:w="1437" w:type="dxa"/>
            <w:noWrap/>
            <w:vAlign w:val="center"/>
          </w:tcPr>
          <w:p>
            <w:pPr>
              <w:jc w:val="center"/>
              <w:textAlignment w:val="bottom"/>
              <w:rPr>
                <w:rFonts w:ascii="仿宋" w:hAnsi="仿宋" w:eastAsia="仿宋" w:cs="仿宋"/>
                <w:bCs/>
                <w:color w:val="1C1C1C"/>
                <w:kern w:val="2"/>
                <w:sz w:val="28"/>
              </w:rPr>
            </w:pPr>
            <w:r>
              <w:rPr>
                <w:rFonts w:hint="eastAsia" w:ascii="仿宋" w:hAnsi="仿宋" w:eastAsia="仿宋" w:cs="仿宋"/>
                <w:bCs/>
                <w:color w:val="1C1C1C"/>
                <w:kern w:val="2"/>
                <w:sz w:val="28"/>
              </w:rPr>
              <w:t>70.67</w:t>
            </w:r>
          </w:p>
        </w:tc>
      </w:tr>
    </w:tbl>
    <w:p>
      <w:bookmarkStart w:id="42" w:name="_Toc33719403"/>
    </w:p>
    <w:p>
      <w:pPr>
        <w:pStyle w:val="4"/>
        <w:ind w:firstLine="640"/>
        <w:rPr>
          <w:rFonts w:ascii="仿宋" w:hAnsi="仿宋" w:eastAsia="仿宋" w:cs="仿宋"/>
          <w:color w:val="1C1C1C"/>
          <w:sz w:val="32"/>
          <w:szCs w:val="32"/>
        </w:rPr>
      </w:pPr>
      <w:bookmarkStart w:id="43" w:name="_Toc62721764"/>
      <w:bookmarkStart w:id="44" w:name="_Toc19424"/>
      <w:r>
        <w:rPr>
          <w:rFonts w:hint="eastAsia" w:ascii="仿宋" w:hAnsi="仿宋" w:eastAsia="仿宋" w:cs="仿宋"/>
          <w:color w:val="1C1C1C"/>
          <w:sz w:val="32"/>
          <w:szCs w:val="32"/>
        </w:rPr>
        <w:t>（三）基于行政层级分类的各城市得分</w:t>
      </w:r>
      <w:bookmarkEnd w:id="42"/>
      <w:bookmarkEnd w:id="43"/>
      <w:bookmarkEnd w:id="44"/>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4个直辖市的得分均在75分以上，排名依次为：北京市、天津市、上海市、重庆市。</w:t>
      </w:r>
    </w:p>
    <w:p>
      <w:pPr>
        <w:jc w:val="center"/>
        <w:rPr>
          <w:rFonts w:ascii="黑体" w:hAnsi="黑体" w:eastAsia="黑体"/>
          <w:color w:val="1C1C1C"/>
          <w:sz w:val="28"/>
          <w:szCs w:val="32"/>
        </w:rPr>
      </w:pPr>
      <w:r>
        <w:rPr>
          <w:rFonts w:hint="eastAsia" w:ascii="黑体" w:hAnsi="黑体" w:eastAsia="黑体"/>
          <w:color w:val="1C1C1C"/>
          <w:sz w:val="28"/>
          <w:szCs w:val="32"/>
        </w:rPr>
        <w:t>表10 直辖市消费者满意度得分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2"/>
        <w:gridCol w:w="3461"/>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排名</w:t>
            </w:r>
          </w:p>
        </w:tc>
        <w:tc>
          <w:tcPr>
            <w:tcW w:w="3461" w:type="dxa"/>
            <w:shd w:val="clear" w:color="auto" w:fill="4472C4" w:themeFill="accent5"/>
            <w:noWrap/>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城市</w:t>
            </w:r>
          </w:p>
        </w:tc>
        <w:tc>
          <w:tcPr>
            <w:tcW w:w="3017" w:type="dxa"/>
            <w:shd w:val="clear" w:color="auto" w:fill="4472C4" w:themeFill="accent5"/>
            <w:vAlign w:val="center"/>
          </w:tcPr>
          <w:p>
            <w:pPr>
              <w:pStyle w:val="27"/>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w:t>
            </w:r>
          </w:p>
        </w:tc>
        <w:tc>
          <w:tcPr>
            <w:tcW w:w="3461"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北京市</w:t>
            </w:r>
          </w:p>
        </w:tc>
        <w:tc>
          <w:tcPr>
            <w:tcW w:w="3017"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84.42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2</w:t>
            </w:r>
          </w:p>
        </w:tc>
        <w:tc>
          <w:tcPr>
            <w:tcW w:w="3461"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天津市</w:t>
            </w:r>
          </w:p>
        </w:tc>
        <w:tc>
          <w:tcPr>
            <w:tcW w:w="3017"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3</w:t>
            </w:r>
          </w:p>
        </w:tc>
        <w:tc>
          <w:tcPr>
            <w:tcW w:w="3461"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上海市</w:t>
            </w:r>
          </w:p>
        </w:tc>
        <w:tc>
          <w:tcPr>
            <w:tcW w:w="3017"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4</w:t>
            </w:r>
          </w:p>
        </w:tc>
        <w:tc>
          <w:tcPr>
            <w:tcW w:w="3461"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重庆市</w:t>
            </w:r>
          </w:p>
        </w:tc>
        <w:tc>
          <w:tcPr>
            <w:tcW w:w="3017"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75.70 </w:t>
            </w: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5个计划单列市的得分均在75分以上，排名依次为：青岛市、厦门市、宁波市、深圳市、大连市。</w:t>
      </w:r>
    </w:p>
    <w:p>
      <w:pPr>
        <w:jc w:val="center"/>
        <w:rPr>
          <w:rFonts w:ascii="黑体" w:hAnsi="黑体" w:eastAsia="黑体"/>
          <w:color w:val="1C1C1C"/>
          <w:sz w:val="28"/>
          <w:szCs w:val="32"/>
        </w:rPr>
      </w:pPr>
      <w:r>
        <w:rPr>
          <w:rFonts w:hint="eastAsia" w:ascii="黑体" w:hAnsi="黑体" w:eastAsia="黑体"/>
          <w:color w:val="1C1C1C"/>
          <w:sz w:val="28"/>
          <w:szCs w:val="32"/>
        </w:rPr>
        <w:t>表11 计划单列市消费者满意度得分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2"/>
        <w:gridCol w:w="3461"/>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582" w:type="dxa"/>
            <w:shd w:val="clear" w:color="auto" w:fill="4472C4" w:themeFill="accent5"/>
            <w:vAlign w:val="center"/>
          </w:tcPr>
          <w:p>
            <w:pPr>
              <w:pStyle w:val="27"/>
              <w:rPr>
                <w:rFonts w:ascii="仿宋" w:hAnsi="仿宋" w:cs="宋体"/>
                <w:b/>
                <w:color w:val="1C1C1C"/>
                <w:kern w:val="0"/>
              </w:rPr>
            </w:pPr>
            <w:r>
              <w:rPr>
                <w:rFonts w:hint="eastAsia" w:ascii="黑体" w:hAnsi="黑体" w:eastAsia="黑体" w:cs="黑体"/>
                <w:bCs w:val="0"/>
                <w:color w:val="1C1C1C"/>
                <w:sz w:val="28"/>
                <w:szCs w:val="22"/>
              </w:rPr>
              <w:t>排名</w:t>
            </w:r>
          </w:p>
        </w:tc>
        <w:tc>
          <w:tcPr>
            <w:tcW w:w="3461" w:type="dxa"/>
            <w:shd w:val="clear" w:color="auto" w:fill="4472C4" w:themeFill="accent5"/>
            <w:noWrap/>
            <w:vAlign w:val="center"/>
          </w:tcPr>
          <w:p>
            <w:pPr>
              <w:pStyle w:val="27"/>
              <w:rPr>
                <w:rFonts w:ascii="仿宋" w:hAnsi="仿宋" w:cs="宋体"/>
                <w:b/>
                <w:color w:val="1C1C1C"/>
                <w:kern w:val="0"/>
              </w:rPr>
            </w:pPr>
            <w:r>
              <w:rPr>
                <w:rFonts w:hint="eastAsia" w:ascii="黑体" w:hAnsi="黑体" w:eastAsia="黑体" w:cs="黑体"/>
                <w:bCs w:val="0"/>
                <w:color w:val="1C1C1C"/>
                <w:sz w:val="28"/>
                <w:szCs w:val="22"/>
              </w:rPr>
              <w:t>城市</w:t>
            </w:r>
          </w:p>
        </w:tc>
        <w:tc>
          <w:tcPr>
            <w:tcW w:w="3017" w:type="dxa"/>
            <w:shd w:val="clear" w:color="auto" w:fill="4472C4" w:themeFill="accent5"/>
            <w:vAlign w:val="center"/>
          </w:tcPr>
          <w:p>
            <w:pPr>
              <w:pStyle w:val="27"/>
              <w:rPr>
                <w:rFonts w:ascii="仿宋" w:hAnsi="仿宋" w:cs="宋体"/>
                <w:b/>
                <w:color w:val="1C1C1C"/>
                <w:kern w:val="0"/>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582"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w:t>
            </w:r>
          </w:p>
        </w:tc>
        <w:tc>
          <w:tcPr>
            <w:tcW w:w="3461"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青岛市</w:t>
            </w:r>
          </w:p>
        </w:tc>
        <w:tc>
          <w:tcPr>
            <w:tcW w:w="3017"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90.40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582"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2</w:t>
            </w:r>
          </w:p>
        </w:tc>
        <w:tc>
          <w:tcPr>
            <w:tcW w:w="3461"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厦门市</w:t>
            </w:r>
          </w:p>
        </w:tc>
        <w:tc>
          <w:tcPr>
            <w:tcW w:w="3017"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582"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3</w:t>
            </w:r>
          </w:p>
        </w:tc>
        <w:tc>
          <w:tcPr>
            <w:tcW w:w="3461"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宁波市</w:t>
            </w:r>
          </w:p>
        </w:tc>
        <w:tc>
          <w:tcPr>
            <w:tcW w:w="3017"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83.02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582"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4</w:t>
            </w:r>
          </w:p>
        </w:tc>
        <w:tc>
          <w:tcPr>
            <w:tcW w:w="3461"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深圳市</w:t>
            </w:r>
          </w:p>
        </w:tc>
        <w:tc>
          <w:tcPr>
            <w:tcW w:w="3017"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582"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5</w:t>
            </w:r>
          </w:p>
        </w:tc>
        <w:tc>
          <w:tcPr>
            <w:tcW w:w="3461"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大连市</w:t>
            </w:r>
          </w:p>
        </w:tc>
        <w:tc>
          <w:tcPr>
            <w:tcW w:w="3017"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75.47 </w:t>
            </w: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27个省会城市中，得分在80分以上的城市有7个。其中，排名靠前的3个城市依次为：杭州市、南京市、南宁市；排名靠后的3个城市依次为：乌鲁木齐市、兰州市、呼和浩特市。</w:t>
      </w:r>
    </w:p>
    <w:p>
      <w:pPr>
        <w:jc w:val="center"/>
        <w:rPr>
          <w:rFonts w:ascii="黑体" w:hAnsi="黑体" w:eastAsia="黑体"/>
          <w:color w:val="1C1C1C"/>
          <w:sz w:val="28"/>
          <w:szCs w:val="32"/>
        </w:rPr>
      </w:pPr>
      <w:r>
        <w:rPr>
          <w:rFonts w:hint="eastAsia" w:ascii="黑体" w:hAnsi="黑体" w:eastAsia="黑体"/>
          <w:color w:val="1C1C1C"/>
          <w:sz w:val="28"/>
          <w:szCs w:val="32"/>
        </w:rPr>
        <w:t>表12</w:t>
      </w:r>
      <w:r>
        <w:rPr>
          <w:rFonts w:ascii="黑体" w:hAnsi="黑体" w:eastAsia="黑体"/>
          <w:color w:val="1C1C1C"/>
          <w:sz w:val="28"/>
          <w:szCs w:val="32"/>
        </w:rPr>
        <w:t xml:space="preserve"> </w:t>
      </w:r>
      <w:r>
        <w:rPr>
          <w:rFonts w:hint="eastAsia" w:ascii="黑体" w:hAnsi="黑体" w:eastAsia="黑体"/>
          <w:color w:val="1C1C1C"/>
          <w:sz w:val="28"/>
          <w:szCs w:val="32"/>
        </w:rPr>
        <w:t>省会城市消费者满意度得分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996"/>
        <w:gridCol w:w="1410"/>
        <w:gridCol w:w="1350"/>
        <w:gridCol w:w="1754"/>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77" w:type="dxa"/>
            <w:shd w:val="clear" w:color="auto" w:fill="4472C4" w:themeFill="accent5"/>
            <w:vAlign w:val="center"/>
          </w:tcPr>
          <w:p>
            <w:pPr>
              <w:pStyle w:val="27"/>
              <w:spacing w:line="400" w:lineRule="exact"/>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排名</w:t>
            </w:r>
          </w:p>
        </w:tc>
        <w:tc>
          <w:tcPr>
            <w:tcW w:w="1996" w:type="dxa"/>
            <w:shd w:val="clear" w:color="auto" w:fill="4472C4" w:themeFill="accent5"/>
            <w:noWrap/>
            <w:vAlign w:val="center"/>
          </w:tcPr>
          <w:p>
            <w:pPr>
              <w:pStyle w:val="27"/>
              <w:spacing w:line="400" w:lineRule="exact"/>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城市</w:t>
            </w:r>
          </w:p>
        </w:tc>
        <w:tc>
          <w:tcPr>
            <w:tcW w:w="1410" w:type="dxa"/>
            <w:shd w:val="clear" w:color="auto" w:fill="4472C4" w:themeFill="accent5"/>
            <w:vAlign w:val="center"/>
          </w:tcPr>
          <w:p>
            <w:pPr>
              <w:pStyle w:val="27"/>
              <w:spacing w:line="400" w:lineRule="exact"/>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得分</w:t>
            </w:r>
          </w:p>
        </w:tc>
        <w:tc>
          <w:tcPr>
            <w:tcW w:w="1350" w:type="dxa"/>
            <w:shd w:val="clear" w:color="auto" w:fill="4472C4" w:themeFill="accent5"/>
            <w:vAlign w:val="center"/>
          </w:tcPr>
          <w:p>
            <w:pPr>
              <w:pStyle w:val="27"/>
              <w:spacing w:line="400" w:lineRule="exact"/>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排名</w:t>
            </w:r>
          </w:p>
        </w:tc>
        <w:tc>
          <w:tcPr>
            <w:tcW w:w="1754" w:type="dxa"/>
            <w:shd w:val="clear" w:color="auto" w:fill="4472C4" w:themeFill="accent5"/>
            <w:noWrap/>
            <w:vAlign w:val="center"/>
          </w:tcPr>
          <w:p>
            <w:pPr>
              <w:pStyle w:val="27"/>
              <w:spacing w:line="400" w:lineRule="exact"/>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城市</w:t>
            </w:r>
          </w:p>
        </w:tc>
        <w:tc>
          <w:tcPr>
            <w:tcW w:w="1373" w:type="dxa"/>
            <w:shd w:val="clear" w:color="auto" w:fill="4472C4" w:themeFill="accent5"/>
            <w:vAlign w:val="center"/>
          </w:tcPr>
          <w:p>
            <w:pPr>
              <w:pStyle w:val="27"/>
              <w:spacing w:line="400" w:lineRule="exact"/>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kern w:val="0"/>
                <w:sz w:val="28"/>
                <w:szCs w:val="22"/>
              </w:rPr>
            </w:pPr>
            <w:r>
              <w:rPr>
                <w:rFonts w:hint="eastAsia" w:ascii="仿宋" w:hAnsi="仿宋" w:eastAsia="仿宋" w:cs="仿宋"/>
                <w:color w:val="1C1C1C"/>
                <w:sz w:val="28"/>
                <w:szCs w:val="22"/>
              </w:rPr>
              <w:t>1</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杭州市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89.74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西宁市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77.02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南京市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88.85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南昌市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南宁市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82.73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拉萨市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成都市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82.11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石家庄市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广州市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81.89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福州市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75.99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武汉市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80.03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西安市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74.64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沈阳市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80.02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21</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合肥市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74.28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济南市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79.67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22</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长沙市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哈尔滨市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79.60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23</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郑州市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贵阳市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78.82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24</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海口市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长春市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78.43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25</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乌鲁木齐市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72.91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银川市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78.19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26</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兰州市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71.79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太原市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77.38 </w:t>
            </w:r>
          </w:p>
        </w:tc>
        <w:tc>
          <w:tcPr>
            <w:tcW w:w="135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27</w:t>
            </w:r>
          </w:p>
        </w:tc>
        <w:tc>
          <w:tcPr>
            <w:tcW w:w="1754"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呼和浩特市</w:t>
            </w:r>
          </w:p>
        </w:tc>
        <w:tc>
          <w:tcPr>
            <w:tcW w:w="1373"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1996" w:type="dxa"/>
            <w:noWrap/>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昆明市</w:t>
            </w:r>
          </w:p>
        </w:tc>
        <w:tc>
          <w:tcPr>
            <w:tcW w:w="1410" w:type="dxa"/>
            <w:noWrap/>
            <w:vAlign w:val="bottom"/>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 xml:space="preserve">77.37 </w:t>
            </w:r>
          </w:p>
        </w:tc>
        <w:tc>
          <w:tcPr>
            <w:tcW w:w="1350" w:type="dxa"/>
            <w:noWrap/>
            <w:vAlign w:val="center"/>
          </w:tcPr>
          <w:p>
            <w:pPr>
              <w:pStyle w:val="27"/>
              <w:spacing w:line="400" w:lineRule="exact"/>
              <w:rPr>
                <w:rFonts w:ascii="仿宋" w:hAnsi="仿宋" w:eastAsia="仿宋" w:cs="仿宋"/>
                <w:color w:val="1C1C1C"/>
                <w:sz w:val="28"/>
                <w:szCs w:val="22"/>
              </w:rPr>
            </w:pPr>
          </w:p>
        </w:tc>
        <w:tc>
          <w:tcPr>
            <w:tcW w:w="1754" w:type="dxa"/>
            <w:noWrap/>
            <w:vAlign w:val="center"/>
          </w:tcPr>
          <w:p>
            <w:pPr>
              <w:pStyle w:val="27"/>
              <w:spacing w:line="400" w:lineRule="exact"/>
              <w:rPr>
                <w:rFonts w:ascii="仿宋" w:hAnsi="仿宋" w:eastAsia="仿宋" w:cs="仿宋"/>
                <w:color w:val="1C1C1C"/>
                <w:sz w:val="28"/>
                <w:szCs w:val="18"/>
              </w:rPr>
            </w:pPr>
          </w:p>
        </w:tc>
        <w:tc>
          <w:tcPr>
            <w:tcW w:w="1373" w:type="dxa"/>
            <w:noWrap/>
            <w:vAlign w:val="center"/>
          </w:tcPr>
          <w:p>
            <w:pPr>
              <w:pStyle w:val="27"/>
              <w:spacing w:line="400" w:lineRule="exact"/>
              <w:rPr>
                <w:rFonts w:ascii="仿宋" w:hAnsi="仿宋" w:eastAsia="仿宋" w:cs="仿宋"/>
                <w:color w:val="1C1C1C"/>
                <w:sz w:val="28"/>
                <w:szCs w:val="18"/>
              </w:rPr>
            </w:pP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其他6</w:t>
      </w:r>
      <w:r>
        <w:rPr>
          <w:rFonts w:ascii="仿宋" w:hAnsi="仿宋" w:eastAsia="仿宋" w:cs="仿宋"/>
          <w:color w:val="1C1C1C"/>
          <w:sz w:val="32"/>
          <w:szCs w:val="32"/>
        </w:rPr>
        <w:t>4</w:t>
      </w:r>
      <w:r>
        <w:rPr>
          <w:rFonts w:hint="eastAsia" w:ascii="仿宋" w:hAnsi="仿宋" w:eastAsia="仿宋" w:cs="仿宋"/>
          <w:color w:val="1C1C1C"/>
          <w:sz w:val="32"/>
          <w:szCs w:val="32"/>
        </w:rPr>
        <w:t>个城市中，19个城市的消费者满意度得分在80分以上。其中，排名靠前的3个城市依次为：苏州市、烟台市、佛山市；排名靠后的3个城市依次为：庆阳市、吉林市、衡阳市。</w:t>
      </w:r>
    </w:p>
    <w:p>
      <w:pPr>
        <w:jc w:val="center"/>
        <w:rPr>
          <w:rFonts w:ascii="黑体" w:hAnsi="黑体" w:eastAsia="黑体"/>
          <w:color w:val="1C1C1C"/>
          <w:sz w:val="28"/>
          <w:szCs w:val="32"/>
        </w:rPr>
      </w:pPr>
      <w:r>
        <w:rPr>
          <w:rFonts w:hint="eastAsia" w:ascii="黑体" w:hAnsi="黑体" w:eastAsia="黑体"/>
          <w:color w:val="1C1C1C"/>
          <w:sz w:val="28"/>
          <w:szCs w:val="32"/>
        </w:rPr>
        <w:t>表13 其他城市消费者满意度得分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43"/>
        <w:gridCol w:w="1134"/>
        <w:gridCol w:w="1134"/>
        <w:gridCol w:w="2553"/>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9" w:type="dxa"/>
            <w:shd w:val="clear" w:color="auto" w:fill="4472C4" w:themeFill="accent5"/>
            <w:vAlign w:val="center"/>
          </w:tcPr>
          <w:p>
            <w:pPr>
              <w:pStyle w:val="27"/>
              <w:rPr>
                <w:rFonts w:ascii="黑体" w:hAnsi="黑体" w:eastAsia="黑体" w:cs="黑体"/>
                <w:bCs w:val="0"/>
                <w:color w:val="1C1C1C"/>
                <w:kern w:val="0"/>
                <w:sz w:val="28"/>
                <w:szCs w:val="22"/>
                <w:highlight w:val="yellow"/>
              </w:rPr>
            </w:pPr>
            <w:r>
              <w:rPr>
                <w:rFonts w:hint="eastAsia" w:ascii="黑体" w:hAnsi="黑体" w:eastAsia="黑体" w:cs="黑体"/>
                <w:bCs w:val="0"/>
                <w:color w:val="1C1C1C"/>
                <w:sz w:val="28"/>
                <w:szCs w:val="22"/>
              </w:rPr>
              <w:t>排名</w:t>
            </w:r>
          </w:p>
        </w:tc>
        <w:tc>
          <w:tcPr>
            <w:tcW w:w="1843" w:type="dxa"/>
            <w:shd w:val="clear" w:color="auto" w:fill="4472C4" w:themeFill="accent5"/>
            <w:noWrap/>
            <w:vAlign w:val="center"/>
          </w:tcPr>
          <w:p>
            <w:pPr>
              <w:pStyle w:val="27"/>
              <w:rPr>
                <w:rFonts w:ascii="黑体" w:hAnsi="黑体" w:eastAsia="黑体" w:cs="黑体"/>
                <w:bCs w:val="0"/>
                <w:color w:val="1C1C1C"/>
                <w:kern w:val="0"/>
                <w:sz w:val="28"/>
                <w:szCs w:val="22"/>
                <w:highlight w:val="yellow"/>
              </w:rPr>
            </w:pPr>
            <w:r>
              <w:rPr>
                <w:rFonts w:hint="eastAsia" w:ascii="黑体" w:hAnsi="黑体" w:eastAsia="黑体" w:cs="黑体"/>
                <w:bCs w:val="0"/>
                <w:color w:val="1C1C1C"/>
                <w:sz w:val="28"/>
                <w:szCs w:val="22"/>
              </w:rPr>
              <w:t>城市</w:t>
            </w:r>
          </w:p>
        </w:tc>
        <w:tc>
          <w:tcPr>
            <w:tcW w:w="1134" w:type="dxa"/>
            <w:shd w:val="clear" w:color="auto" w:fill="4472C4" w:themeFill="accent5"/>
            <w:vAlign w:val="center"/>
          </w:tcPr>
          <w:p>
            <w:pPr>
              <w:pStyle w:val="27"/>
              <w:rPr>
                <w:rFonts w:ascii="黑体" w:hAnsi="黑体" w:eastAsia="黑体" w:cs="黑体"/>
                <w:bCs w:val="0"/>
                <w:color w:val="1C1C1C"/>
                <w:kern w:val="0"/>
                <w:sz w:val="28"/>
                <w:szCs w:val="22"/>
                <w:highlight w:val="yellow"/>
              </w:rPr>
            </w:pPr>
            <w:r>
              <w:rPr>
                <w:rFonts w:hint="eastAsia" w:ascii="黑体" w:hAnsi="黑体" w:eastAsia="黑体" w:cs="黑体"/>
                <w:bCs w:val="0"/>
                <w:color w:val="1C1C1C"/>
                <w:sz w:val="28"/>
                <w:szCs w:val="22"/>
              </w:rPr>
              <w:t>得分</w:t>
            </w:r>
          </w:p>
        </w:tc>
        <w:tc>
          <w:tcPr>
            <w:tcW w:w="1134" w:type="dxa"/>
            <w:shd w:val="clear" w:color="auto" w:fill="4472C4" w:themeFill="accent5"/>
            <w:vAlign w:val="center"/>
          </w:tcPr>
          <w:p>
            <w:pPr>
              <w:pStyle w:val="27"/>
              <w:rPr>
                <w:rFonts w:ascii="黑体" w:hAnsi="黑体" w:eastAsia="黑体" w:cs="黑体"/>
                <w:bCs w:val="0"/>
                <w:color w:val="1C1C1C"/>
                <w:kern w:val="0"/>
                <w:sz w:val="28"/>
                <w:szCs w:val="22"/>
                <w:highlight w:val="yellow"/>
              </w:rPr>
            </w:pPr>
            <w:r>
              <w:rPr>
                <w:rFonts w:hint="eastAsia" w:ascii="黑体" w:hAnsi="黑体" w:eastAsia="黑体" w:cs="黑体"/>
                <w:bCs w:val="0"/>
                <w:color w:val="1C1C1C"/>
                <w:sz w:val="28"/>
                <w:szCs w:val="22"/>
              </w:rPr>
              <w:t>排名</w:t>
            </w:r>
          </w:p>
        </w:tc>
        <w:tc>
          <w:tcPr>
            <w:tcW w:w="2553" w:type="dxa"/>
            <w:shd w:val="clear" w:color="auto" w:fill="4472C4" w:themeFill="accent5"/>
            <w:noWrap/>
            <w:vAlign w:val="center"/>
          </w:tcPr>
          <w:p>
            <w:pPr>
              <w:pStyle w:val="27"/>
              <w:rPr>
                <w:rFonts w:ascii="黑体" w:hAnsi="黑体" w:eastAsia="黑体" w:cs="黑体"/>
                <w:bCs w:val="0"/>
                <w:color w:val="1C1C1C"/>
                <w:kern w:val="0"/>
                <w:sz w:val="28"/>
                <w:szCs w:val="22"/>
                <w:highlight w:val="yellow"/>
              </w:rPr>
            </w:pPr>
            <w:r>
              <w:rPr>
                <w:rFonts w:hint="eastAsia" w:ascii="黑体" w:hAnsi="黑体" w:eastAsia="黑体" w:cs="黑体"/>
                <w:bCs w:val="0"/>
                <w:color w:val="1C1C1C"/>
                <w:sz w:val="28"/>
                <w:szCs w:val="22"/>
              </w:rPr>
              <w:t>城市</w:t>
            </w:r>
          </w:p>
        </w:tc>
        <w:tc>
          <w:tcPr>
            <w:tcW w:w="1437" w:type="dxa"/>
            <w:shd w:val="clear" w:color="auto" w:fill="4472C4" w:themeFill="accent5"/>
            <w:vAlign w:val="center"/>
          </w:tcPr>
          <w:p>
            <w:pPr>
              <w:pStyle w:val="27"/>
              <w:rPr>
                <w:rFonts w:ascii="黑体" w:hAnsi="黑体" w:eastAsia="黑体" w:cs="黑体"/>
                <w:bCs w:val="0"/>
                <w:color w:val="1C1C1C"/>
                <w:kern w:val="0"/>
                <w:sz w:val="28"/>
                <w:szCs w:val="22"/>
                <w:highlight w:val="yellow"/>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kern w:val="0"/>
                <w:sz w:val="28"/>
              </w:rPr>
            </w:pPr>
            <w:r>
              <w:rPr>
                <w:rFonts w:hint="eastAsia" w:ascii="仿宋" w:hAnsi="仿宋" w:eastAsia="仿宋" w:cs="仿宋"/>
                <w:color w:val="1C1C1C"/>
                <w:sz w:val="28"/>
              </w:rPr>
              <w:t>1</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苏州市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91.81</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33</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齐齐哈尔市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烟台市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89.17</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34</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上饶市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佛山市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88.15</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35</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赣州市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无锡市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88.13</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36</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南充市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宜昌市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83.54</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37</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天水市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潍坊市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82.78</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38</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大庆市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常州市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82.71</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39</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包头市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盐城市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81.97</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40</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海西蒙古族藏族自治州</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9</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泉州市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81.69</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41</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邯郸市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10</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金华市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81.61</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42</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儋州市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11</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南通市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81.57</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43</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鄂尔多斯市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12</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洛阳市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81.41</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44</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汕头市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13</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襄阳市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81.40</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45</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鞍山市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14</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嘉兴市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80.95</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46</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玉溪市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15</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吴忠市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80.64</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47</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保定市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16</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济宁市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80.40</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48</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南阳市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17</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绍兴市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80.39</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49</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石嘴山市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18</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温州市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80.27</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50</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唐山市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19</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台州市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80.16</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51</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海东市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20</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徐州市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79.85</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52</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阜阳市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21</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淄博市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79.67</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53</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曲靖市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22</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东莞市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78.89</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54</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绵阳市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23</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临沂市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78.60</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55</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桂林市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24</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岳阳市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78.46</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56</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松原市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25</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遵义市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78.36</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57</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哈密市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26</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芜湖市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78.22</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58</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柳州市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27</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毕节市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78.13</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59</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运城市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28</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克拉玛依市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77.89</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60</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宝鸡市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29</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日喀则市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77.82</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61</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三亚市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30</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山南市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77.72</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62</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庆阳市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31</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渭南市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77.41</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63</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吉林市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32</w:t>
            </w:r>
          </w:p>
        </w:tc>
        <w:tc>
          <w:tcPr>
            <w:tcW w:w="184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大同市</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76.95</w:t>
            </w:r>
          </w:p>
        </w:tc>
        <w:tc>
          <w:tcPr>
            <w:tcW w:w="1134"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64</w:t>
            </w:r>
          </w:p>
        </w:tc>
        <w:tc>
          <w:tcPr>
            <w:tcW w:w="2553"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衡阳市</w:t>
            </w:r>
          </w:p>
        </w:tc>
        <w:tc>
          <w:tcPr>
            <w:tcW w:w="1437"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70.19</w:t>
            </w:r>
          </w:p>
        </w:tc>
      </w:tr>
    </w:tbl>
    <w:p>
      <w:bookmarkStart w:id="45" w:name="_Toc33719404"/>
      <w:bookmarkStart w:id="46" w:name="_Toc62721765"/>
    </w:p>
    <w:p>
      <w:pPr>
        <w:pStyle w:val="4"/>
        <w:ind w:firstLine="640"/>
        <w:rPr>
          <w:rFonts w:ascii="仿宋" w:hAnsi="仿宋" w:eastAsia="仿宋" w:cs="仿宋"/>
          <w:color w:val="1C1C1C"/>
          <w:sz w:val="32"/>
          <w:szCs w:val="32"/>
        </w:rPr>
      </w:pPr>
      <w:bookmarkStart w:id="47" w:name="_Toc14461"/>
      <w:r>
        <w:rPr>
          <w:rFonts w:hint="eastAsia" w:ascii="仿宋" w:hAnsi="仿宋" w:eastAsia="仿宋" w:cs="仿宋"/>
          <w:color w:val="1C1C1C"/>
          <w:sz w:val="32"/>
          <w:szCs w:val="32"/>
        </w:rPr>
        <w:t>（四）基于城市规模分类的各城市得分</w:t>
      </w:r>
      <w:bookmarkEnd w:id="45"/>
      <w:bookmarkEnd w:id="46"/>
      <w:bookmarkEnd w:id="47"/>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7个超大城市排名依次为：北京市、深圳市、天津市、上海市、成都市、广州市、重庆市。除重庆市外，其他城市消费者满意度得分均超80分。</w:t>
      </w:r>
    </w:p>
    <w:p>
      <w:pPr>
        <w:jc w:val="center"/>
        <w:rPr>
          <w:rFonts w:ascii="黑体" w:hAnsi="黑体" w:eastAsia="黑体"/>
          <w:color w:val="1C1C1C"/>
          <w:sz w:val="28"/>
          <w:szCs w:val="32"/>
        </w:rPr>
      </w:pPr>
      <w:r>
        <w:rPr>
          <w:rFonts w:hint="eastAsia" w:ascii="黑体" w:hAnsi="黑体" w:eastAsia="黑体"/>
          <w:color w:val="1C1C1C"/>
          <w:sz w:val="28"/>
          <w:szCs w:val="32"/>
        </w:rPr>
        <w:t>表14 超大城市消费者满意度得分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2"/>
        <w:gridCol w:w="3461"/>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shd w:val="clear" w:color="auto" w:fill="4472C4" w:themeFill="accent5"/>
            <w:vAlign w:val="center"/>
          </w:tcPr>
          <w:p>
            <w:pPr>
              <w:pStyle w:val="27"/>
              <w:spacing w:line="400" w:lineRule="exact"/>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排名</w:t>
            </w:r>
          </w:p>
        </w:tc>
        <w:tc>
          <w:tcPr>
            <w:tcW w:w="3461" w:type="dxa"/>
            <w:shd w:val="clear" w:color="auto" w:fill="4472C4" w:themeFill="accent5"/>
            <w:noWrap/>
            <w:vAlign w:val="center"/>
          </w:tcPr>
          <w:p>
            <w:pPr>
              <w:pStyle w:val="27"/>
              <w:spacing w:line="400" w:lineRule="exact"/>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城市</w:t>
            </w:r>
          </w:p>
        </w:tc>
        <w:tc>
          <w:tcPr>
            <w:tcW w:w="3017" w:type="dxa"/>
            <w:shd w:val="clear" w:color="auto" w:fill="4472C4" w:themeFill="accent5"/>
            <w:vAlign w:val="center"/>
          </w:tcPr>
          <w:p>
            <w:pPr>
              <w:pStyle w:val="27"/>
              <w:spacing w:line="400" w:lineRule="exact"/>
              <w:rPr>
                <w:rFonts w:ascii="黑体" w:hAnsi="黑体" w:eastAsia="黑体" w:cs="黑体"/>
                <w:bCs w:val="0"/>
                <w:color w:val="1C1C1C"/>
                <w:kern w:val="0"/>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1</w:t>
            </w:r>
          </w:p>
        </w:tc>
        <w:tc>
          <w:tcPr>
            <w:tcW w:w="346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北京市</w:t>
            </w:r>
          </w:p>
        </w:tc>
        <w:tc>
          <w:tcPr>
            <w:tcW w:w="30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2</w:t>
            </w:r>
          </w:p>
        </w:tc>
        <w:tc>
          <w:tcPr>
            <w:tcW w:w="346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深圳市</w:t>
            </w:r>
          </w:p>
        </w:tc>
        <w:tc>
          <w:tcPr>
            <w:tcW w:w="30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3</w:t>
            </w:r>
          </w:p>
        </w:tc>
        <w:tc>
          <w:tcPr>
            <w:tcW w:w="346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天津市</w:t>
            </w:r>
          </w:p>
        </w:tc>
        <w:tc>
          <w:tcPr>
            <w:tcW w:w="30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4</w:t>
            </w:r>
          </w:p>
        </w:tc>
        <w:tc>
          <w:tcPr>
            <w:tcW w:w="346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上海市</w:t>
            </w:r>
          </w:p>
        </w:tc>
        <w:tc>
          <w:tcPr>
            <w:tcW w:w="30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5</w:t>
            </w:r>
          </w:p>
        </w:tc>
        <w:tc>
          <w:tcPr>
            <w:tcW w:w="346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成都市</w:t>
            </w:r>
          </w:p>
        </w:tc>
        <w:tc>
          <w:tcPr>
            <w:tcW w:w="30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6</w:t>
            </w:r>
          </w:p>
        </w:tc>
        <w:tc>
          <w:tcPr>
            <w:tcW w:w="346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广州市</w:t>
            </w:r>
          </w:p>
        </w:tc>
        <w:tc>
          <w:tcPr>
            <w:tcW w:w="30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ign w:val="center"/>
          </w:tcPr>
          <w:p>
            <w:pPr>
              <w:pStyle w:val="27"/>
              <w:spacing w:line="400" w:lineRule="exact"/>
              <w:rPr>
                <w:rFonts w:ascii="仿宋" w:hAnsi="仿宋" w:eastAsia="仿宋" w:cs="仿宋"/>
                <w:color w:val="1C1C1C"/>
                <w:sz w:val="28"/>
              </w:rPr>
            </w:pPr>
            <w:r>
              <w:rPr>
                <w:rFonts w:hint="eastAsia" w:ascii="仿宋" w:hAnsi="仿宋" w:eastAsia="仿宋" w:cs="仿宋"/>
                <w:color w:val="1C1C1C"/>
                <w:sz w:val="28"/>
              </w:rPr>
              <w:t>7</w:t>
            </w:r>
          </w:p>
        </w:tc>
        <w:tc>
          <w:tcPr>
            <w:tcW w:w="346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重庆市</w:t>
            </w:r>
          </w:p>
        </w:tc>
        <w:tc>
          <w:tcPr>
            <w:tcW w:w="30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75.70 </w:t>
            </w: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21个特大城市中，9个城市的消费者满意度得分在80分以上，12个城市超过全国综合得分。</w:t>
      </w:r>
    </w:p>
    <w:p>
      <w:pPr>
        <w:spacing w:line="600" w:lineRule="exact"/>
        <w:jc w:val="center"/>
        <w:rPr>
          <w:rFonts w:ascii="黑体" w:hAnsi="黑体" w:eastAsia="黑体"/>
          <w:color w:val="1C1C1C"/>
          <w:sz w:val="28"/>
          <w:szCs w:val="32"/>
        </w:rPr>
      </w:pPr>
      <w:r>
        <w:rPr>
          <w:rFonts w:hint="eastAsia" w:ascii="黑体" w:hAnsi="黑体" w:eastAsia="黑体"/>
          <w:color w:val="1C1C1C"/>
          <w:sz w:val="28"/>
          <w:szCs w:val="32"/>
        </w:rPr>
        <w:t>表15 特大城市消费者满意度得分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770"/>
        <w:gridCol w:w="1417"/>
        <w:gridCol w:w="919"/>
        <w:gridCol w:w="2252"/>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73"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770"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417"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919"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2252"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529"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苏州市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91.81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东莞市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青岛市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90.40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长春市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杭州市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89.74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昆明市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77.37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南京市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88.85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石家庄市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佛山市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88.15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大连市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宁波市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83.02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汕头市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南宁市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82.73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西安市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武汉市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80.03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合肥市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沈阳市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80.02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长沙市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济南市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79.67 </w:t>
            </w:r>
          </w:p>
        </w:tc>
        <w:tc>
          <w:tcPr>
            <w:tcW w:w="919" w:type="dxa"/>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21</w:t>
            </w:r>
          </w:p>
        </w:tc>
        <w:tc>
          <w:tcPr>
            <w:tcW w:w="2252" w:type="dxa"/>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郑州市</w:t>
            </w:r>
          </w:p>
        </w:tc>
        <w:tc>
          <w:tcPr>
            <w:tcW w:w="1529" w:type="dxa"/>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177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哈尔滨市</w:t>
            </w:r>
          </w:p>
        </w:tc>
        <w:tc>
          <w:tcPr>
            <w:tcW w:w="141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79.60 </w:t>
            </w:r>
          </w:p>
        </w:tc>
        <w:tc>
          <w:tcPr>
            <w:tcW w:w="919" w:type="dxa"/>
            <w:vAlign w:val="center"/>
          </w:tcPr>
          <w:p>
            <w:pPr>
              <w:pStyle w:val="27"/>
              <w:spacing w:line="400" w:lineRule="exact"/>
              <w:rPr>
                <w:rFonts w:ascii="仿宋" w:hAnsi="仿宋" w:eastAsia="仿宋" w:cs="仿宋"/>
                <w:color w:val="1C1C1C"/>
                <w:sz w:val="28"/>
                <w:szCs w:val="22"/>
              </w:rPr>
            </w:pPr>
          </w:p>
        </w:tc>
        <w:tc>
          <w:tcPr>
            <w:tcW w:w="2252" w:type="dxa"/>
            <w:vAlign w:val="bottom"/>
          </w:tcPr>
          <w:p>
            <w:pPr>
              <w:pStyle w:val="27"/>
              <w:spacing w:line="400" w:lineRule="exact"/>
              <w:rPr>
                <w:rFonts w:ascii="仿宋" w:hAnsi="仿宋" w:eastAsia="仿宋" w:cs="仿宋"/>
                <w:color w:val="1C1C1C"/>
                <w:sz w:val="28"/>
                <w:szCs w:val="22"/>
              </w:rPr>
            </w:pPr>
          </w:p>
        </w:tc>
        <w:tc>
          <w:tcPr>
            <w:tcW w:w="1529" w:type="dxa"/>
            <w:vAlign w:val="bottom"/>
          </w:tcPr>
          <w:p>
            <w:pPr>
              <w:pStyle w:val="27"/>
              <w:spacing w:line="400" w:lineRule="exact"/>
              <w:rPr>
                <w:rFonts w:ascii="仿宋" w:hAnsi="仿宋" w:eastAsia="仿宋" w:cs="仿宋"/>
                <w:color w:val="1C1C1C"/>
                <w:sz w:val="28"/>
                <w:szCs w:val="22"/>
              </w:rPr>
            </w:pPr>
          </w:p>
        </w:tc>
      </w:tr>
    </w:tbl>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18个Ⅰ型大城市中，6个城市的消费者满意度得分在80分以上，9个城市超过全国综合得分。</w:t>
      </w:r>
    </w:p>
    <w:p>
      <w:pPr>
        <w:jc w:val="center"/>
        <w:rPr>
          <w:rFonts w:ascii="黑体" w:hAnsi="黑体" w:eastAsia="黑体"/>
          <w:color w:val="1C1C1C"/>
          <w:sz w:val="28"/>
          <w:szCs w:val="32"/>
        </w:rPr>
      </w:pPr>
      <w:r>
        <w:rPr>
          <w:rFonts w:hint="eastAsia" w:ascii="黑体" w:hAnsi="黑体" w:eastAsia="黑体"/>
          <w:color w:val="1C1C1C"/>
          <w:sz w:val="28"/>
          <w:szCs w:val="32"/>
        </w:rPr>
        <w:t>表16 Ⅰ型大城市消费者满意度得分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2106"/>
        <w:gridCol w:w="1390"/>
        <w:gridCol w:w="1180"/>
        <w:gridCol w:w="1834"/>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77"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2106"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390"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180"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834"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373"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w:t>
            </w:r>
          </w:p>
        </w:tc>
        <w:tc>
          <w:tcPr>
            <w:tcW w:w="2106"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烟台市</w:t>
            </w:r>
          </w:p>
        </w:tc>
        <w:tc>
          <w:tcPr>
            <w:tcW w:w="1390"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89.17 </w:t>
            </w:r>
          </w:p>
        </w:tc>
        <w:tc>
          <w:tcPr>
            <w:tcW w:w="118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10</w:t>
            </w:r>
          </w:p>
        </w:tc>
        <w:tc>
          <w:tcPr>
            <w:tcW w:w="1834"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临沂市</w:t>
            </w:r>
          </w:p>
        </w:tc>
        <w:tc>
          <w:tcPr>
            <w:tcW w:w="1373"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2</w:t>
            </w:r>
          </w:p>
        </w:tc>
        <w:tc>
          <w:tcPr>
            <w:tcW w:w="2106"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无锡市</w:t>
            </w:r>
          </w:p>
        </w:tc>
        <w:tc>
          <w:tcPr>
            <w:tcW w:w="1390"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88.13 </w:t>
            </w:r>
          </w:p>
        </w:tc>
        <w:tc>
          <w:tcPr>
            <w:tcW w:w="118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11</w:t>
            </w:r>
          </w:p>
        </w:tc>
        <w:tc>
          <w:tcPr>
            <w:tcW w:w="1834"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太原市</w:t>
            </w:r>
          </w:p>
        </w:tc>
        <w:tc>
          <w:tcPr>
            <w:tcW w:w="1373"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77.38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3</w:t>
            </w:r>
          </w:p>
        </w:tc>
        <w:tc>
          <w:tcPr>
            <w:tcW w:w="2106"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厦门市</w:t>
            </w:r>
          </w:p>
        </w:tc>
        <w:tc>
          <w:tcPr>
            <w:tcW w:w="1390"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84.45 </w:t>
            </w:r>
          </w:p>
        </w:tc>
        <w:tc>
          <w:tcPr>
            <w:tcW w:w="118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12</w:t>
            </w:r>
          </w:p>
        </w:tc>
        <w:tc>
          <w:tcPr>
            <w:tcW w:w="1834"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南昌市</w:t>
            </w:r>
          </w:p>
        </w:tc>
        <w:tc>
          <w:tcPr>
            <w:tcW w:w="1373"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4</w:t>
            </w:r>
          </w:p>
        </w:tc>
        <w:tc>
          <w:tcPr>
            <w:tcW w:w="2106"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常州市</w:t>
            </w:r>
          </w:p>
        </w:tc>
        <w:tc>
          <w:tcPr>
            <w:tcW w:w="1390"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82.71 </w:t>
            </w:r>
          </w:p>
        </w:tc>
        <w:tc>
          <w:tcPr>
            <w:tcW w:w="118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13</w:t>
            </w:r>
          </w:p>
        </w:tc>
        <w:tc>
          <w:tcPr>
            <w:tcW w:w="1834"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福州市</w:t>
            </w:r>
          </w:p>
        </w:tc>
        <w:tc>
          <w:tcPr>
            <w:tcW w:w="1373"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75.99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5</w:t>
            </w:r>
          </w:p>
        </w:tc>
        <w:tc>
          <w:tcPr>
            <w:tcW w:w="2106"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南通市</w:t>
            </w:r>
          </w:p>
        </w:tc>
        <w:tc>
          <w:tcPr>
            <w:tcW w:w="1390"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81.57 </w:t>
            </w:r>
          </w:p>
        </w:tc>
        <w:tc>
          <w:tcPr>
            <w:tcW w:w="118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14</w:t>
            </w:r>
          </w:p>
        </w:tc>
        <w:tc>
          <w:tcPr>
            <w:tcW w:w="1834"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邯郸市</w:t>
            </w:r>
          </w:p>
        </w:tc>
        <w:tc>
          <w:tcPr>
            <w:tcW w:w="1373"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6</w:t>
            </w:r>
          </w:p>
        </w:tc>
        <w:tc>
          <w:tcPr>
            <w:tcW w:w="2106"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温州市</w:t>
            </w:r>
          </w:p>
        </w:tc>
        <w:tc>
          <w:tcPr>
            <w:tcW w:w="1390"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80.27 </w:t>
            </w:r>
          </w:p>
        </w:tc>
        <w:tc>
          <w:tcPr>
            <w:tcW w:w="118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15</w:t>
            </w:r>
          </w:p>
        </w:tc>
        <w:tc>
          <w:tcPr>
            <w:tcW w:w="1834"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保定市</w:t>
            </w:r>
          </w:p>
        </w:tc>
        <w:tc>
          <w:tcPr>
            <w:tcW w:w="1373"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74.34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7</w:t>
            </w:r>
          </w:p>
        </w:tc>
        <w:tc>
          <w:tcPr>
            <w:tcW w:w="2106"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徐州市</w:t>
            </w:r>
          </w:p>
        </w:tc>
        <w:tc>
          <w:tcPr>
            <w:tcW w:w="1390"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79.85 </w:t>
            </w:r>
          </w:p>
        </w:tc>
        <w:tc>
          <w:tcPr>
            <w:tcW w:w="118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16</w:t>
            </w:r>
          </w:p>
        </w:tc>
        <w:tc>
          <w:tcPr>
            <w:tcW w:w="1834"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唐山市</w:t>
            </w:r>
          </w:p>
        </w:tc>
        <w:tc>
          <w:tcPr>
            <w:tcW w:w="1373"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8</w:t>
            </w:r>
          </w:p>
        </w:tc>
        <w:tc>
          <w:tcPr>
            <w:tcW w:w="2106"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淄博市</w:t>
            </w:r>
          </w:p>
        </w:tc>
        <w:tc>
          <w:tcPr>
            <w:tcW w:w="1390"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79.67 </w:t>
            </w:r>
          </w:p>
        </w:tc>
        <w:tc>
          <w:tcPr>
            <w:tcW w:w="118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17</w:t>
            </w:r>
          </w:p>
        </w:tc>
        <w:tc>
          <w:tcPr>
            <w:tcW w:w="1834"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乌鲁木齐市</w:t>
            </w:r>
          </w:p>
        </w:tc>
        <w:tc>
          <w:tcPr>
            <w:tcW w:w="1373"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72.91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9</w:t>
            </w:r>
          </w:p>
        </w:tc>
        <w:tc>
          <w:tcPr>
            <w:tcW w:w="2106"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贵阳市</w:t>
            </w:r>
          </w:p>
        </w:tc>
        <w:tc>
          <w:tcPr>
            <w:tcW w:w="1390"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78.82 </w:t>
            </w:r>
          </w:p>
        </w:tc>
        <w:tc>
          <w:tcPr>
            <w:tcW w:w="1180" w:type="dxa"/>
            <w:noWrap/>
            <w:vAlign w:val="center"/>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18</w:t>
            </w:r>
          </w:p>
        </w:tc>
        <w:tc>
          <w:tcPr>
            <w:tcW w:w="1834" w:type="dxa"/>
            <w:noWrap/>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兰州市</w:t>
            </w:r>
          </w:p>
        </w:tc>
        <w:tc>
          <w:tcPr>
            <w:tcW w:w="1373" w:type="dxa"/>
            <w:noWrap/>
            <w:vAlign w:val="bottom"/>
          </w:tcPr>
          <w:p>
            <w:pPr>
              <w:pStyle w:val="27"/>
              <w:spacing w:line="400" w:lineRule="exact"/>
              <w:rPr>
                <w:rFonts w:ascii="仿宋" w:hAnsi="仿宋" w:eastAsia="仿宋" w:cs="仿宋"/>
                <w:color w:val="1C1C1C"/>
                <w:sz w:val="28"/>
                <w:szCs w:val="28"/>
              </w:rPr>
            </w:pPr>
            <w:r>
              <w:rPr>
                <w:rFonts w:hint="eastAsia" w:ascii="仿宋" w:hAnsi="仿宋" w:eastAsia="仿宋" w:cs="仿宋"/>
                <w:color w:val="1C1C1C"/>
                <w:sz w:val="28"/>
                <w:szCs w:val="28"/>
              </w:rPr>
              <w:t xml:space="preserve">71.79 </w:t>
            </w: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39个Ⅱ型大城市中，11个城市的消费者满意度得分在80分以上，排名靠前的3个城市依次为：宜昌市、潍坊市、盐城市；排名靠后的3个城市依次为：呼和浩特市、吉林市、衡阳市。</w:t>
      </w:r>
    </w:p>
    <w:p>
      <w:pPr>
        <w:jc w:val="center"/>
        <w:rPr>
          <w:rFonts w:ascii="黑体" w:hAnsi="黑体" w:eastAsia="黑体"/>
          <w:color w:val="1C1C1C"/>
          <w:sz w:val="28"/>
          <w:szCs w:val="32"/>
        </w:rPr>
      </w:pPr>
      <w:r>
        <w:rPr>
          <w:rFonts w:hint="eastAsia" w:ascii="黑体" w:hAnsi="黑体" w:eastAsia="黑体"/>
          <w:color w:val="1C1C1C"/>
          <w:sz w:val="28"/>
          <w:szCs w:val="32"/>
        </w:rPr>
        <w:t>表17 Ⅱ型大城市消费者满意度得分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766"/>
        <w:gridCol w:w="1418"/>
        <w:gridCol w:w="1134"/>
        <w:gridCol w:w="2192"/>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77"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766"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418"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134"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2192"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373"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宜昌市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83.54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21</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上饶市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潍坊市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82.78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22</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赣州市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盐城市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81.97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23</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南充市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泉州市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81.69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24</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天水市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金华市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81.61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25</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大庆市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洛阳市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81.41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26</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包头市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襄阳市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81.40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27</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鞍山市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嘉兴市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80.95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28</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南阳市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济宁市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80.40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29</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阜阳市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绍兴市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80.39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30</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曲靖市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台州市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80.16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31</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海口市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岳阳市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78.46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32</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绵阳市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遵义市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78.36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33</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桂林市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芜湖市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78.22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34</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柳州市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72.10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银川市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78.19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35</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宝鸡市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毕节市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78.13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36</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三亚市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71.52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渭南市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77.41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37</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呼和浩特市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西宁市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77.02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38</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吉林市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大同市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76.95 </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39</w:t>
            </w:r>
          </w:p>
        </w:tc>
        <w:tc>
          <w:tcPr>
            <w:tcW w:w="2192"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衡阳市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176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齐齐哈尔市</w:t>
            </w:r>
          </w:p>
        </w:tc>
        <w:tc>
          <w:tcPr>
            <w:tcW w:w="141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76.76 </w:t>
            </w:r>
          </w:p>
        </w:tc>
        <w:tc>
          <w:tcPr>
            <w:tcW w:w="1134" w:type="dxa"/>
            <w:noWrap/>
            <w:vAlign w:val="center"/>
          </w:tcPr>
          <w:p>
            <w:pPr>
              <w:pStyle w:val="27"/>
              <w:spacing w:line="400" w:lineRule="exact"/>
              <w:rPr>
                <w:rFonts w:ascii="仿宋" w:hAnsi="仿宋" w:eastAsia="仿宋" w:cs="仿宋"/>
                <w:color w:val="1C1C1C"/>
                <w:sz w:val="28"/>
                <w:szCs w:val="22"/>
              </w:rPr>
            </w:pPr>
          </w:p>
        </w:tc>
        <w:tc>
          <w:tcPr>
            <w:tcW w:w="2192" w:type="dxa"/>
            <w:noWrap/>
            <w:vAlign w:val="bottom"/>
          </w:tcPr>
          <w:p>
            <w:pPr>
              <w:pStyle w:val="27"/>
              <w:spacing w:line="400" w:lineRule="exact"/>
              <w:jc w:val="both"/>
              <w:rPr>
                <w:rFonts w:ascii="仿宋" w:hAnsi="仿宋" w:eastAsia="仿宋" w:cs="仿宋"/>
                <w:color w:val="1C1C1C"/>
                <w:sz w:val="28"/>
                <w:szCs w:val="22"/>
              </w:rPr>
            </w:pPr>
          </w:p>
        </w:tc>
        <w:tc>
          <w:tcPr>
            <w:tcW w:w="1373" w:type="dxa"/>
            <w:noWrap/>
            <w:vAlign w:val="bottom"/>
          </w:tcPr>
          <w:p>
            <w:pPr>
              <w:pStyle w:val="27"/>
              <w:spacing w:line="400" w:lineRule="exact"/>
              <w:rPr>
                <w:rFonts w:ascii="仿宋" w:hAnsi="仿宋" w:eastAsia="仿宋" w:cs="仿宋"/>
                <w:color w:val="1C1C1C"/>
                <w:sz w:val="28"/>
                <w:szCs w:val="22"/>
              </w:rPr>
            </w:pP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15个中小型城市中，仅1个城市的消费者满意度得分在80分以上，排名靠前的3个城市依次为：吴忠市、克拉玛依市、日喀则市；排名靠后的3个城市依次为：哈密市、运城市、庆阳市。</w:t>
      </w:r>
    </w:p>
    <w:p>
      <w:pPr>
        <w:jc w:val="center"/>
        <w:rPr>
          <w:rFonts w:ascii="黑体" w:hAnsi="黑体" w:eastAsia="黑体"/>
          <w:color w:val="1C1C1C"/>
          <w:sz w:val="28"/>
          <w:szCs w:val="32"/>
        </w:rPr>
      </w:pPr>
      <w:r>
        <w:rPr>
          <w:rFonts w:hint="eastAsia" w:ascii="黑体" w:hAnsi="黑体" w:eastAsia="黑体"/>
          <w:color w:val="1C1C1C"/>
          <w:sz w:val="28"/>
          <w:szCs w:val="32"/>
        </w:rPr>
        <w:t>表18 中小型城市消费者满意度得分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921"/>
        <w:gridCol w:w="1554"/>
        <w:gridCol w:w="1123"/>
        <w:gridCol w:w="1845"/>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6" w:type="dxa"/>
            <w:tcBorders>
              <w:top w:val="single" w:color="auto" w:sz="4" w:space="0"/>
              <w:left w:val="single" w:color="auto" w:sz="4" w:space="0"/>
              <w:bottom w:val="single" w:color="auto" w:sz="4" w:space="0"/>
              <w:right w:val="single" w:color="auto" w:sz="4" w:space="0"/>
            </w:tcBorders>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921" w:type="dxa"/>
            <w:tcBorders>
              <w:top w:val="single" w:color="auto" w:sz="4" w:space="0"/>
              <w:left w:val="single" w:color="auto" w:sz="4" w:space="0"/>
              <w:bottom w:val="single" w:color="auto" w:sz="4" w:space="0"/>
              <w:right w:val="single" w:color="auto" w:sz="4" w:space="0"/>
            </w:tcBorders>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554" w:type="dxa"/>
            <w:tcBorders>
              <w:top w:val="single" w:color="auto" w:sz="4" w:space="0"/>
              <w:left w:val="single" w:color="auto" w:sz="4" w:space="0"/>
              <w:bottom w:val="single" w:color="auto" w:sz="4" w:space="0"/>
              <w:right w:val="single" w:color="auto" w:sz="4" w:space="0"/>
            </w:tcBorders>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123" w:type="dxa"/>
            <w:tcBorders>
              <w:top w:val="single" w:color="auto" w:sz="4" w:space="0"/>
              <w:left w:val="single" w:color="auto" w:sz="4" w:space="0"/>
              <w:bottom w:val="single" w:color="auto" w:sz="4" w:space="0"/>
              <w:right w:val="single" w:color="auto" w:sz="4" w:space="0"/>
            </w:tcBorders>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845" w:type="dxa"/>
            <w:tcBorders>
              <w:top w:val="single" w:color="auto" w:sz="4" w:space="0"/>
              <w:left w:val="single" w:color="auto" w:sz="4" w:space="0"/>
              <w:bottom w:val="single" w:color="auto" w:sz="4" w:space="0"/>
              <w:right w:val="single" w:color="auto" w:sz="4" w:space="0"/>
            </w:tcBorders>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721" w:type="dxa"/>
            <w:tcBorders>
              <w:top w:val="single" w:color="auto" w:sz="4" w:space="0"/>
              <w:left w:val="single" w:color="auto" w:sz="4" w:space="0"/>
              <w:bottom w:val="single" w:color="auto" w:sz="4" w:space="0"/>
              <w:right w:val="single" w:color="auto" w:sz="4" w:space="0"/>
            </w:tcBorders>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921"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吴忠市</w:t>
            </w:r>
          </w:p>
        </w:tc>
        <w:tc>
          <w:tcPr>
            <w:tcW w:w="1554"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80.64</w:t>
            </w:r>
          </w:p>
        </w:tc>
        <w:tc>
          <w:tcPr>
            <w:tcW w:w="1123"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1845"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玉溪市</w:t>
            </w:r>
          </w:p>
        </w:tc>
        <w:tc>
          <w:tcPr>
            <w:tcW w:w="1721"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921"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克拉玛依市</w:t>
            </w:r>
          </w:p>
        </w:tc>
        <w:tc>
          <w:tcPr>
            <w:tcW w:w="1554"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77.89</w:t>
            </w:r>
          </w:p>
        </w:tc>
        <w:tc>
          <w:tcPr>
            <w:tcW w:w="1123"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1845"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石嘴山市</w:t>
            </w:r>
          </w:p>
        </w:tc>
        <w:tc>
          <w:tcPr>
            <w:tcW w:w="1721"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921"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日喀则市</w:t>
            </w:r>
          </w:p>
        </w:tc>
        <w:tc>
          <w:tcPr>
            <w:tcW w:w="1554"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77.82</w:t>
            </w:r>
          </w:p>
        </w:tc>
        <w:tc>
          <w:tcPr>
            <w:tcW w:w="1123"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1845"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海东市</w:t>
            </w:r>
          </w:p>
        </w:tc>
        <w:tc>
          <w:tcPr>
            <w:tcW w:w="1721"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921"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山南市</w:t>
            </w:r>
          </w:p>
        </w:tc>
        <w:tc>
          <w:tcPr>
            <w:tcW w:w="1554"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77.72</w:t>
            </w:r>
          </w:p>
        </w:tc>
        <w:tc>
          <w:tcPr>
            <w:tcW w:w="1123"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1845"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松原市</w:t>
            </w:r>
          </w:p>
        </w:tc>
        <w:tc>
          <w:tcPr>
            <w:tcW w:w="1721"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921"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拉萨市</w:t>
            </w:r>
          </w:p>
        </w:tc>
        <w:tc>
          <w:tcPr>
            <w:tcW w:w="1554"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76.88</w:t>
            </w:r>
          </w:p>
        </w:tc>
        <w:tc>
          <w:tcPr>
            <w:tcW w:w="1123"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1845"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哈密市</w:t>
            </w:r>
          </w:p>
        </w:tc>
        <w:tc>
          <w:tcPr>
            <w:tcW w:w="1721"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921"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海西蒙古族藏族自治州</w:t>
            </w:r>
          </w:p>
        </w:tc>
        <w:tc>
          <w:tcPr>
            <w:tcW w:w="1554"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76.18</w:t>
            </w:r>
          </w:p>
        </w:tc>
        <w:tc>
          <w:tcPr>
            <w:tcW w:w="1123"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1845"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运城市</w:t>
            </w:r>
          </w:p>
        </w:tc>
        <w:tc>
          <w:tcPr>
            <w:tcW w:w="1721"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921"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儋州市</w:t>
            </w:r>
          </w:p>
        </w:tc>
        <w:tc>
          <w:tcPr>
            <w:tcW w:w="1554"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75.48</w:t>
            </w:r>
          </w:p>
        </w:tc>
        <w:tc>
          <w:tcPr>
            <w:tcW w:w="1123"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1845"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庆阳市</w:t>
            </w:r>
          </w:p>
        </w:tc>
        <w:tc>
          <w:tcPr>
            <w:tcW w:w="1721"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1921"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鄂尔多斯市</w:t>
            </w:r>
          </w:p>
        </w:tc>
        <w:tc>
          <w:tcPr>
            <w:tcW w:w="1554"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75.23</w:t>
            </w:r>
          </w:p>
        </w:tc>
        <w:tc>
          <w:tcPr>
            <w:tcW w:w="1123"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p>
        </w:tc>
        <w:tc>
          <w:tcPr>
            <w:tcW w:w="1721" w:type="dxa"/>
            <w:tcBorders>
              <w:top w:val="single" w:color="auto" w:sz="4" w:space="0"/>
              <w:left w:val="single" w:color="auto" w:sz="4" w:space="0"/>
              <w:bottom w:val="single" w:color="auto" w:sz="4" w:space="0"/>
              <w:right w:val="single" w:color="auto" w:sz="4" w:space="0"/>
            </w:tcBorders>
            <w:vAlign w:val="center"/>
          </w:tcPr>
          <w:p>
            <w:pPr>
              <w:pStyle w:val="27"/>
              <w:spacing w:line="400" w:lineRule="exact"/>
              <w:rPr>
                <w:rFonts w:ascii="仿宋" w:hAnsi="仿宋" w:eastAsia="仿宋" w:cs="仿宋"/>
                <w:color w:val="1C1C1C"/>
                <w:sz w:val="28"/>
                <w:szCs w:val="22"/>
              </w:rPr>
            </w:pPr>
          </w:p>
        </w:tc>
      </w:tr>
    </w:tbl>
    <w:p>
      <w:pPr>
        <w:rPr>
          <w:color w:val="1C1C1C"/>
        </w:rPr>
      </w:pPr>
    </w:p>
    <w:p>
      <w:pPr>
        <w:pStyle w:val="4"/>
        <w:ind w:firstLine="640"/>
        <w:rPr>
          <w:rFonts w:ascii="仿宋" w:hAnsi="仿宋" w:eastAsia="仿宋" w:cs="仿宋"/>
          <w:color w:val="1C1C1C"/>
          <w:sz w:val="32"/>
          <w:szCs w:val="32"/>
        </w:rPr>
      </w:pPr>
      <w:bookmarkStart w:id="48" w:name="_Toc33719406"/>
      <w:bookmarkStart w:id="49" w:name="_Toc62721767"/>
      <w:bookmarkStart w:id="50" w:name="_Toc25079"/>
      <w:r>
        <w:rPr>
          <w:rFonts w:hint="eastAsia" w:ascii="仿宋" w:hAnsi="仿宋" w:eastAsia="仿宋" w:cs="仿宋"/>
          <w:color w:val="1C1C1C"/>
          <w:sz w:val="32"/>
          <w:szCs w:val="32"/>
        </w:rPr>
        <w:t>（五）基于三大地理地区分类的各城市得分</w:t>
      </w:r>
      <w:bookmarkEnd w:id="48"/>
      <w:bookmarkEnd w:id="49"/>
      <w:bookmarkEnd w:id="50"/>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42个东部地区城市中，消费者满意度得分在80分以上的有26个。其中，排名靠前的3个城市依次为：苏州市、青岛市、杭州市；排名靠后的3个城市依次为：唐山市、海口市、三亚市。</w:t>
      </w:r>
    </w:p>
    <w:p>
      <w:pPr>
        <w:jc w:val="center"/>
        <w:rPr>
          <w:rFonts w:ascii="黑体" w:hAnsi="黑体" w:eastAsia="黑体"/>
          <w:color w:val="1C1C1C"/>
          <w:sz w:val="28"/>
          <w:szCs w:val="32"/>
        </w:rPr>
      </w:pPr>
      <w:r>
        <w:rPr>
          <w:rFonts w:hint="eastAsia" w:ascii="黑体" w:hAnsi="黑体" w:eastAsia="黑体"/>
          <w:color w:val="1C1C1C"/>
          <w:sz w:val="28"/>
          <w:szCs w:val="32"/>
        </w:rPr>
        <w:t>表19</w:t>
      </w:r>
      <w:r>
        <w:rPr>
          <w:rFonts w:ascii="黑体" w:hAnsi="黑体" w:eastAsia="黑体"/>
          <w:color w:val="1C1C1C"/>
          <w:sz w:val="28"/>
          <w:szCs w:val="32"/>
        </w:rPr>
        <w:t xml:space="preserve"> </w:t>
      </w:r>
      <w:r>
        <w:rPr>
          <w:rFonts w:hint="eastAsia" w:ascii="黑体" w:hAnsi="黑体" w:eastAsia="黑体"/>
          <w:color w:val="1C1C1C"/>
          <w:sz w:val="28"/>
          <w:szCs w:val="32"/>
        </w:rPr>
        <w:t>东部地区城市消费者满意度得分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653"/>
        <w:gridCol w:w="1441"/>
        <w:gridCol w:w="1232"/>
        <w:gridCol w:w="2076"/>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33"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653"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441"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232"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2076"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439"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苏州市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91.81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22</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济宁市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青岛市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90.40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23</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绍兴市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杭州市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89.74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24</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温州市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烟台市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89.17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25</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台州市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南京市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88.85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26</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沈阳市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佛山市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88.15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27</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徐州市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无锡市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88.13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28</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淄博市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厦门市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84.45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29</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济南市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北京市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84.42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30</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东莞市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宁波市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83.02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31</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临沂市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深圳市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82.86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32</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石家庄市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潍坊市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82.78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33</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福州市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天津市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82.74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34</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邯郸市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常州市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82.71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35</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儋州市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上海市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82.13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36</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大连市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盐城市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81.97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37</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汕头市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广州市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81.89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38</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鞍山市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泉州市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81.69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39</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保定市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金华市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81.61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40</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唐山市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南通市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81.57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41</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海口市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21</w:t>
            </w:r>
          </w:p>
        </w:tc>
        <w:tc>
          <w:tcPr>
            <w:tcW w:w="165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嘉兴市</w:t>
            </w:r>
          </w:p>
        </w:tc>
        <w:tc>
          <w:tcPr>
            <w:tcW w:w="14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80.95 </w:t>
            </w:r>
          </w:p>
        </w:tc>
        <w:tc>
          <w:tcPr>
            <w:tcW w:w="123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42</w:t>
            </w:r>
          </w:p>
        </w:tc>
        <w:tc>
          <w:tcPr>
            <w:tcW w:w="2076"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三亚市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71.52 </w:t>
            </w: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24个中部地区城市中，消费者满意度得分在80分以上的有4个。其中，排名靠前的3个城市依次为：宜昌市、洛阳市、襄阳市；排名靠后的3个城市依次为：运城市、吉林市、衡阳市。</w:t>
      </w:r>
    </w:p>
    <w:p>
      <w:pPr>
        <w:jc w:val="center"/>
        <w:rPr>
          <w:rFonts w:ascii="黑体" w:hAnsi="黑体" w:eastAsia="黑体"/>
          <w:color w:val="1C1C1C"/>
          <w:sz w:val="28"/>
          <w:szCs w:val="32"/>
        </w:rPr>
      </w:pPr>
      <w:r>
        <w:rPr>
          <w:rFonts w:hint="eastAsia" w:ascii="黑体" w:hAnsi="黑体" w:eastAsia="黑体"/>
          <w:color w:val="1C1C1C"/>
          <w:sz w:val="28"/>
          <w:szCs w:val="32"/>
        </w:rPr>
        <w:t>表20 中部地区城市消费者满意度得分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096"/>
        <w:gridCol w:w="1437"/>
        <w:gridCol w:w="1218"/>
        <w:gridCol w:w="1656"/>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shd w:val="clear" w:color="auto" w:fill="4472C4" w:themeFill="accent5"/>
            <w:noWrap/>
            <w:vAlign w:val="center"/>
          </w:tcPr>
          <w:p>
            <w:pPr>
              <w:pStyle w:val="27"/>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2096" w:type="dxa"/>
            <w:tcBorders>
              <w:top w:val="single" w:color="auto" w:sz="4" w:space="0"/>
              <w:left w:val="single" w:color="auto" w:sz="4" w:space="0"/>
              <w:bottom w:val="single" w:color="auto" w:sz="4" w:space="0"/>
              <w:right w:val="single" w:color="auto" w:sz="4" w:space="0"/>
            </w:tcBorders>
            <w:shd w:val="clear" w:color="auto" w:fill="4472C4" w:themeFill="accent5"/>
            <w:noWrap/>
            <w:vAlign w:val="center"/>
          </w:tcPr>
          <w:p>
            <w:pPr>
              <w:pStyle w:val="27"/>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437" w:type="dxa"/>
            <w:tcBorders>
              <w:top w:val="single" w:color="auto" w:sz="4" w:space="0"/>
              <w:left w:val="single" w:color="auto" w:sz="4" w:space="0"/>
              <w:bottom w:val="single" w:color="auto" w:sz="4" w:space="0"/>
              <w:right w:val="single" w:color="auto" w:sz="4" w:space="0"/>
            </w:tcBorders>
            <w:shd w:val="clear" w:color="auto" w:fill="4472C4" w:themeFill="accent5"/>
            <w:noWrap/>
            <w:vAlign w:val="center"/>
          </w:tcPr>
          <w:p>
            <w:pPr>
              <w:pStyle w:val="27"/>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218" w:type="dxa"/>
            <w:tcBorders>
              <w:top w:val="single" w:color="auto" w:sz="4" w:space="0"/>
              <w:left w:val="single" w:color="auto" w:sz="4" w:space="0"/>
              <w:bottom w:val="single" w:color="auto" w:sz="4" w:space="0"/>
              <w:right w:val="single" w:color="auto" w:sz="4" w:space="0"/>
            </w:tcBorders>
            <w:shd w:val="clear" w:color="auto" w:fill="4472C4" w:themeFill="accent5"/>
            <w:noWrap/>
            <w:vAlign w:val="center"/>
          </w:tcPr>
          <w:p>
            <w:pPr>
              <w:pStyle w:val="27"/>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656" w:type="dxa"/>
            <w:tcBorders>
              <w:top w:val="single" w:color="auto" w:sz="4" w:space="0"/>
              <w:left w:val="single" w:color="auto" w:sz="4" w:space="0"/>
              <w:bottom w:val="single" w:color="auto" w:sz="4" w:space="0"/>
              <w:right w:val="single" w:color="auto" w:sz="4" w:space="0"/>
            </w:tcBorders>
            <w:shd w:val="clear" w:color="auto" w:fill="4472C4" w:themeFill="accent5"/>
            <w:noWrap/>
            <w:vAlign w:val="center"/>
          </w:tcPr>
          <w:p>
            <w:pPr>
              <w:pStyle w:val="27"/>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435" w:type="dxa"/>
            <w:tcBorders>
              <w:top w:val="single" w:color="auto" w:sz="4" w:space="0"/>
              <w:left w:val="single" w:color="auto" w:sz="4" w:space="0"/>
              <w:bottom w:val="single" w:color="auto" w:sz="4" w:space="0"/>
              <w:right w:val="single" w:color="auto" w:sz="4" w:space="0"/>
            </w:tcBorders>
            <w:shd w:val="clear" w:color="auto" w:fill="4472C4" w:themeFill="accent5"/>
            <w:noWrap/>
            <w:vAlign w:val="center"/>
          </w:tcPr>
          <w:p>
            <w:pPr>
              <w:pStyle w:val="27"/>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宜昌市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83.54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上饶市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洛阳市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81.41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赣州市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襄阳市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81.40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大庆市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武汉市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80.03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合肥市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哈尔滨市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79.60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南阳市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岳阳市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78.46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长沙市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长春市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78.43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阜阳市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芜湖市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78.22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郑州市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太原市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77.38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21</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松原市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大同市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76.95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22</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运城市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71.96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南昌市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76.92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23</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吉林市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209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齐齐哈尔市</w:t>
            </w:r>
          </w:p>
        </w:tc>
        <w:tc>
          <w:tcPr>
            <w:tcW w:w="1437"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76.76 </w:t>
            </w:r>
          </w:p>
        </w:tc>
        <w:tc>
          <w:tcPr>
            <w:tcW w:w="1218" w:type="dxa"/>
            <w:tcBorders>
              <w:top w:val="single" w:color="auto" w:sz="4" w:space="0"/>
              <w:left w:val="single" w:color="auto" w:sz="4" w:space="0"/>
              <w:bottom w:val="single" w:color="auto" w:sz="4" w:space="0"/>
              <w:right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24</w:t>
            </w:r>
          </w:p>
        </w:tc>
        <w:tc>
          <w:tcPr>
            <w:tcW w:w="1656" w:type="dxa"/>
            <w:tcBorders>
              <w:top w:val="single" w:color="auto" w:sz="4" w:space="0"/>
              <w:left w:val="single" w:color="auto" w:sz="4" w:space="0"/>
              <w:bottom w:val="single" w:color="auto" w:sz="4" w:space="0"/>
              <w:right w:val="single" w:color="auto" w:sz="4" w:space="0"/>
            </w:tcBorders>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衡阳市</w:t>
            </w:r>
          </w:p>
        </w:tc>
        <w:tc>
          <w:tcPr>
            <w:tcW w:w="1435" w:type="dxa"/>
            <w:tcBorders>
              <w:top w:val="single" w:color="auto" w:sz="4" w:space="0"/>
              <w:left w:val="single" w:color="auto" w:sz="4" w:space="0"/>
              <w:bottom w:val="single" w:color="auto" w:sz="4" w:space="0"/>
              <w:right w:val="single" w:color="auto" w:sz="4" w:space="0"/>
            </w:tcBorders>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70.19 </w:t>
            </w: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34个西部地区城市中，消费者满意度得分在80分以上的有3个。其中，排名靠前的3个城市依次为：南宁市、成都市、吴忠市；排名靠后的3个城市依次为：宝鸡市、呼和浩特市、庆阳市。</w:t>
      </w:r>
    </w:p>
    <w:p>
      <w:pPr>
        <w:jc w:val="center"/>
        <w:rPr>
          <w:rFonts w:ascii="黑体" w:hAnsi="黑体" w:eastAsia="黑体"/>
          <w:color w:val="1C1C1C"/>
          <w:sz w:val="28"/>
          <w:szCs w:val="32"/>
        </w:rPr>
      </w:pPr>
      <w:r>
        <w:rPr>
          <w:rFonts w:hint="eastAsia" w:ascii="黑体" w:hAnsi="黑体" w:eastAsia="黑体"/>
          <w:color w:val="1C1C1C"/>
          <w:sz w:val="28"/>
          <w:szCs w:val="32"/>
        </w:rPr>
        <w:t>表21 西部地区城市消费者满意度得分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284"/>
        <w:gridCol w:w="1316"/>
        <w:gridCol w:w="1125"/>
        <w:gridCol w:w="1895"/>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24"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2284"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316"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125"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895"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316"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南宁市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82.73</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海西蒙古族藏族自治州</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成都市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82.11</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重庆市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吴忠市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80.64</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鄂尔多斯市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贵阳市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78.82</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21</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玉溪市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遵义市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78.36</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22</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西安市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银川市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78.19</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23</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石嘴山市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毕节市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78.13</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24</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海东市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克拉玛依市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77.89</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25</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曲靖市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日喀则市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77.82</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26</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绵阳市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山南市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77.72</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27</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桂林市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渭南市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77.41</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28</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乌鲁木齐市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昆明市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77.37</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29</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哈密市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西宁市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77.02</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30</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柳州市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拉萨市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76.88</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31</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兰州市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南充市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76.59</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32</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宝鸡市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天水市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76.38</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33</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呼和浩特市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228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包头市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76.24</w:t>
            </w:r>
          </w:p>
        </w:tc>
        <w:tc>
          <w:tcPr>
            <w:tcW w:w="112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34</w:t>
            </w:r>
          </w:p>
        </w:tc>
        <w:tc>
          <w:tcPr>
            <w:tcW w:w="1895"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庆阳市</w:t>
            </w:r>
          </w:p>
        </w:tc>
        <w:tc>
          <w:tcPr>
            <w:tcW w:w="131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70.81</w:t>
            </w:r>
          </w:p>
        </w:tc>
      </w:tr>
    </w:tbl>
    <w:p>
      <w:bookmarkStart w:id="51" w:name="_Toc62721768"/>
      <w:bookmarkStart w:id="52" w:name="_Toc33719407"/>
    </w:p>
    <w:p>
      <w:pPr>
        <w:pStyle w:val="4"/>
        <w:ind w:firstLine="640"/>
        <w:rPr>
          <w:rFonts w:ascii="仿宋" w:hAnsi="仿宋" w:eastAsia="仿宋" w:cs="仿宋"/>
          <w:color w:val="1C1C1C"/>
          <w:sz w:val="32"/>
          <w:szCs w:val="32"/>
        </w:rPr>
      </w:pPr>
      <w:bookmarkStart w:id="53" w:name="_Toc32456"/>
      <w:r>
        <w:rPr>
          <w:rFonts w:hint="eastAsia" w:ascii="仿宋" w:hAnsi="仿宋" w:eastAsia="仿宋" w:cs="仿宋"/>
          <w:color w:val="1C1C1C"/>
          <w:sz w:val="32"/>
          <w:szCs w:val="32"/>
        </w:rPr>
        <w:t>（六）基于七大地理地区分类的各城市得分</w:t>
      </w:r>
      <w:bookmarkEnd w:id="51"/>
      <w:bookmarkEnd w:id="52"/>
      <w:bookmarkEnd w:id="53"/>
    </w:p>
    <w:p>
      <w:pPr>
        <w:spacing w:line="560" w:lineRule="exact"/>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31个华东区域城市中，有20个城市的消费者满意度得分超过80分。其中，排名靠前的3个城市依次为：苏州市、青岛市、杭州市；排名靠后的3个城市依次为：福州市、合肥市、阜阳市。</w:t>
      </w:r>
    </w:p>
    <w:p>
      <w:pPr>
        <w:jc w:val="center"/>
        <w:rPr>
          <w:rFonts w:ascii="黑体" w:hAnsi="黑体" w:eastAsia="黑体"/>
          <w:color w:val="1C1C1C"/>
          <w:sz w:val="28"/>
          <w:szCs w:val="32"/>
        </w:rPr>
      </w:pPr>
      <w:r>
        <w:rPr>
          <w:rFonts w:hint="eastAsia" w:ascii="黑体" w:hAnsi="黑体" w:eastAsia="黑体"/>
          <w:color w:val="1C1C1C"/>
          <w:sz w:val="28"/>
          <w:szCs w:val="32"/>
        </w:rPr>
        <w:t>表22 华东城市消费者满意度得分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731"/>
        <w:gridCol w:w="1509"/>
        <w:gridCol w:w="1290"/>
        <w:gridCol w:w="1730"/>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91"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731"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509"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290"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730"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509"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苏州市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91.81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济宁市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青岛市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90.40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绍兴市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杭州市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89.74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温州市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烟台市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89.17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台州市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南京市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88.85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21</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徐州市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无锡市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88.13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22</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淄博市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厦门市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84.45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23</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济南市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宁波市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83.02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24</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临沂市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潍坊市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82.78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25</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芜湖市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常州市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82.71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26</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南昌市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上海市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82.13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27</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上饶市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盐城市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81.97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28</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赣州市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泉州市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81.69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29</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福州市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金华市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81.61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30</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合肥市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南通市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81.57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31</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阜阳市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嘉兴市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80.95 </w:t>
            </w:r>
          </w:p>
        </w:tc>
        <w:tc>
          <w:tcPr>
            <w:tcW w:w="1290" w:type="dxa"/>
            <w:noWrap/>
            <w:vAlign w:val="center"/>
          </w:tcPr>
          <w:p>
            <w:pPr>
              <w:pStyle w:val="27"/>
              <w:spacing w:line="400" w:lineRule="exact"/>
              <w:rPr>
                <w:rFonts w:ascii="仿宋" w:hAnsi="仿宋" w:eastAsia="仿宋" w:cs="仿宋"/>
                <w:color w:val="1C1C1C"/>
                <w:sz w:val="28"/>
                <w:szCs w:val="22"/>
              </w:rPr>
            </w:pPr>
          </w:p>
        </w:tc>
        <w:tc>
          <w:tcPr>
            <w:tcW w:w="1730" w:type="dxa"/>
            <w:noWrap/>
            <w:vAlign w:val="center"/>
          </w:tcPr>
          <w:p>
            <w:pPr>
              <w:pStyle w:val="27"/>
              <w:spacing w:line="400" w:lineRule="exact"/>
              <w:rPr>
                <w:rFonts w:ascii="仿宋" w:hAnsi="仿宋" w:eastAsia="仿宋" w:cs="仿宋"/>
                <w:color w:val="1C1C1C"/>
                <w:sz w:val="28"/>
                <w:szCs w:val="18"/>
              </w:rPr>
            </w:pPr>
          </w:p>
        </w:tc>
        <w:tc>
          <w:tcPr>
            <w:tcW w:w="1509" w:type="dxa"/>
            <w:noWrap/>
            <w:vAlign w:val="center"/>
          </w:tcPr>
          <w:p>
            <w:pPr>
              <w:pStyle w:val="27"/>
              <w:spacing w:line="400" w:lineRule="exact"/>
              <w:rPr>
                <w:rFonts w:ascii="仿宋" w:hAnsi="仿宋" w:eastAsia="仿宋" w:cs="仿宋"/>
                <w:color w:val="1C1C1C"/>
                <w:sz w:val="28"/>
                <w:szCs w:val="18"/>
              </w:rPr>
            </w:pP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12个华北区域城市中，北京、天津2个城市满意度得分超过80分；排名靠前的3个城市依次为：北京市、天津市、太原市；排名靠后的3个城市依次为：唐山市、运城市、呼和浩特市。</w:t>
      </w:r>
    </w:p>
    <w:p>
      <w:pPr>
        <w:jc w:val="center"/>
        <w:rPr>
          <w:rFonts w:ascii="黑体" w:hAnsi="黑体" w:eastAsia="黑体"/>
          <w:color w:val="1C1C1C"/>
          <w:sz w:val="28"/>
          <w:szCs w:val="32"/>
        </w:rPr>
      </w:pPr>
      <w:r>
        <w:rPr>
          <w:rFonts w:hint="eastAsia" w:ascii="黑体" w:hAnsi="黑体" w:eastAsia="黑体"/>
          <w:color w:val="1C1C1C"/>
          <w:sz w:val="28"/>
          <w:szCs w:val="32"/>
        </w:rPr>
        <w:t>表23 华北城市消费者满意度得分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908"/>
        <w:gridCol w:w="1041"/>
        <w:gridCol w:w="1176"/>
        <w:gridCol w:w="2385"/>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177"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908"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041"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176"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2385"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373"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908"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北京市</w:t>
            </w:r>
          </w:p>
        </w:tc>
        <w:tc>
          <w:tcPr>
            <w:tcW w:w="10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84.42 </w:t>
            </w:r>
          </w:p>
        </w:tc>
        <w:tc>
          <w:tcPr>
            <w:tcW w:w="117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2385"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邯郸市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908"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天津市</w:t>
            </w:r>
          </w:p>
        </w:tc>
        <w:tc>
          <w:tcPr>
            <w:tcW w:w="10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82.74 </w:t>
            </w:r>
          </w:p>
        </w:tc>
        <w:tc>
          <w:tcPr>
            <w:tcW w:w="117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2385"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鄂尔多斯市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908"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太原市</w:t>
            </w:r>
          </w:p>
        </w:tc>
        <w:tc>
          <w:tcPr>
            <w:tcW w:w="10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77.38 </w:t>
            </w:r>
          </w:p>
        </w:tc>
        <w:tc>
          <w:tcPr>
            <w:tcW w:w="117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2385"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保定市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908"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大同市</w:t>
            </w:r>
          </w:p>
        </w:tc>
        <w:tc>
          <w:tcPr>
            <w:tcW w:w="10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76.95 </w:t>
            </w:r>
          </w:p>
        </w:tc>
        <w:tc>
          <w:tcPr>
            <w:tcW w:w="117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2385"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唐山市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908"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石家庄市</w:t>
            </w:r>
          </w:p>
        </w:tc>
        <w:tc>
          <w:tcPr>
            <w:tcW w:w="10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76.25 </w:t>
            </w:r>
          </w:p>
        </w:tc>
        <w:tc>
          <w:tcPr>
            <w:tcW w:w="117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2385"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运城市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71.96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908"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包头市</w:t>
            </w:r>
          </w:p>
        </w:tc>
        <w:tc>
          <w:tcPr>
            <w:tcW w:w="1041"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76.24 </w:t>
            </w:r>
          </w:p>
        </w:tc>
        <w:tc>
          <w:tcPr>
            <w:tcW w:w="1176"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2385"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呼和浩特市</w:t>
            </w:r>
          </w:p>
        </w:tc>
        <w:tc>
          <w:tcPr>
            <w:tcW w:w="1373"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71.35 </w:t>
            </w: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11个华南</w:t>
      </w:r>
      <w:r>
        <w:rPr>
          <w:rFonts w:hint="eastAsia" w:ascii="仿宋" w:hAnsi="仿宋" w:eastAsia="仿宋" w:cs="仿宋"/>
          <w:color w:val="1C1C1C"/>
          <w:spacing w:val="8"/>
          <w:sz w:val="32"/>
          <w:szCs w:val="32"/>
        </w:rPr>
        <w:t>区域城市中，佛山、深圳、南宁、广州4个城市排在前4名，满意度得分均超过80分；</w:t>
      </w:r>
      <w:r>
        <w:rPr>
          <w:rFonts w:hint="eastAsia" w:ascii="仿宋" w:hAnsi="仿宋" w:eastAsia="仿宋" w:cs="仿宋"/>
          <w:color w:val="1C1C1C"/>
          <w:sz w:val="32"/>
          <w:szCs w:val="32"/>
        </w:rPr>
        <w:t>排名靠后的3个城市依次为：桂林市、柳州市、三亚市。</w:t>
      </w:r>
    </w:p>
    <w:p>
      <w:pPr>
        <w:jc w:val="center"/>
        <w:rPr>
          <w:rFonts w:ascii="黑体" w:hAnsi="黑体" w:eastAsia="黑体"/>
          <w:color w:val="1C1C1C"/>
          <w:sz w:val="28"/>
          <w:szCs w:val="32"/>
        </w:rPr>
      </w:pPr>
      <w:r>
        <w:rPr>
          <w:rFonts w:hint="eastAsia" w:ascii="黑体" w:hAnsi="黑体" w:eastAsia="黑体"/>
          <w:color w:val="1C1C1C"/>
          <w:sz w:val="28"/>
          <w:szCs w:val="32"/>
        </w:rPr>
        <w:t>表24 华南城市消费者满意度得分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731"/>
        <w:gridCol w:w="1509"/>
        <w:gridCol w:w="1290"/>
        <w:gridCol w:w="1730"/>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731"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509"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290"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730"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509"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佛山市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88.15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汕头市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深圳市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82.86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海口市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南宁市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82.73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桂林市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广州市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81.89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柳州市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72.10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东莞市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78.89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三亚市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71.52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儋州市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75.48 </w:t>
            </w:r>
          </w:p>
        </w:tc>
        <w:tc>
          <w:tcPr>
            <w:tcW w:w="1290" w:type="dxa"/>
            <w:noWrap/>
            <w:vAlign w:val="center"/>
          </w:tcPr>
          <w:p>
            <w:pPr>
              <w:pStyle w:val="27"/>
              <w:spacing w:line="400" w:lineRule="exact"/>
              <w:rPr>
                <w:rFonts w:ascii="仿宋" w:hAnsi="仿宋" w:eastAsia="仿宋" w:cs="仿宋"/>
                <w:color w:val="1C1C1C"/>
                <w:sz w:val="28"/>
                <w:szCs w:val="22"/>
              </w:rPr>
            </w:pPr>
          </w:p>
        </w:tc>
        <w:tc>
          <w:tcPr>
            <w:tcW w:w="1730" w:type="dxa"/>
            <w:noWrap/>
            <w:vAlign w:val="center"/>
          </w:tcPr>
          <w:p>
            <w:pPr>
              <w:pStyle w:val="27"/>
              <w:spacing w:line="400" w:lineRule="exact"/>
              <w:rPr>
                <w:rFonts w:ascii="仿宋" w:hAnsi="仿宋" w:eastAsia="仿宋" w:cs="仿宋"/>
                <w:color w:val="1C1C1C"/>
                <w:sz w:val="28"/>
                <w:szCs w:val="18"/>
              </w:rPr>
            </w:pPr>
          </w:p>
        </w:tc>
        <w:tc>
          <w:tcPr>
            <w:tcW w:w="1509" w:type="dxa"/>
            <w:noWrap/>
            <w:vAlign w:val="center"/>
          </w:tcPr>
          <w:p>
            <w:pPr>
              <w:pStyle w:val="27"/>
              <w:spacing w:line="400" w:lineRule="exact"/>
              <w:rPr>
                <w:rFonts w:ascii="仿宋" w:hAnsi="仿宋" w:eastAsia="仿宋" w:cs="仿宋"/>
                <w:color w:val="1C1C1C"/>
                <w:sz w:val="28"/>
                <w:szCs w:val="18"/>
              </w:rPr>
            </w:pP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9个华中区域城市中，</w:t>
      </w:r>
      <w:r>
        <w:rPr>
          <w:rFonts w:hint="eastAsia" w:ascii="仿宋" w:hAnsi="仿宋" w:eastAsia="仿宋" w:cs="仿宋"/>
          <w:color w:val="1C1C1C"/>
          <w:spacing w:val="8"/>
          <w:sz w:val="32"/>
          <w:szCs w:val="32"/>
        </w:rPr>
        <w:t>宜昌、洛阳、襄阳、武汉个城市排在前4名，满意度得分均超过80分；</w:t>
      </w:r>
      <w:r>
        <w:rPr>
          <w:rFonts w:hint="eastAsia" w:ascii="仿宋" w:hAnsi="仿宋" w:eastAsia="仿宋" w:cs="仿宋"/>
          <w:color w:val="1C1C1C"/>
          <w:sz w:val="32"/>
          <w:szCs w:val="32"/>
        </w:rPr>
        <w:t>排名靠后的3个城市依次为：长沙市、郑州市、衡阳市。</w:t>
      </w:r>
    </w:p>
    <w:p>
      <w:pPr>
        <w:jc w:val="center"/>
        <w:rPr>
          <w:rFonts w:ascii="黑体" w:hAnsi="黑体" w:eastAsia="黑体"/>
          <w:color w:val="1C1C1C"/>
          <w:sz w:val="28"/>
          <w:szCs w:val="32"/>
        </w:rPr>
      </w:pPr>
      <w:r>
        <w:rPr>
          <w:rFonts w:hint="eastAsia" w:ascii="黑体" w:hAnsi="黑体" w:eastAsia="黑体"/>
          <w:color w:val="1C1C1C"/>
          <w:sz w:val="28"/>
          <w:szCs w:val="32"/>
        </w:rPr>
        <w:t>表25 华中城市消费者满意度得分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731"/>
        <w:gridCol w:w="1509"/>
        <w:gridCol w:w="1290"/>
        <w:gridCol w:w="1730"/>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731"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509"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290"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730"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509"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宜昌市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83.54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南阳市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洛阳市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81.41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长沙市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襄阳市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81.40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郑州市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武汉市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80.03 </w:t>
            </w:r>
          </w:p>
        </w:tc>
        <w:tc>
          <w:tcPr>
            <w:tcW w:w="129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1730"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衡阳市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7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岳阳市</w:t>
            </w:r>
          </w:p>
        </w:tc>
        <w:tc>
          <w:tcPr>
            <w:tcW w:w="150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78.46 </w:t>
            </w:r>
          </w:p>
        </w:tc>
        <w:tc>
          <w:tcPr>
            <w:tcW w:w="1290" w:type="dxa"/>
            <w:noWrap/>
            <w:vAlign w:val="center"/>
          </w:tcPr>
          <w:p>
            <w:pPr>
              <w:pStyle w:val="27"/>
              <w:spacing w:line="400" w:lineRule="exact"/>
              <w:rPr>
                <w:rFonts w:ascii="仿宋" w:hAnsi="仿宋" w:eastAsia="仿宋" w:cs="仿宋"/>
                <w:color w:val="1C1C1C"/>
                <w:sz w:val="28"/>
                <w:szCs w:val="22"/>
              </w:rPr>
            </w:pPr>
          </w:p>
        </w:tc>
        <w:tc>
          <w:tcPr>
            <w:tcW w:w="1730" w:type="dxa"/>
            <w:noWrap/>
            <w:vAlign w:val="center"/>
          </w:tcPr>
          <w:p>
            <w:pPr>
              <w:pStyle w:val="27"/>
              <w:spacing w:line="400" w:lineRule="exact"/>
              <w:rPr>
                <w:rFonts w:ascii="仿宋" w:hAnsi="仿宋" w:eastAsia="仿宋" w:cs="仿宋"/>
                <w:color w:val="1C1C1C"/>
                <w:sz w:val="28"/>
                <w:szCs w:val="18"/>
              </w:rPr>
            </w:pPr>
          </w:p>
        </w:tc>
        <w:tc>
          <w:tcPr>
            <w:tcW w:w="1509" w:type="dxa"/>
            <w:noWrap/>
            <w:vAlign w:val="center"/>
          </w:tcPr>
          <w:p>
            <w:pPr>
              <w:pStyle w:val="27"/>
              <w:spacing w:line="400" w:lineRule="exact"/>
              <w:rPr>
                <w:rFonts w:ascii="仿宋" w:hAnsi="仿宋" w:eastAsia="仿宋" w:cs="仿宋"/>
                <w:color w:val="1C1C1C"/>
                <w:sz w:val="28"/>
                <w:szCs w:val="18"/>
              </w:rPr>
            </w:pP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9个东北区域城市中，排名靠前的3个城市依次为：沈阳市、哈尔滨市、长春市</w:t>
      </w:r>
      <w:r>
        <w:rPr>
          <w:rFonts w:hint="eastAsia" w:ascii="仿宋" w:hAnsi="仿宋" w:eastAsia="仿宋" w:cs="仿宋"/>
          <w:color w:val="1C1C1C"/>
          <w:spacing w:val="8"/>
          <w:sz w:val="32"/>
          <w:szCs w:val="32"/>
        </w:rPr>
        <w:t>；</w:t>
      </w:r>
      <w:r>
        <w:rPr>
          <w:rFonts w:hint="eastAsia" w:ascii="仿宋" w:hAnsi="仿宋" w:eastAsia="仿宋" w:cs="仿宋"/>
          <w:color w:val="1C1C1C"/>
          <w:sz w:val="32"/>
          <w:szCs w:val="32"/>
        </w:rPr>
        <w:t>排名靠后的3个城市依次为：鞍山市、松原市、吉林市。</w:t>
      </w:r>
    </w:p>
    <w:p>
      <w:pPr>
        <w:jc w:val="center"/>
        <w:rPr>
          <w:rFonts w:ascii="黑体" w:hAnsi="黑体" w:eastAsia="黑体"/>
          <w:color w:val="1C1C1C"/>
          <w:sz w:val="28"/>
          <w:szCs w:val="32"/>
        </w:rPr>
      </w:pPr>
      <w:r>
        <w:rPr>
          <w:rFonts w:hint="eastAsia" w:ascii="黑体" w:hAnsi="黑体" w:eastAsia="黑体"/>
          <w:color w:val="1C1C1C"/>
          <w:sz w:val="28"/>
          <w:szCs w:val="32"/>
        </w:rPr>
        <w:t>表26 东北城市消费者满意度得分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831"/>
        <w:gridCol w:w="1258"/>
        <w:gridCol w:w="1221"/>
        <w:gridCol w:w="2093"/>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1831"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258"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c>
          <w:tcPr>
            <w:tcW w:w="1221"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排名</w:t>
            </w:r>
          </w:p>
        </w:tc>
        <w:tc>
          <w:tcPr>
            <w:tcW w:w="2093" w:type="dxa"/>
            <w:shd w:val="clear" w:color="auto" w:fill="4472C4" w:themeFill="accent5"/>
            <w:noWrap/>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城市</w:t>
            </w:r>
          </w:p>
        </w:tc>
        <w:tc>
          <w:tcPr>
            <w:tcW w:w="1435" w:type="dxa"/>
            <w:shd w:val="clear" w:color="auto" w:fill="4472C4" w:themeFill="accent5"/>
            <w:vAlign w:val="center"/>
          </w:tcPr>
          <w:p>
            <w:pPr>
              <w:pStyle w:val="27"/>
              <w:spacing w:line="400" w:lineRule="exact"/>
              <w:rPr>
                <w:rFonts w:ascii="黑体" w:hAnsi="黑体" w:eastAsia="黑体" w:cs="黑体"/>
                <w:bCs w:val="0"/>
                <w:color w:val="1C1C1C"/>
                <w:sz w:val="28"/>
                <w:szCs w:val="22"/>
              </w:rPr>
            </w:pPr>
            <w:r>
              <w:rPr>
                <w:rFonts w:hint="eastAsia" w:ascii="黑体" w:hAnsi="黑体" w:eastAsia="黑体" w:cs="黑体"/>
                <w:bCs w:val="0"/>
                <w:color w:val="1C1C1C"/>
                <w:sz w:val="28"/>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8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沈阳市</w:t>
            </w:r>
          </w:p>
        </w:tc>
        <w:tc>
          <w:tcPr>
            <w:tcW w:w="125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80.02 </w:t>
            </w:r>
          </w:p>
        </w:tc>
        <w:tc>
          <w:tcPr>
            <w:tcW w:w="122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209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大连市</w:t>
            </w:r>
          </w:p>
        </w:tc>
        <w:tc>
          <w:tcPr>
            <w:tcW w:w="1435"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8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哈尔滨市</w:t>
            </w:r>
          </w:p>
        </w:tc>
        <w:tc>
          <w:tcPr>
            <w:tcW w:w="125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79.60 </w:t>
            </w:r>
          </w:p>
        </w:tc>
        <w:tc>
          <w:tcPr>
            <w:tcW w:w="122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209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鞍山市</w:t>
            </w:r>
          </w:p>
        </w:tc>
        <w:tc>
          <w:tcPr>
            <w:tcW w:w="1435"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8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长春市</w:t>
            </w:r>
          </w:p>
        </w:tc>
        <w:tc>
          <w:tcPr>
            <w:tcW w:w="125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78.43 </w:t>
            </w:r>
          </w:p>
        </w:tc>
        <w:tc>
          <w:tcPr>
            <w:tcW w:w="122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209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松原市</w:t>
            </w:r>
          </w:p>
        </w:tc>
        <w:tc>
          <w:tcPr>
            <w:tcW w:w="1435"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8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齐齐哈尔市</w:t>
            </w:r>
          </w:p>
        </w:tc>
        <w:tc>
          <w:tcPr>
            <w:tcW w:w="125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76.76 </w:t>
            </w:r>
          </w:p>
        </w:tc>
        <w:tc>
          <w:tcPr>
            <w:tcW w:w="1221"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209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吉林市</w:t>
            </w:r>
          </w:p>
        </w:tc>
        <w:tc>
          <w:tcPr>
            <w:tcW w:w="1435"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83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大庆市</w:t>
            </w:r>
          </w:p>
        </w:tc>
        <w:tc>
          <w:tcPr>
            <w:tcW w:w="1258"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76.24 </w:t>
            </w:r>
          </w:p>
        </w:tc>
        <w:tc>
          <w:tcPr>
            <w:tcW w:w="1221" w:type="dxa"/>
            <w:noWrap/>
            <w:vAlign w:val="center"/>
          </w:tcPr>
          <w:p>
            <w:pPr>
              <w:pStyle w:val="27"/>
              <w:spacing w:line="400" w:lineRule="exact"/>
              <w:rPr>
                <w:rFonts w:ascii="仿宋" w:hAnsi="仿宋" w:eastAsia="仿宋" w:cs="仿宋"/>
                <w:color w:val="1C1C1C"/>
                <w:sz w:val="28"/>
                <w:szCs w:val="22"/>
              </w:rPr>
            </w:pPr>
          </w:p>
        </w:tc>
        <w:tc>
          <w:tcPr>
            <w:tcW w:w="2093" w:type="dxa"/>
            <w:noWrap/>
            <w:vAlign w:val="center"/>
          </w:tcPr>
          <w:p>
            <w:pPr>
              <w:pStyle w:val="27"/>
              <w:spacing w:line="400" w:lineRule="exact"/>
              <w:rPr>
                <w:rFonts w:ascii="仿宋" w:hAnsi="仿宋" w:eastAsia="仿宋" w:cs="仿宋"/>
                <w:color w:val="1C1C1C"/>
                <w:sz w:val="28"/>
                <w:szCs w:val="18"/>
              </w:rPr>
            </w:pPr>
          </w:p>
        </w:tc>
        <w:tc>
          <w:tcPr>
            <w:tcW w:w="1435" w:type="dxa"/>
            <w:noWrap/>
            <w:vAlign w:val="center"/>
          </w:tcPr>
          <w:p>
            <w:pPr>
              <w:pStyle w:val="27"/>
              <w:spacing w:line="400" w:lineRule="exact"/>
              <w:rPr>
                <w:rFonts w:ascii="仿宋" w:hAnsi="仿宋" w:eastAsia="仿宋" w:cs="仿宋"/>
                <w:color w:val="1C1C1C"/>
                <w:sz w:val="28"/>
                <w:szCs w:val="18"/>
              </w:rPr>
            </w:pPr>
          </w:p>
        </w:tc>
      </w:tr>
    </w:tbl>
    <w:p>
      <w:pPr>
        <w:ind w:firstLine="640" w:firstLineChars="200"/>
        <w:jc w:val="both"/>
        <w:rPr>
          <w:rFonts w:ascii="黑体" w:hAnsi="黑体" w:eastAsia="黑体"/>
          <w:color w:val="1C1C1C"/>
          <w:sz w:val="28"/>
          <w:szCs w:val="32"/>
        </w:rPr>
      </w:pPr>
      <w:r>
        <w:rPr>
          <w:rFonts w:ascii="仿宋" w:hAnsi="仿宋" w:eastAsia="仿宋" w:cs="仿宋"/>
          <w:color w:val="1C1C1C"/>
          <w:sz w:val="32"/>
          <w:szCs w:val="32"/>
        </w:rPr>
        <w:t>1</w:t>
      </w:r>
      <w:r>
        <w:rPr>
          <w:rFonts w:hint="eastAsia" w:ascii="仿宋" w:hAnsi="仿宋" w:eastAsia="仿宋" w:cs="仿宋"/>
          <w:color w:val="1C1C1C"/>
          <w:sz w:val="32"/>
          <w:szCs w:val="32"/>
        </w:rPr>
        <w:t>5个西北区域城市中，排名靠前的3个城市依次为：吴忠市、银川市、克拉玛依市</w:t>
      </w:r>
      <w:r>
        <w:rPr>
          <w:rFonts w:hint="eastAsia" w:ascii="仿宋" w:hAnsi="仿宋" w:eastAsia="仿宋" w:cs="仿宋"/>
          <w:color w:val="1C1C1C"/>
          <w:spacing w:val="8"/>
          <w:sz w:val="32"/>
          <w:szCs w:val="32"/>
        </w:rPr>
        <w:t>；</w:t>
      </w:r>
      <w:r>
        <w:rPr>
          <w:rFonts w:hint="eastAsia" w:ascii="仿宋" w:hAnsi="仿宋" w:eastAsia="仿宋" w:cs="仿宋"/>
          <w:color w:val="1C1C1C"/>
          <w:sz w:val="32"/>
          <w:szCs w:val="32"/>
        </w:rPr>
        <w:t>排名靠后的3个城市依次为：兰州市、宝鸡市、庆阳市。</w:t>
      </w:r>
    </w:p>
    <w:p>
      <w:pPr>
        <w:jc w:val="center"/>
        <w:rPr>
          <w:rFonts w:ascii="黑体" w:hAnsi="黑体" w:eastAsia="黑体"/>
          <w:color w:val="1C1C1C"/>
          <w:sz w:val="28"/>
          <w:szCs w:val="32"/>
        </w:rPr>
      </w:pPr>
      <w:r>
        <w:rPr>
          <w:rFonts w:hint="eastAsia" w:ascii="黑体" w:hAnsi="黑体" w:eastAsia="黑体"/>
          <w:color w:val="1C1C1C"/>
          <w:sz w:val="28"/>
          <w:szCs w:val="32"/>
        </w:rPr>
        <w:t>表27 西北城市消费者满意度得分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799"/>
        <w:gridCol w:w="1134"/>
        <w:gridCol w:w="1417"/>
        <w:gridCol w:w="2334"/>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003"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排名</w:t>
            </w:r>
          </w:p>
        </w:tc>
        <w:tc>
          <w:tcPr>
            <w:tcW w:w="1799" w:type="dxa"/>
            <w:shd w:val="clear" w:color="auto" w:fill="4472C4" w:themeFill="accent5"/>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城市</w:t>
            </w:r>
          </w:p>
        </w:tc>
        <w:tc>
          <w:tcPr>
            <w:tcW w:w="1134"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得分</w:t>
            </w:r>
          </w:p>
        </w:tc>
        <w:tc>
          <w:tcPr>
            <w:tcW w:w="1417"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排名</w:t>
            </w:r>
          </w:p>
        </w:tc>
        <w:tc>
          <w:tcPr>
            <w:tcW w:w="2334" w:type="dxa"/>
            <w:shd w:val="clear" w:color="auto" w:fill="4472C4" w:themeFill="accent5"/>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城市</w:t>
            </w:r>
          </w:p>
        </w:tc>
        <w:tc>
          <w:tcPr>
            <w:tcW w:w="1373" w:type="dxa"/>
            <w:shd w:val="clear" w:color="auto" w:fill="4472C4" w:themeFill="accent5"/>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0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799"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吴忠市</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80.64</w:t>
            </w:r>
          </w:p>
        </w:tc>
        <w:tc>
          <w:tcPr>
            <w:tcW w:w="141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23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石嘴山市</w:t>
            </w:r>
          </w:p>
        </w:tc>
        <w:tc>
          <w:tcPr>
            <w:tcW w:w="13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03" w:type="dxa"/>
            <w:tcBorders>
              <w:bottom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799" w:type="dxa"/>
            <w:tcBorders>
              <w:bottom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银川市</w:t>
            </w:r>
          </w:p>
        </w:tc>
        <w:tc>
          <w:tcPr>
            <w:tcW w:w="1134" w:type="dxa"/>
            <w:tcBorders>
              <w:bottom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78.19</w:t>
            </w:r>
          </w:p>
        </w:tc>
        <w:tc>
          <w:tcPr>
            <w:tcW w:w="1417" w:type="dxa"/>
            <w:tcBorders>
              <w:bottom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2334" w:type="dxa"/>
            <w:tcBorders>
              <w:bottom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海东市</w:t>
            </w:r>
          </w:p>
        </w:tc>
        <w:tc>
          <w:tcPr>
            <w:tcW w:w="1373" w:type="dxa"/>
            <w:tcBorders>
              <w:bottom w:val="single" w:color="auto" w:sz="4" w:space="0"/>
            </w:tcBorders>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0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799"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克拉玛依市</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77.89</w:t>
            </w:r>
          </w:p>
        </w:tc>
        <w:tc>
          <w:tcPr>
            <w:tcW w:w="141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23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乌鲁木齐市</w:t>
            </w:r>
          </w:p>
        </w:tc>
        <w:tc>
          <w:tcPr>
            <w:tcW w:w="13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0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799"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渭南市</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77.41</w:t>
            </w:r>
          </w:p>
        </w:tc>
        <w:tc>
          <w:tcPr>
            <w:tcW w:w="141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23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哈密市</w:t>
            </w:r>
          </w:p>
        </w:tc>
        <w:tc>
          <w:tcPr>
            <w:tcW w:w="13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0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799"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西宁市</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77.02</w:t>
            </w:r>
          </w:p>
        </w:tc>
        <w:tc>
          <w:tcPr>
            <w:tcW w:w="141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23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兰州市</w:t>
            </w:r>
          </w:p>
        </w:tc>
        <w:tc>
          <w:tcPr>
            <w:tcW w:w="13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0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799"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天水市</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76.38</w:t>
            </w:r>
          </w:p>
        </w:tc>
        <w:tc>
          <w:tcPr>
            <w:tcW w:w="141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23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宝鸡市</w:t>
            </w:r>
          </w:p>
        </w:tc>
        <w:tc>
          <w:tcPr>
            <w:tcW w:w="13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0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799"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海西蒙古族藏族自治州</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76.18</w:t>
            </w:r>
          </w:p>
        </w:tc>
        <w:tc>
          <w:tcPr>
            <w:tcW w:w="1417"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23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庆阳市</w:t>
            </w:r>
          </w:p>
        </w:tc>
        <w:tc>
          <w:tcPr>
            <w:tcW w:w="137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03"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1799"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西安市</w:t>
            </w:r>
          </w:p>
        </w:tc>
        <w:tc>
          <w:tcPr>
            <w:tcW w:w="1134"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74.64</w:t>
            </w:r>
          </w:p>
        </w:tc>
        <w:tc>
          <w:tcPr>
            <w:tcW w:w="1417" w:type="dxa"/>
            <w:noWrap/>
            <w:vAlign w:val="center"/>
          </w:tcPr>
          <w:p>
            <w:pPr>
              <w:pStyle w:val="27"/>
              <w:spacing w:line="400" w:lineRule="exact"/>
              <w:rPr>
                <w:rFonts w:ascii="仿宋" w:hAnsi="仿宋" w:eastAsia="仿宋" w:cs="仿宋"/>
                <w:color w:val="1C1C1C"/>
                <w:sz w:val="28"/>
                <w:szCs w:val="22"/>
              </w:rPr>
            </w:pPr>
          </w:p>
        </w:tc>
        <w:tc>
          <w:tcPr>
            <w:tcW w:w="2334" w:type="dxa"/>
            <w:noWrap/>
            <w:vAlign w:val="center"/>
          </w:tcPr>
          <w:p>
            <w:pPr>
              <w:pStyle w:val="27"/>
              <w:spacing w:line="400" w:lineRule="exact"/>
              <w:rPr>
                <w:rFonts w:ascii="仿宋" w:hAnsi="仿宋" w:eastAsia="仿宋" w:cs="仿宋"/>
                <w:color w:val="1C1C1C"/>
                <w:sz w:val="28"/>
                <w:szCs w:val="18"/>
              </w:rPr>
            </w:pPr>
          </w:p>
        </w:tc>
        <w:tc>
          <w:tcPr>
            <w:tcW w:w="1373" w:type="dxa"/>
            <w:noWrap/>
            <w:vAlign w:val="center"/>
          </w:tcPr>
          <w:p>
            <w:pPr>
              <w:pStyle w:val="27"/>
              <w:spacing w:line="400" w:lineRule="exact"/>
              <w:rPr>
                <w:rFonts w:ascii="仿宋" w:hAnsi="仿宋" w:eastAsia="仿宋" w:cs="仿宋"/>
                <w:color w:val="1C1C1C"/>
                <w:sz w:val="28"/>
                <w:szCs w:val="18"/>
              </w:rPr>
            </w:pPr>
          </w:p>
        </w:tc>
      </w:tr>
    </w:tbl>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13个西南区域城市中，排名靠前的3个城市依次为：成都市、贵阳市、遵义市</w:t>
      </w:r>
      <w:r>
        <w:rPr>
          <w:rFonts w:hint="eastAsia" w:ascii="仿宋" w:hAnsi="仿宋" w:eastAsia="仿宋" w:cs="仿宋"/>
          <w:color w:val="1C1C1C"/>
          <w:spacing w:val="8"/>
          <w:sz w:val="32"/>
          <w:szCs w:val="32"/>
        </w:rPr>
        <w:t>；</w:t>
      </w:r>
      <w:r>
        <w:rPr>
          <w:rFonts w:hint="eastAsia" w:ascii="仿宋" w:hAnsi="仿宋" w:eastAsia="仿宋" w:cs="仿宋"/>
          <w:color w:val="1C1C1C"/>
          <w:sz w:val="32"/>
          <w:szCs w:val="32"/>
        </w:rPr>
        <w:t>排名靠后的3个城市依次为：玉溪市、曲靖市、绵阳市。</w:t>
      </w:r>
    </w:p>
    <w:p>
      <w:pPr>
        <w:jc w:val="center"/>
        <w:rPr>
          <w:rFonts w:ascii="黑体" w:hAnsi="黑体" w:eastAsia="黑体"/>
          <w:color w:val="1C1C1C"/>
          <w:sz w:val="28"/>
          <w:szCs w:val="32"/>
        </w:rPr>
      </w:pPr>
      <w:r>
        <w:rPr>
          <w:rFonts w:hint="eastAsia" w:ascii="黑体" w:hAnsi="黑体" w:eastAsia="黑体"/>
          <w:color w:val="1C1C1C"/>
          <w:sz w:val="28"/>
          <w:szCs w:val="32"/>
        </w:rPr>
        <w:t>表28 西南城市消费者满意度得分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651"/>
        <w:gridCol w:w="1439"/>
        <w:gridCol w:w="1230"/>
        <w:gridCol w:w="2073"/>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tblHeader/>
        </w:trPr>
        <w:tc>
          <w:tcPr>
            <w:tcW w:w="1230" w:type="dxa"/>
            <w:shd w:val="clear" w:color="auto" w:fill="4472C4" w:themeFill="accent5"/>
            <w:vAlign w:val="center"/>
          </w:tcPr>
          <w:p>
            <w:pPr>
              <w:pStyle w:val="27"/>
              <w:rPr>
                <w:rFonts w:ascii="仿宋" w:hAnsi="仿宋"/>
                <w:b/>
                <w:color w:val="1C1C1C"/>
                <w:sz w:val="28"/>
              </w:rPr>
            </w:pPr>
            <w:r>
              <w:rPr>
                <w:rFonts w:hint="eastAsia" w:ascii="黑体" w:hAnsi="黑体" w:eastAsia="黑体" w:cs="黑体"/>
                <w:bCs w:val="0"/>
                <w:color w:val="1C1C1C"/>
                <w:sz w:val="28"/>
                <w:szCs w:val="28"/>
              </w:rPr>
              <w:t>排名</w:t>
            </w:r>
          </w:p>
        </w:tc>
        <w:tc>
          <w:tcPr>
            <w:tcW w:w="1651" w:type="dxa"/>
            <w:shd w:val="clear" w:color="auto" w:fill="4472C4" w:themeFill="accent5"/>
            <w:noWrap/>
            <w:vAlign w:val="center"/>
          </w:tcPr>
          <w:p>
            <w:pPr>
              <w:pStyle w:val="27"/>
              <w:rPr>
                <w:rFonts w:ascii="仿宋" w:hAnsi="仿宋"/>
                <w:b/>
                <w:color w:val="1C1C1C"/>
                <w:sz w:val="28"/>
              </w:rPr>
            </w:pPr>
            <w:r>
              <w:rPr>
                <w:rFonts w:hint="eastAsia" w:ascii="黑体" w:hAnsi="黑体" w:eastAsia="黑体" w:cs="黑体"/>
                <w:bCs w:val="0"/>
                <w:color w:val="1C1C1C"/>
                <w:sz w:val="28"/>
                <w:szCs w:val="28"/>
              </w:rPr>
              <w:t>城市</w:t>
            </w:r>
          </w:p>
        </w:tc>
        <w:tc>
          <w:tcPr>
            <w:tcW w:w="1439" w:type="dxa"/>
            <w:shd w:val="clear" w:color="auto" w:fill="4472C4" w:themeFill="accent5"/>
            <w:vAlign w:val="center"/>
          </w:tcPr>
          <w:p>
            <w:pPr>
              <w:pStyle w:val="27"/>
              <w:rPr>
                <w:rFonts w:ascii="仿宋" w:hAnsi="仿宋"/>
                <w:b/>
                <w:color w:val="1C1C1C"/>
                <w:sz w:val="28"/>
              </w:rPr>
            </w:pPr>
            <w:r>
              <w:rPr>
                <w:rFonts w:hint="eastAsia" w:ascii="黑体" w:hAnsi="黑体" w:eastAsia="黑体" w:cs="黑体"/>
                <w:bCs w:val="0"/>
                <w:color w:val="1C1C1C"/>
                <w:sz w:val="28"/>
                <w:szCs w:val="28"/>
              </w:rPr>
              <w:t>得分</w:t>
            </w:r>
          </w:p>
        </w:tc>
        <w:tc>
          <w:tcPr>
            <w:tcW w:w="1230" w:type="dxa"/>
            <w:shd w:val="clear" w:color="auto" w:fill="4472C4" w:themeFill="accent5"/>
            <w:vAlign w:val="center"/>
          </w:tcPr>
          <w:p>
            <w:pPr>
              <w:pStyle w:val="27"/>
              <w:rPr>
                <w:rFonts w:ascii="仿宋" w:hAnsi="仿宋"/>
                <w:b/>
                <w:color w:val="1C1C1C"/>
                <w:sz w:val="28"/>
              </w:rPr>
            </w:pPr>
            <w:r>
              <w:rPr>
                <w:rFonts w:hint="eastAsia" w:ascii="黑体" w:hAnsi="黑体" w:eastAsia="黑体" w:cs="黑体"/>
                <w:bCs w:val="0"/>
                <w:color w:val="1C1C1C"/>
                <w:sz w:val="28"/>
                <w:szCs w:val="28"/>
              </w:rPr>
              <w:t>排名</w:t>
            </w:r>
          </w:p>
        </w:tc>
        <w:tc>
          <w:tcPr>
            <w:tcW w:w="2073" w:type="dxa"/>
            <w:shd w:val="clear" w:color="auto" w:fill="4472C4" w:themeFill="accent5"/>
            <w:noWrap/>
            <w:vAlign w:val="center"/>
          </w:tcPr>
          <w:p>
            <w:pPr>
              <w:pStyle w:val="27"/>
              <w:rPr>
                <w:rFonts w:ascii="仿宋" w:hAnsi="仿宋"/>
                <w:b/>
                <w:color w:val="1C1C1C"/>
                <w:sz w:val="28"/>
              </w:rPr>
            </w:pPr>
            <w:r>
              <w:rPr>
                <w:rFonts w:hint="eastAsia" w:ascii="黑体" w:hAnsi="黑体" w:eastAsia="黑体" w:cs="黑体"/>
                <w:bCs w:val="0"/>
                <w:color w:val="1C1C1C"/>
                <w:sz w:val="28"/>
                <w:szCs w:val="28"/>
              </w:rPr>
              <w:t>城市</w:t>
            </w:r>
          </w:p>
        </w:tc>
        <w:tc>
          <w:tcPr>
            <w:tcW w:w="1437" w:type="dxa"/>
            <w:shd w:val="clear" w:color="auto" w:fill="4472C4" w:themeFill="accent5"/>
            <w:vAlign w:val="center"/>
          </w:tcPr>
          <w:p>
            <w:pPr>
              <w:pStyle w:val="27"/>
              <w:rPr>
                <w:rFonts w:ascii="仿宋" w:hAnsi="仿宋"/>
                <w:b/>
                <w:color w:val="1C1C1C"/>
                <w:sz w:val="28"/>
              </w:rPr>
            </w:pPr>
            <w:r>
              <w:rPr>
                <w:rFonts w:hint="eastAsia" w:ascii="黑体" w:hAnsi="黑体" w:eastAsia="黑体" w:cs="黑体"/>
                <w:bCs w:val="0"/>
                <w:color w:val="1C1C1C"/>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165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成都市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82.11 </w:t>
            </w:r>
          </w:p>
        </w:tc>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207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拉萨市</w:t>
            </w:r>
          </w:p>
        </w:tc>
        <w:tc>
          <w:tcPr>
            <w:tcW w:w="143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165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贵阳市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78.82 </w:t>
            </w:r>
          </w:p>
        </w:tc>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207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南充市</w:t>
            </w:r>
          </w:p>
        </w:tc>
        <w:tc>
          <w:tcPr>
            <w:tcW w:w="143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76.59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165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遵义市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78.36 </w:t>
            </w:r>
          </w:p>
        </w:tc>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207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重庆市</w:t>
            </w:r>
          </w:p>
        </w:tc>
        <w:tc>
          <w:tcPr>
            <w:tcW w:w="143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165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毕节市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78.13 </w:t>
            </w:r>
          </w:p>
        </w:tc>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207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玉溪市</w:t>
            </w:r>
          </w:p>
        </w:tc>
        <w:tc>
          <w:tcPr>
            <w:tcW w:w="143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75.01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165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日喀则市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77.82 </w:t>
            </w:r>
          </w:p>
        </w:tc>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207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曲靖市</w:t>
            </w:r>
          </w:p>
        </w:tc>
        <w:tc>
          <w:tcPr>
            <w:tcW w:w="143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165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山南市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77.72 </w:t>
            </w:r>
          </w:p>
        </w:tc>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2073"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绵阳市</w:t>
            </w:r>
          </w:p>
        </w:tc>
        <w:tc>
          <w:tcPr>
            <w:tcW w:w="1437"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73.34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1651" w:type="dxa"/>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昆明市</w:t>
            </w:r>
          </w:p>
        </w:tc>
        <w:tc>
          <w:tcPr>
            <w:tcW w:w="1439" w:type="dxa"/>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77.37 </w:t>
            </w:r>
          </w:p>
        </w:tc>
        <w:tc>
          <w:tcPr>
            <w:tcW w:w="1230" w:type="dxa"/>
            <w:noWrap/>
            <w:vAlign w:val="center"/>
          </w:tcPr>
          <w:p>
            <w:pPr>
              <w:pStyle w:val="27"/>
              <w:spacing w:line="400" w:lineRule="exact"/>
              <w:rPr>
                <w:rFonts w:ascii="仿宋" w:hAnsi="仿宋" w:eastAsia="仿宋" w:cs="仿宋"/>
                <w:color w:val="1C1C1C"/>
                <w:sz w:val="28"/>
                <w:szCs w:val="22"/>
              </w:rPr>
            </w:pPr>
          </w:p>
        </w:tc>
        <w:tc>
          <w:tcPr>
            <w:tcW w:w="2073" w:type="dxa"/>
            <w:noWrap/>
            <w:vAlign w:val="center"/>
          </w:tcPr>
          <w:p>
            <w:pPr>
              <w:pStyle w:val="27"/>
              <w:spacing w:line="400" w:lineRule="exact"/>
              <w:rPr>
                <w:rFonts w:ascii="仿宋" w:hAnsi="仿宋" w:eastAsia="仿宋" w:cs="仿宋"/>
                <w:color w:val="1C1C1C"/>
                <w:sz w:val="28"/>
                <w:szCs w:val="22"/>
              </w:rPr>
            </w:pPr>
          </w:p>
        </w:tc>
        <w:tc>
          <w:tcPr>
            <w:tcW w:w="1437" w:type="dxa"/>
            <w:noWrap/>
            <w:vAlign w:val="center"/>
          </w:tcPr>
          <w:p>
            <w:pPr>
              <w:pStyle w:val="27"/>
              <w:spacing w:line="400" w:lineRule="exact"/>
              <w:rPr>
                <w:rFonts w:ascii="仿宋" w:hAnsi="仿宋" w:eastAsia="仿宋" w:cs="仿宋"/>
                <w:color w:val="1C1C1C"/>
                <w:sz w:val="28"/>
                <w:szCs w:val="22"/>
              </w:rPr>
            </w:pPr>
          </w:p>
        </w:tc>
      </w:tr>
    </w:tbl>
    <w:p>
      <w:pPr>
        <w:rPr>
          <w:rFonts w:ascii="黑体" w:hAnsi="黑体" w:eastAsia="黑体" w:cs="黑体"/>
          <w:bCs/>
          <w:iCs/>
          <w:sz w:val="32"/>
          <w:szCs w:val="32"/>
        </w:rPr>
      </w:pPr>
      <w:bookmarkStart w:id="54" w:name="_Toc33719408"/>
      <w:bookmarkStart w:id="55" w:name="_Toc62721769"/>
      <w:r>
        <w:rPr>
          <w:rFonts w:hint="eastAsia" w:ascii="黑体" w:hAnsi="黑体" w:eastAsia="黑体" w:cs="黑体"/>
          <w:bCs/>
          <w:iCs/>
          <w:sz w:val="32"/>
          <w:szCs w:val="32"/>
        </w:rPr>
        <w:br w:type="page"/>
      </w:r>
    </w:p>
    <w:p>
      <w:pPr>
        <w:pStyle w:val="3"/>
        <w:ind w:firstLine="640" w:firstLineChars="200"/>
        <w:rPr>
          <w:rFonts w:ascii="黑体" w:hAnsi="黑体" w:eastAsia="黑体" w:cs="黑体"/>
          <w:b w:val="0"/>
          <w:bCs/>
          <w:i w:val="0"/>
          <w:iCs/>
          <w:sz w:val="32"/>
          <w:szCs w:val="32"/>
        </w:rPr>
      </w:pPr>
      <w:bookmarkStart w:id="56" w:name="_Toc26373"/>
      <w:r>
        <w:rPr>
          <w:rFonts w:hint="eastAsia" w:ascii="黑体" w:hAnsi="黑体" w:eastAsia="黑体" w:cs="黑体"/>
          <w:b w:val="0"/>
          <w:bCs/>
          <w:i w:val="0"/>
          <w:iCs/>
          <w:sz w:val="32"/>
          <w:szCs w:val="32"/>
        </w:rPr>
        <w:t>二、100个城市一级指标得分情况</w:t>
      </w:r>
      <w:bookmarkEnd w:id="54"/>
      <w:bookmarkEnd w:id="55"/>
      <w:bookmarkEnd w:id="56"/>
    </w:p>
    <w:p>
      <w:pPr>
        <w:ind w:firstLine="643" w:firstLineChars="200"/>
        <w:jc w:val="both"/>
        <w:rPr>
          <w:rFonts w:ascii="仿宋" w:hAnsi="仿宋" w:eastAsia="仿宋" w:cs="仿宋"/>
          <w:color w:val="1C1C1C"/>
          <w:sz w:val="32"/>
          <w:szCs w:val="32"/>
        </w:rPr>
      </w:pPr>
      <w:r>
        <w:rPr>
          <w:rFonts w:hint="eastAsia" w:ascii="仿宋" w:hAnsi="仿宋" w:eastAsia="仿宋" w:cs="仿宋"/>
          <w:b/>
          <w:bCs/>
          <w:color w:val="1C1C1C"/>
          <w:sz w:val="32"/>
          <w:szCs w:val="32"/>
        </w:rPr>
        <w:t>1.在“消费供给”方面。</w:t>
      </w:r>
      <w:r>
        <w:rPr>
          <w:rFonts w:hint="eastAsia" w:ascii="仿宋" w:hAnsi="仿宋" w:eastAsia="仿宋" w:cs="仿宋"/>
          <w:color w:val="1C1C1C"/>
          <w:sz w:val="32"/>
          <w:szCs w:val="32"/>
        </w:rPr>
        <w:t>全国综合得分为80.54分，总体来看，有37个城市的“消费供给”得分高于全国综合水平，12个城市的得分高于85分。苏州市得分最高，为92.23分，赣州市得分最低，为71.05分，最高分与最低分相差21.18分。消费供给TOP20城市名单如下：</w:t>
      </w:r>
    </w:p>
    <w:p>
      <w:pPr>
        <w:jc w:val="center"/>
        <w:rPr>
          <w:rFonts w:ascii="仿宋" w:hAnsi="仿宋" w:eastAsia="黑体" w:cs="仿宋"/>
          <w:color w:val="1C1C1C"/>
          <w:sz w:val="32"/>
          <w:szCs w:val="32"/>
        </w:rPr>
      </w:pPr>
      <w:r>
        <w:rPr>
          <w:rFonts w:hint="eastAsia" w:ascii="黑体" w:hAnsi="黑体" w:eastAsia="黑体"/>
          <w:color w:val="1C1C1C"/>
          <w:sz w:val="28"/>
          <w:szCs w:val="32"/>
        </w:rPr>
        <w:t>表29 消费供给TOP20城市名单</w:t>
      </w:r>
    </w:p>
    <w:tbl>
      <w:tblPr>
        <w:tblStyle w:val="16"/>
        <w:tblW w:w="6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2641"/>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ED7D31" w:themeFill="accent2"/>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排名</w:t>
            </w:r>
          </w:p>
        </w:tc>
        <w:tc>
          <w:tcPr>
            <w:tcW w:w="2641" w:type="dxa"/>
            <w:shd w:val="clear" w:color="auto" w:fill="ED7D31" w:themeFill="accent2"/>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城市</w:t>
            </w:r>
          </w:p>
        </w:tc>
        <w:tc>
          <w:tcPr>
            <w:tcW w:w="2351" w:type="dxa"/>
            <w:shd w:val="clear" w:color="auto" w:fill="ED7D31" w:themeFill="accent2"/>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消费供给得分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苏州市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92.23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青岛市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92.02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杭州市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91.73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佛山市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89.74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南京市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无锡市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89.20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烟台市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88.81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北京市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87.55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厦门市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87.06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潍坊市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85.78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宜昌市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85.63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广州市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绍兴市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沈阳市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常州市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上海市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盐城市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襄阳市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成都市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84.05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2641" w:type="dxa"/>
            <w:shd w:val="clear" w:color="auto" w:fill="auto"/>
            <w:noWrap/>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济南市</w:t>
            </w:r>
          </w:p>
        </w:tc>
        <w:tc>
          <w:tcPr>
            <w:tcW w:w="2351" w:type="dxa"/>
            <w:shd w:val="clear" w:color="auto" w:fill="auto"/>
            <w:noWrap/>
            <w:vAlign w:val="bottom"/>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 xml:space="preserve">83.94 </w:t>
            </w:r>
          </w:p>
        </w:tc>
      </w:tr>
    </w:tbl>
    <w:p>
      <w:pPr>
        <w:ind w:firstLine="643" w:firstLineChars="200"/>
        <w:jc w:val="both"/>
        <w:rPr>
          <w:rFonts w:ascii="仿宋" w:hAnsi="仿宋" w:eastAsia="仿宋" w:cs="仿宋"/>
          <w:color w:val="1C1C1C"/>
          <w:sz w:val="32"/>
          <w:szCs w:val="32"/>
        </w:rPr>
      </w:pPr>
      <w:r>
        <w:rPr>
          <w:rFonts w:hint="eastAsia" w:ascii="仿宋" w:hAnsi="仿宋" w:eastAsia="仿宋" w:cs="仿宋"/>
          <w:b/>
          <w:bCs/>
          <w:color w:val="1C1C1C"/>
          <w:sz w:val="32"/>
          <w:szCs w:val="32"/>
        </w:rPr>
        <w:t>2.在“消费环境”方面。</w:t>
      </w:r>
      <w:r>
        <w:rPr>
          <w:rFonts w:hint="eastAsia" w:ascii="仿宋" w:hAnsi="仿宋" w:eastAsia="仿宋" w:cs="仿宋"/>
          <w:color w:val="1C1C1C"/>
          <w:sz w:val="32"/>
          <w:szCs w:val="32"/>
        </w:rPr>
        <w:t>全国综合得分为78.92分，总体来看，有43个城市的“消费环境”得分高于全国综合水平，7个城市的得分高于85分。苏州市得分最高，为91.54分，衡阳市得分最低，为70.37分，最高分与最低分相差21.17分。消费环境TOP20城市名单如下：</w:t>
      </w:r>
    </w:p>
    <w:p>
      <w:pPr>
        <w:jc w:val="center"/>
        <w:rPr>
          <w:rFonts w:ascii="仿宋" w:hAnsi="仿宋" w:eastAsia="黑体" w:cs="仿宋"/>
          <w:color w:val="1C1C1C"/>
          <w:sz w:val="32"/>
          <w:szCs w:val="32"/>
        </w:rPr>
      </w:pPr>
      <w:r>
        <w:rPr>
          <w:rFonts w:hint="eastAsia" w:ascii="黑体" w:hAnsi="黑体" w:eastAsia="黑体"/>
          <w:color w:val="1C1C1C"/>
          <w:sz w:val="28"/>
          <w:szCs w:val="32"/>
        </w:rPr>
        <w:t>表30 消费环境TOP20城市名单</w:t>
      </w:r>
    </w:p>
    <w:tbl>
      <w:tblPr>
        <w:tblStyle w:val="16"/>
        <w:tblW w:w="6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2641"/>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ED7D31" w:themeFill="accent2"/>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排名</w:t>
            </w:r>
          </w:p>
        </w:tc>
        <w:tc>
          <w:tcPr>
            <w:tcW w:w="2641" w:type="dxa"/>
            <w:shd w:val="clear" w:color="auto" w:fill="ED7D31" w:themeFill="accent2"/>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城市</w:t>
            </w:r>
          </w:p>
        </w:tc>
        <w:tc>
          <w:tcPr>
            <w:tcW w:w="2351" w:type="dxa"/>
            <w:shd w:val="clear" w:color="auto" w:fill="ED7D31" w:themeFill="accent2"/>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消费环境得分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苏州市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91.54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青岛市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90.10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杭州市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烟台市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南京市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无锡市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佛山市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潍坊市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北京市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南宁市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宜昌市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厦门市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深圳市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盐城市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常州市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天津市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宁波市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广州市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徐州市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2641" w:type="dxa"/>
            <w:shd w:val="clear" w:color="auto" w:fill="auto"/>
            <w:noWrap/>
            <w:vAlign w:val="center"/>
          </w:tcPr>
          <w:p>
            <w:pPr>
              <w:jc w:val="center"/>
              <w:textAlignment w:val="top"/>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南通市</w:t>
            </w:r>
          </w:p>
        </w:tc>
        <w:tc>
          <w:tcPr>
            <w:tcW w:w="2351" w:type="dxa"/>
            <w:shd w:val="clear" w:color="auto" w:fill="auto"/>
            <w:noWrap/>
            <w:vAlign w:val="center"/>
          </w:tcPr>
          <w:p>
            <w:pPr>
              <w:jc w:val="center"/>
              <w:textAlignment w:val="bottom"/>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81.89</w:t>
            </w:r>
          </w:p>
        </w:tc>
      </w:tr>
    </w:tbl>
    <w:p>
      <w:pPr>
        <w:ind w:firstLine="643" w:firstLineChars="200"/>
        <w:jc w:val="both"/>
        <w:rPr>
          <w:rFonts w:ascii="仿宋" w:hAnsi="仿宋" w:eastAsia="仿宋" w:cs="仿宋"/>
          <w:color w:val="1C1C1C"/>
          <w:sz w:val="32"/>
          <w:szCs w:val="32"/>
        </w:rPr>
      </w:pPr>
      <w:r>
        <w:rPr>
          <w:rFonts w:hint="eastAsia" w:ascii="仿宋" w:hAnsi="仿宋" w:eastAsia="仿宋" w:cs="仿宋"/>
          <w:b/>
          <w:bCs/>
          <w:color w:val="1C1C1C"/>
          <w:sz w:val="32"/>
          <w:szCs w:val="32"/>
        </w:rPr>
        <w:t>3.在“消费维权”方面。</w:t>
      </w:r>
      <w:r>
        <w:rPr>
          <w:rFonts w:hint="eastAsia" w:ascii="仿宋" w:hAnsi="仿宋" w:eastAsia="仿宋" w:cs="仿宋"/>
          <w:color w:val="1C1C1C"/>
          <w:sz w:val="32"/>
          <w:szCs w:val="32"/>
        </w:rPr>
        <w:t>全国综合得分为77.53分，总体来看，有38个城市的消费维权得分高于全国综合水平，9个城市的得分高于85分。苏州市得分最高，为92.31分，吉林市得分最低，为60.92分，最高分与最低分相差31.39分。消费维权TOP20城市名单如下：</w:t>
      </w:r>
    </w:p>
    <w:p>
      <w:pPr>
        <w:jc w:val="center"/>
        <w:rPr>
          <w:rFonts w:ascii="仿宋" w:hAnsi="仿宋" w:eastAsia="黑体" w:cs="仿宋"/>
          <w:color w:val="1C1C1C"/>
          <w:sz w:val="32"/>
          <w:szCs w:val="32"/>
        </w:rPr>
      </w:pPr>
      <w:r>
        <w:rPr>
          <w:rFonts w:hint="eastAsia" w:ascii="黑体" w:hAnsi="黑体" w:eastAsia="黑体"/>
          <w:color w:val="1C1C1C"/>
          <w:sz w:val="28"/>
          <w:szCs w:val="32"/>
        </w:rPr>
        <w:t>表31 消费维权TOP20城市名单</w:t>
      </w:r>
    </w:p>
    <w:tbl>
      <w:tblPr>
        <w:tblStyle w:val="16"/>
        <w:tblW w:w="6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2641"/>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ED7D31" w:themeFill="accent2"/>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排名</w:t>
            </w:r>
          </w:p>
        </w:tc>
        <w:tc>
          <w:tcPr>
            <w:tcW w:w="2641" w:type="dxa"/>
            <w:shd w:val="clear" w:color="auto" w:fill="ED7D31" w:themeFill="accent2"/>
            <w:noWrap/>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城市</w:t>
            </w:r>
          </w:p>
        </w:tc>
        <w:tc>
          <w:tcPr>
            <w:tcW w:w="2351" w:type="dxa"/>
            <w:shd w:val="clear" w:color="auto" w:fill="ED7D31" w:themeFill="accent2"/>
            <w:vAlign w:val="center"/>
          </w:tcPr>
          <w:p>
            <w:pPr>
              <w:pStyle w:val="27"/>
              <w:rPr>
                <w:rFonts w:ascii="黑体" w:hAnsi="黑体" w:eastAsia="黑体" w:cs="黑体"/>
                <w:bCs w:val="0"/>
                <w:color w:val="1C1C1C"/>
                <w:sz w:val="28"/>
                <w:szCs w:val="28"/>
              </w:rPr>
            </w:pPr>
            <w:r>
              <w:rPr>
                <w:rFonts w:hint="eastAsia" w:ascii="黑体" w:hAnsi="黑体" w:eastAsia="黑体" w:cs="黑体"/>
                <w:bCs w:val="0"/>
                <w:color w:val="1C1C1C"/>
                <w:sz w:val="28"/>
                <w:szCs w:val="28"/>
              </w:rPr>
              <w:t>消费维权得分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苏州市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92.31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青岛市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90.29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3</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烟台市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4</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杭州市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89.28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5</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南京市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89.09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6</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佛山市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88.76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7</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无锡市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87.20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8</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厦门市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86.53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9</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成都市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85.42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10</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宁波市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84.53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11</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北京市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84.36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12</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金华市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13</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宜昌市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83.23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14</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天津市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83.12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15</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深圳市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16</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上海市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82.83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17</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南通市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82.05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18</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常州市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82.01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19</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洛阳市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5" w:type="dxa"/>
            <w:shd w:val="clear" w:color="auto" w:fill="auto"/>
            <w:noWrap/>
            <w:vAlign w:val="center"/>
          </w:tcPr>
          <w:p>
            <w:pPr>
              <w:pStyle w:val="27"/>
              <w:spacing w:line="400" w:lineRule="exact"/>
              <w:rPr>
                <w:rFonts w:ascii="仿宋" w:hAnsi="仿宋" w:eastAsia="仿宋" w:cs="仿宋"/>
                <w:color w:val="1C1C1C"/>
                <w:sz w:val="28"/>
                <w:szCs w:val="22"/>
              </w:rPr>
            </w:pPr>
            <w:r>
              <w:rPr>
                <w:rFonts w:hint="eastAsia" w:ascii="仿宋" w:hAnsi="仿宋" w:eastAsia="仿宋" w:cs="仿宋"/>
                <w:color w:val="1C1C1C"/>
                <w:sz w:val="28"/>
                <w:szCs w:val="22"/>
              </w:rPr>
              <w:t>20</w:t>
            </w:r>
          </w:p>
        </w:tc>
        <w:tc>
          <w:tcPr>
            <w:tcW w:w="2641" w:type="dxa"/>
            <w:shd w:val="clear" w:color="auto" w:fill="auto"/>
            <w:noWrap/>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泉州市</w:t>
            </w:r>
          </w:p>
        </w:tc>
        <w:tc>
          <w:tcPr>
            <w:tcW w:w="2351" w:type="dxa"/>
            <w:shd w:val="clear" w:color="auto" w:fill="auto"/>
            <w:noWrap/>
            <w:vAlign w:val="bottom"/>
          </w:tcPr>
          <w:p>
            <w:pPr>
              <w:jc w:val="center"/>
              <w:textAlignment w:val="center"/>
              <w:rPr>
                <w:rFonts w:ascii="仿宋" w:hAnsi="仿宋" w:eastAsia="仿宋" w:cs="仿宋"/>
                <w:bCs/>
                <w:color w:val="1C1C1C"/>
                <w:kern w:val="2"/>
                <w:sz w:val="28"/>
                <w:szCs w:val="22"/>
              </w:rPr>
            </w:pPr>
            <w:r>
              <w:rPr>
                <w:rFonts w:hint="eastAsia" w:ascii="仿宋" w:hAnsi="仿宋" w:eastAsia="仿宋" w:cs="仿宋"/>
                <w:bCs/>
                <w:color w:val="1C1C1C"/>
                <w:kern w:val="2"/>
                <w:sz w:val="28"/>
                <w:szCs w:val="22"/>
              </w:rPr>
              <w:t xml:space="preserve">80.57 </w:t>
            </w:r>
          </w:p>
        </w:tc>
      </w:tr>
    </w:tbl>
    <w:p>
      <w:pPr>
        <w:ind w:firstLine="643" w:firstLineChars="200"/>
        <w:jc w:val="both"/>
        <w:rPr>
          <w:rFonts w:ascii="仿宋" w:hAnsi="仿宋" w:eastAsia="仿宋" w:cs="仿宋"/>
          <w:b/>
          <w:bCs/>
          <w:color w:val="1C1C1C"/>
          <w:sz w:val="32"/>
          <w:szCs w:val="32"/>
        </w:rPr>
      </w:pPr>
    </w:p>
    <w:p>
      <w:pPr>
        <w:ind w:firstLine="643" w:firstLineChars="200"/>
        <w:jc w:val="both"/>
        <w:rPr>
          <w:rFonts w:ascii="仿宋" w:hAnsi="仿宋" w:eastAsia="仿宋" w:cs="仿宋"/>
          <w:color w:val="1C1C1C"/>
          <w:sz w:val="32"/>
          <w:szCs w:val="32"/>
        </w:rPr>
      </w:pPr>
      <w:r>
        <w:rPr>
          <w:rFonts w:hint="eastAsia" w:ascii="仿宋" w:hAnsi="仿宋" w:eastAsia="仿宋" w:cs="仿宋"/>
          <w:b/>
          <w:bCs/>
          <w:color w:val="1C1C1C"/>
          <w:sz w:val="32"/>
          <w:szCs w:val="32"/>
        </w:rPr>
        <w:t>4.三个一级指标对比。</w:t>
      </w:r>
      <w:r>
        <w:rPr>
          <w:rFonts w:hint="eastAsia" w:ascii="仿宋" w:hAnsi="仿宋" w:eastAsia="仿宋" w:cs="仿宋"/>
          <w:color w:val="1C1C1C"/>
          <w:sz w:val="32"/>
          <w:szCs w:val="32"/>
        </w:rPr>
        <w:t>“消费供给”总体得分最高，“消费供给”和“消费环境”城市得分波动相对较小，“消费维权”总体得分最低、城市得分波动较大。10</w:t>
      </w:r>
      <w:r>
        <w:rPr>
          <w:rFonts w:ascii="仿宋" w:hAnsi="仿宋" w:eastAsia="仿宋" w:cs="仿宋"/>
          <w:color w:val="1C1C1C"/>
          <w:sz w:val="32"/>
          <w:szCs w:val="32"/>
        </w:rPr>
        <w:t>0</w:t>
      </w:r>
      <w:r>
        <w:rPr>
          <w:rFonts w:hint="eastAsia" w:ascii="仿宋" w:hAnsi="仿宋" w:eastAsia="仿宋" w:cs="仿宋"/>
          <w:color w:val="1C1C1C"/>
          <w:sz w:val="32"/>
          <w:szCs w:val="32"/>
        </w:rPr>
        <w:t>个城市中，70个城市的“消费维权”得分最低，18个城市的“消费环境”得分最低，12个城市的“消费供给”得分最低。排名前列的城市各一级指标得分较为均衡，排名靠后的城市“消费维权”显著低于其他两项指标。各城市一级指标得分如下：</w:t>
      </w:r>
    </w:p>
    <w:p>
      <w:pPr>
        <w:rPr>
          <w:rFonts w:ascii="黑体" w:hAnsi="黑体" w:eastAsia="黑体"/>
          <w:color w:val="1C1C1C"/>
          <w:sz w:val="28"/>
          <w:szCs w:val="32"/>
        </w:rPr>
      </w:pPr>
      <w:r>
        <w:rPr>
          <w:rFonts w:ascii="黑体" w:hAnsi="黑体" w:eastAsia="黑体"/>
          <w:color w:val="1C1C1C"/>
          <w:sz w:val="28"/>
          <w:szCs w:val="32"/>
        </w:rPr>
        <w:br w:type="page"/>
      </w:r>
    </w:p>
    <w:p>
      <w:pPr>
        <w:rPr>
          <w:rFonts w:ascii="等线" w:hAnsi="等线" w:eastAsia="等线"/>
          <w:color w:val="1C1C1C"/>
          <w:sz w:val="22"/>
        </w:rPr>
        <w:sectPr>
          <w:footerReference r:id="rId5" w:type="default"/>
          <w:pgSz w:w="11906" w:h="16838"/>
          <w:pgMar w:top="1531" w:right="1474" w:bottom="1531" w:left="1588" w:header="851" w:footer="992" w:gutter="0"/>
          <w:pgNumType w:fmt="numberInDash"/>
          <w:cols w:space="720" w:num="1"/>
          <w:docGrid w:type="lines" w:linePitch="312" w:charSpace="0"/>
        </w:sectPr>
      </w:pPr>
    </w:p>
    <w:p>
      <w:pPr>
        <w:rPr>
          <w:rFonts w:ascii="黑体" w:hAnsi="黑体" w:eastAsia="黑体"/>
          <w:color w:val="1C1C1C"/>
          <w:sz w:val="28"/>
          <w:szCs w:val="28"/>
        </w:rPr>
      </w:pPr>
    </w:p>
    <w:p>
      <w:pPr>
        <w:jc w:val="center"/>
      </w:pPr>
      <w:r>
        <w:rPr>
          <w:rFonts w:hint="eastAsia"/>
        </w:rPr>
        <w:drawing>
          <wp:inline distT="0" distB="0" distL="114300" distR="114300">
            <wp:extent cx="9644380" cy="5386070"/>
            <wp:effectExtent l="4445" t="4445" r="9525" b="19685"/>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center"/>
        <w:rPr>
          <w:rFonts w:ascii="等线" w:hAnsi="等线" w:eastAsia="等线"/>
          <w:color w:val="1C1C1C"/>
          <w:sz w:val="28"/>
          <w:szCs w:val="28"/>
        </w:rPr>
        <w:sectPr>
          <w:pgSz w:w="16838" w:h="11906" w:orient="landscape"/>
          <w:pgMar w:top="720" w:right="720" w:bottom="720" w:left="720" w:header="851" w:footer="992" w:gutter="0"/>
          <w:pgNumType w:fmt="numberInDash"/>
          <w:cols w:space="720" w:num="1"/>
          <w:docGrid w:type="lines" w:linePitch="435" w:charSpace="0"/>
        </w:sectPr>
      </w:pPr>
      <w:r>
        <w:rPr>
          <w:rFonts w:hint="eastAsia" w:ascii="黑体" w:hAnsi="黑体" w:eastAsia="黑体"/>
          <w:color w:val="1C1C1C"/>
          <w:sz w:val="28"/>
          <w:szCs w:val="28"/>
        </w:rPr>
        <w:t>图13  100个城市消费者满意度一级指标满意度得分示意图</w:t>
      </w:r>
    </w:p>
    <w:p>
      <w:bookmarkStart w:id="57" w:name="_Toc62721770"/>
      <w:bookmarkStart w:id="58" w:name="_Toc33719409"/>
    </w:p>
    <w:p>
      <w:pPr>
        <w:jc w:val="center"/>
        <w:rPr>
          <w:rFonts w:ascii="黑体" w:hAnsi="黑体" w:eastAsia="黑体" w:cs="黑体"/>
          <w:color w:val="1C1C1C"/>
          <w:sz w:val="28"/>
          <w:szCs w:val="28"/>
        </w:rPr>
      </w:pPr>
      <w:r>
        <w:rPr>
          <w:rFonts w:hint="eastAsia" w:ascii="黑体" w:hAnsi="黑体" w:eastAsia="黑体" w:cs="黑体"/>
          <w:color w:val="1C1C1C"/>
          <w:sz w:val="28"/>
          <w:szCs w:val="28"/>
        </w:rPr>
        <w:t>表3</w:t>
      </w:r>
      <w:r>
        <w:rPr>
          <w:rFonts w:ascii="黑体" w:hAnsi="黑体" w:eastAsia="黑体" w:cs="黑体"/>
          <w:color w:val="1C1C1C"/>
          <w:sz w:val="28"/>
          <w:szCs w:val="28"/>
        </w:rPr>
        <w:t xml:space="preserve">2 </w:t>
      </w:r>
      <w:r>
        <w:rPr>
          <w:rFonts w:hint="eastAsia" w:ascii="黑体" w:hAnsi="黑体" w:eastAsia="黑体" w:cs="黑体"/>
          <w:color w:val="1C1C1C"/>
          <w:sz w:val="28"/>
          <w:szCs w:val="28"/>
        </w:rPr>
        <w:t>100个城市消费者满意度一级指标得分表</w:t>
      </w:r>
    </w:p>
    <w:tbl>
      <w:tblPr>
        <w:tblStyle w:val="16"/>
        <w:tblW w:w="5000" w:type="pct"/>
        <w:tblInd w:w="0" w:type="dxa"/>
        <w:tblLayout w:type="fixed"/>
        <w:tblCellMar>
          <w:top w:w="0" w:type="dxa"/>
          <w:left w:w="108" w:type="dxa"/>
          <w:bottom w:w="0" w:type="dxa"/>
          <w:right w:w="108" w:type="dxa"/>
        </w:tblCellMar>
      </w:tblPr>
      <w:tblGrid>
        <w:gridCol w:w="1057"/>
        <w:gridCol w:w="3239"/>
        <w:gridCol w:w="1587"/>
        <w:gridCol w:w="1587"/>
        <w:gridCol w:w="1589"/>
      </w:tblGrid>
      <w:tr>
        <w:tblPrEx>
          <w:tblCellMar>
            <w:top w:w="0" w:type="dxa"/>
            <w:left w:w="108" w:type="dxa"/>
            <w:bottom w:w="0" w:type="dxa"/>
            <w:right w:w="108" w:type="dxa"/>
          </w:tblCellMar>
        </w:tblPrEx>
        <w:trPr>
          <w:trHeight w:val="503" w:hRule="atLeast"/>
          <w:tblHeader/>
        </w:trPr>
        <w:tc>
          <w:tcPr>
            <w:tcW w:w="583" w:type="pct"/>
            <w:tcBorders>
              <w:top w:val="single" w:color="auto" w:sz="8" w:space="0"/>
              <w:left w:val="single" w:color="auto" w:sz="8" w:space="0"/>
              <w:bottom w:val="single" w:color="auto" w:sz="8" w:space="0"/>
              <w:right w:val="single" w:color="auto" w:sz="8" w:space="0"/>
            </w:tcBorders>
            <w:shd w:val="clear" w:color="auto" w:fill="4472C4" w:themeFill="accent5"/>
            <w:noWrap/>
            <w:vAlign w:val="center"/>
          </w:tcPr>
          <w:p>
            <w:pPr>
              <w:jc w:val="center"/>
              <w:rPr>
                <w:rFonts w:ascii="黑体" w:hAnsi="黑体" w:eastAsia="黑体" w:cs="黑体"/>
                <w:color w:val="1C1C1C"/>
                <w:sz w:val="28"/>
                <w:szCs w:val="28"/>
              </w:rPr>
            </w:pPr>
            <w:r>
              <w:rPr>
                <w:rFonts w:hint="eastAsia" w:ascii="黑体" w:hAnsi="黑体" w:eastAsia="黑体" w:cs="黑体"/>
                <w:color w:val="1C1C1C"/>
                <w:sz w:val="28"/>
                <w:szCs w:val="28"/>
              </w:rPr>
              <w:t>序号</w:t>
            </w:r>
          </w:p>
        </w:tc>
        <w:tc>
          <w:tcPr>
            <w:tcW w:w="1787" w:type="pct"/>
            <w:tcBorders>
              <w:top w:val="single" w:color="auto" w:sz="8" w:space="0"/>
              <w:left w:val="nil"/>
              <w:bottom w:val="single" w:color="auto" w:sz="8" w:space="0"/>
              <w:right w:val="single" w:color="auto" w:sz="8" w:space="0"/>
            </w:tcBorders>
            <w:shd w:val="clear" w:color="auto" w:fill="4472C4" w:themeFill="accent5"/>
            <w:noWrap/>
            <w:vAlign w:val="center"/>
          </w:tcPr>
          <w:p>
            <w:pPr>
              <w:jc w:val="center"/>
              <w:rPr>
                <w:rFonts w:ascii="黑体" w:hAnsi="黑体" w:eastAsia="黑体" w:cs="黑体"/>
                <w:color w:val="1C1C1C"/>
                <w:sz w:val="28"/>
                <w:szCs w:val="28"/>
              </w:rPr>
            </w:pPr>
            <w:r>
              <w:rPr>
                <w:rFonts w:hint="eastAsia" w:ascii="黑体" w:hAnsi="黑体" w:eastAsia="黑体" w:cs="黑体"/>
                <w:color w:val="1C1C1C"/>
                <w:sz w:val="28"/>
                <w:szCs w:val="28"/>
              </w:rPr>
              <w:t>城市</w:t>
            </w:r>
          </w:p>
        </w:tc>
        <w:tc>
          <w:tcPr>
            <w:tcW w:w="875" w:type="pct"/>
            <w:tcBorders>
              <w:top w:val="single" w:color="auto" w:sz="8" w:space="0"/>
              <w:left w:val="nil"/>
              <w:bottom w:val="single" w:color="auto" w:sz="8" w:space="0"/>
              <w:right w:val="single" w:color="auto" w:sz="8" w:space="0"/>
            </w:tcBorders>
            <w:shd w:val="clear" w:color="auto" w:fill="4472C4" w:themeFill="accent5"/>
            <w:noWrap/>
            <w:vAlign w:val="center"/>
          </w:tcPr>
          <w:p>
            <w:pPr>
              <w:jc w:val="center"/>
              <w:rPr>
                <w:rFonts w:ascii="黑体" w:hAnsi="黑体" w:eastAsia="黑体" w:cs="黑体"/>
                <w:color w:val="1C1C1C"/>
                <w:sz w:val="28"/>
                <w:szCs w:val="28"/>
              </w:rPr>
            </w:pPr>
            <w:r>
              <w:rPr>
                <w:rFonts w:hint="eastAsia" w:ascii="黑体" w:hAnsi="黑体" w:eastAsia="黑体" w:cs="黑体"/>
                <w:color w:val="1C1C1C"/>
                <w:sz w:val="28"/>
                <w:szCs w:val="28"/>
              </w:rPr>
              <w:t>消费供给</w:t>
            </w:r>
          </w:p>
        </w:tc>
        <w:tc>
          <w:tcPr>
            <w:tcW w:w="875" w:type="pct"/>
            <w:tcBorders>
              <w:top w:val="single" w:color="auto" w:sz="8" w:space="0"/>
              <w:left w:val="nil"/>
              <w:bottom w:val="single" w:color="auto" w:sz="8" w:space="0"/>
              <w:right w:val="single" w:color="auto" w:sz="8" w:space="0"/>
            </w:tcBorders>
            <w:shd w:val="clear" w:color="auto" w:fill="4472C4" w:themeFill="accent5"/>
            <w:noWrap/>
            <w:vAlign w:val="center"/>
          </w:tcPr>
          <w:p>
            <w:pPr>
              <w:jc w:val="center"/>
              <w:rPr>
                <w:rFonts w:ascii="黑体" w:hAnsi="黑体" w:eastAsia="黑体" w:cs="黑体"/>
                <w:color w:val="1C1C1C"/>
                <w:sz w:val="28"/>
                <w:szCs w:val="28"/>
              </w:rPr>
            </w:pPr>
            <w:r>
              <w:rPr>
                <w:rFonts w:hint="eastAsia" w:ascii="黑体" w:hAnsi="黑体" w:eastAsia="黑体" w:cs="黑体"/>
                <w:color w:val="1C1C1C"/>
                <w:sz w:val="28"/>
                <w:szCs w:val="28"/>
              </w:rPr>
              <w:t>消费环境</w:t>
            </w:r>
          </w:p>
        </w:tc>
        <w:tc>
          <w:tcPr>
            <w:tcW w:w="876" w:type="pct"/>
            <w:tcBorders>
              <w:top w:val="single" w:color="auto" w:sz="8" w:space="0"/>
              <w:left w:val="nil"/>
              <w:bottom w:val="single" w:color="auto" w:sz="8" w:space="0"/>
              <w:right w:val="single" w:color="auto" w:sz="8" w:space="0"/>
            </w:tcBorders>
            <w:shd w:val="clear" w:color="auto" w:fill="4472C4" w:themeFill="accent5"/>
            <w:noWrap/>
            <w:vAlign w:val="center"/>
          </w:tcPr>
          <w:p>
            <w:pPr>
              <w:jc w:val="center"/>
              <w:rPr>
                <w:rFonts w:ascii="黑体" w:hAnsi="黑体" w:eastAsia="黑体" w:cs="黑体"/>
                <w:color w:val="1C1C1C"/>
                <w:sz w:val="28"/>
                <w:szCs w:val="28"/>
              </w:rPr>
            </w:pPr>
            <w:r>
              <w:rPr>
                <w:rFonts w:hint="eastAsia" w:ascii="黑体" w:hAnsi="黑体" w:eastAsia="黑体" w:cs="黑体"/>
                <w:color w:val="1C1C1C"/>
                <w:sz w:val="28"/>
                <w:szCs w:val="28"/>
              </w:rPr>
              <w:t>消费维权</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苏州市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92.23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91.54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92.31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青岛市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92.02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90.10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90.29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杭州市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91.73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89.49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89.28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烟台市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88.81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89.14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89.47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南京市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89.35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88.66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89.09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佛山市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89.74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87.60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88.76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无锡市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89.20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88.25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87.20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厦门市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87.06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83.15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86.53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北京市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87.55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83.80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84.36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宜昌市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85.63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83.22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83.23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宁波市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83.33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82.41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84.53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深圳市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81.79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83.08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82.86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潍坊市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85.78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84.44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76.49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天津市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83.25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82.50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83.12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南宁市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82.59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83.76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79.96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常州市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84.50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82.59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82.01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上海市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84.46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81.39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82.83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成都市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84.05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80.51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85.42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盐城市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84.33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82.70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78.61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广州市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85.03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82.28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79.02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泉州市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83.82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81.65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80.57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金华市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78.07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81.64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83.53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南通市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79.17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81.89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82.05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洛阳市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80.64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81.50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81.62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襄阳市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84.12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81.67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79.11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嘉兴市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83.52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80.66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80.27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吴忠市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82.39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80.34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80.48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济宁市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80.48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80.34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80.52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29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绍兴市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84.85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80.97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76.21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温州市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82.23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80.28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79.13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台州市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80.37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81.00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77.72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武汉市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82.01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80.50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77.59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沈阳市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84.75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79.33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79.20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徐州市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82.40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81.96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72.54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淄博市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83.16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79.34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78.57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济南市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83.94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80.83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73.99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哈尔滨市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82.75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80.08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76.47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东莞市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77.94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79.85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76.78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39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贵阳市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81.22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79.77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74.82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临沂市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80.50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78.73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77.17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岳阳市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77.09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78.61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78.83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长春市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80.40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79.21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75.15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遵义市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80.23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79.88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73.07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芜湖市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81.06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77.39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78.89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银川市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76.89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78.62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77.75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毕节市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82.56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81.13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67.31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克拉玛依市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75.67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78.47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77.52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日喀则市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79.96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77.54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77.36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49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山南市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77.49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77.67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78.01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渭南市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77.76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78.03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75.49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太原市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77.10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77.69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76.68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昆明市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78.28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78.50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73.73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西宁市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77.87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77.95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73.97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大同市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79.23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77.17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75.06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南昌市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78.91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77.84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73.21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拉萨市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73.97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76.89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78.51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齐齐哈尔市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77.75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77.38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74.46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上饶市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77.03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79.32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69.15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59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赣州市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71.05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78.46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74.75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南充市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77.89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76.61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75.82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天水市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77.47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77.37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72.99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石家庄市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80.98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76.51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72.85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大庆市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79.41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76.91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72.56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包头市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77.27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75.63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77.32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海西蒙古族藏族自治州</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73.34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76.02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78.23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福州市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78.23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75.95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74.80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邯郸市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78.24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75.35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75.39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重庆市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79.87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75.60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73.62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69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儋州市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76.27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75.23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75.74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大连市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77.71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75.37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74.47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鄂尔多斯市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77.28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75.46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73.42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汕头市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78.13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76.43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69.96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鞍山市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77.74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75.54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72.51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玉溪市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78.82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75.63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71.13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西安市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78.64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75.94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68.75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保定市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76.85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74.33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72.91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合肥市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77.39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74.18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72.76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南阳市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77.36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75.04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70.08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79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长沙市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79.12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74.64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70.08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石嘴山市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75.12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73.46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74.83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唐山市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77.31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74.55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70.16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海东市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77.25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73.50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72.78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阜阳市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77.09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73.53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71.87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曲靖市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76.51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73.59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71.52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郑州市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77.48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73.67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70.31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海口市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74.62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74.55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69.33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绵阳市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76.68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74.24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68.95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桂林市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73.89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73.18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72.29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89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乌鲁木齐市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74.25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73.70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69.93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松原市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75.15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72.64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71.61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91</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哈密市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73.92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72.82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70.72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92</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柳州市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78.53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73.36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64.92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93</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运城市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73.41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72.23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70.39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94</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兰州市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75.75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71.77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69.57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95</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宝鸡市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76.45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72.41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66.84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96</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三亚市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72.88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71.80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69.96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97</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呼和浩特市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76.85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70.99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69.22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98</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庆阳市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72.96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71.32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68.19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99</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吉林市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75.26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73.24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60.92 </w:t>
            </w:r>
          </w:p>
        </w:tc>
      </w:tr>
      <w:tr>
        <w:tblPrEx>
          <w:tblCellMar>
            <w:top w:w="0" w:type="dxa"/>
            <w:left w:w="108" w:type="dxa"/>
            <w:bottom w:w="0" w:type="dxa"/>
            <w:right w:w="108" w:type="dxa"/>
          </w:tblCellMar>
        </w:tblPrEx>
        <w:trPr>
          <w:trHeight w:val="330" w:hRule="atLeast"/>
        </w:trPr>
        <w:tc>
          <w:tcPr>
            <w:tcW w:w="583" w:type="pct"/>
            <w:tcBorders>
              <w:top w:val="nil"/>
              <w:left w:val="single" w:color="auto" w:sz="8" w:space="0"/>
              <w:bottom w:val="single" w:color="auto" w:sz="8" w:space="0"/>
              <w:right w:val="single" w:color="auto" w:sz="8" w:space="0"/>
            </w:tcBorders>
            <w:noWrap/>
            <w:vAlign w:val="center"/>
          </w:tcPr>
          <w:p>
            <w:pPr>
              <w:jc w:val="center"/>
              <w:rPr>
                <w:rFonts w:ascii="仿宋" w:hAnsi="仿宋" w:eastAsia="仿宋" w:cs="仿宋"/>
                <w:color w:val="1C1C1C"/>
              </w:rPr>
            </w:pPr>
            <w:r>
              <w:rPr>
                <w:rFonts w:hint="eastAsia" w:ascii="仿宋" w:hAnsi="仿宋" w:eastAsia="仿宋" w:cs="仿宋"/>
                <w:color w:val="1C1C1C"/>
              </w:rPr>
              <w:t>100</w:t>
            </w:r>
          </w:p>
        </w:tc>
        <w:tc>
          <w:tcPr>
            <w:tcW w:w="3239" w:type="dxa"/>
            <w:tcBorders>
              <w:top w:val="nil"/>
              <w:left w:val="nil"/>
              <w:bottom w:val="single" w:color="auto" w:sz="8" w:space="0"/>
              <w:right w:val="single" w:color="auto" w:sz="8" w:space="0"/>
            </w:tcBorders>
            <w:noWrap/>
          </w:tcPr>
          <w:p>
            <w:pPr>
              <w:jc w:val="center"/>
              <w:rPr>
                <w:rFonts w:ascii="仿宋" w:hAnsi="仿宋" w:eastAsia="仿宋" w:cs="仿宋"/>
                <w:color w:val="1C1C1C"/>
              </w:rPr>
            </w:pPr>
            <w:r>
              <w:rPr>
                <w:rFonts w:hint="eastAsia" w:ascii="仿宋" w:hAnsi="仿宋" w:eastAsia="仿宋" w:cs="仿宋"/>
                <w:color w:val="1C1C1C"/>
              </w:rPr>
              <w:t>衡阳市</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74.72 </w:t>
            </w:r>
          </w:p>
        </w:tc>
        <w:tc>
          <w:tcPr>
            <w:tcW w:w="1587"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70.37 </w:t>
            </w:r>
          </w:p>
        </w:tc>
        <w:tc>
          <w:tcPr>
            <w:tcW w:w="1589" w:type="dxa"/>
            <w:tcBorders>
              <w:top w:val="nil"/>
              <w:left w:val="nil"/>
              <w:bottom w:val="single" w:color="auto" w:sz="8" w:space="0"/>
              <w:right w:val="single" w:color="auto" w:sz="8" w:space="0"/>
            </w:tcBorders>
            <w:noWrap/>
            <w:vAlign w:val="bottom"/>
          </w:tcPr>
          <w:p>
            <w:pPr>
              <w:jc w:val="center"/>
              <w:rPr>
                <w:rFonts w:ascii="仿宋" w:hAnsi="仿宋" w:eastAsia="仿宋" w:cs="仿宋"/>
                <w:color w:val="1C1C1C"/>
              </w:rPr>
            </w:pPr>
            <w:r>
              <w:rPr>
                <w:rFonts w:hint="eastAsia" w:ascii="仿宋" w:hAnsi="仿宋" w:eastAsia="仿宋" w:cs="仿宋"/>
                <w:color w:val="1C1C1C"/>
              </w:rPr>
              <w:t xml:space="preserve">67.12 </w:t>
            </w:r>
          </w:p>
        </w:tc>
      </w:tr>
    </w:tbl>
    <w:p/>
    <w:p>
      <w:pPr>
        <w:pStyle w:val="3"/>
        <w:rPr>
          <w:rFonts w:ascii="黑体" w:hAnsi="黑体" w:eastAsia="黑体" w:cs="黑体"/>
          <w:b w:val="0"/>
          <w:bCs/>
          <w:i w:val="0"/>
          <w:iCs/>
          <w:sz w:val="32"/>
          <w:szCs w:val="32"/>
        </w:rPr>
      </w:pPr>
      <w:bookmarkStart w:id="59" w:name="_Toc4846"/>
      <w:r>
        <w:rPr>
          <w:rFonts w:hint="eastAsia" w:ascii="黑体" w:hAnsi="黑体" w:eastAsia="黑体" w:cs="黑体"/>
          <w:b w:val="0"/>
          <w:bCs/>
          <w:i w:val="0"/>
          <w:iCs/>
          <w:sz w:val="32"/>
          <w:szCs w:val="32"/>
        </w:rPr>
        <w:t>三、100个城市二级指标得分情况</w:t>
      </w:r>
      <w:bookmarkEnd w:id="57"/>
      <w:bookmarkEnd w:id="58"/>
      <w:bookmarkEnd w:id="59"/>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1.在“供给丰富性”方面。</w:t>
      </w:r>
      <w:r>
        <w:rPr>
          <w:rFonts w:hint="eastAsia" w:ascii="仿宋" w:hAnsi="仿宋" w:eastAsia="仿宋" w:cs="仿宋"/>
          <w:color w:val="1C1C1C"/>
          <w:sz w:val="32"/>
          <w:szCs w:val="32"/>
        </w:rPr>
        <w:t>全国综合得分为81.24分，39个城市的得分高于全国综合得分，46个城市的得分高于80分，17个城市的得分高于85分。其中，排名靠前的3个城市依次为：青岛市92.72分、苏州市92.43分、杭州市92.25分；排名靠后的3个城市依次为：赣州市72.62分、运城市72.52分、庆阳市72.38分。最高得分与最低得分之间相差20.34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2.在“供给便利性”方面。</w:t>
      </w:r>
      <w:r>
        <w:rPr>
          <w:rFonts w:hint="eastAsia" w:ascii="仿宋" w:hAnsi="仿宋" w:eastAsia="仿宋" w:cs="仿宋"/>
          <w:color w:val="1C1C1C"/>
          <w:sz w:val="32"/>
          <w:szCs w:val="32"/>
        </w:rPr>
        <w:t>全国综合得分为82.29分，42个城市的得分高于全国综合得分，59个城市的得分高于80分，22个城市的得分高于85分。其中，排名靠前的3个城市依次为：苏州市93.57分、青岛市93.53分、无锡市91.51分；排名靠后的3个城市依次为：赣州市74.44分、桂林市73.76分、三亚市73.25分。最高得分与最低得分之间相差20.33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3.在“供给创新性”方面。</w:t>
      </w:r>
      <w:r>
        <w:rPr>
          <w:rFonts w:hint="eastAsia" w:ascii="仿宋" w:hAnsi="仿宋" w:eastAsia="仿宋" w:cs="仿宋"/>
          <w:color w:val="1C1C1C"/>
          <w:sz w:val="32"/>
          <w:szCs w:val="32"/>
        </w:rPr>
        <w:t>全国综合得分为77.12分，37个城市的得分高于全国综合得分，24个城市的得分高于80分，5个城市的得分高于85分。其中，排名靠前的3个城市依次为：杭州市91.62分、苏州市90.03分、青岛市88.92分；排名靠后的3个城市依次为：海口市67.26分、赣州市64.12分、吉林市63.71分。最高得分与最低得分之间相差27.91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4.在“质量水平”方面。</w:t>
      </w:r>
      <w:r>
        <w:rPr>
          <w:rFonts w:hint="eastAsia" w:ascii="仿宋" w:hAnsi="仿宋" w:eastAsia="仿宋" w:cs="仿宋"/>
          <w:color w:val="1C1C1C"/>
          <w:sz w:val="32"/>
          <w:szCs w:val="32"/>
        </w:rPr>
        <w:t>全国综合得分为79.93分，38个城市的得分高于全国综合得分，38个城市的得分高于80分，10个城市的得分高于85分。其中，排名靠前的3个城市依次为：苏州市92.6分、杭州市91.48分、青岛市91.25分；排名靠后的3个城市依次为：衡阳市72.26分、赣州市71.62分、三亚市70.85分。最高得分与最低得分之间相差21.75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5.在“服务水平”方面。</w:t>
      </w:r>
      <w:r>
        <w:rPr>
          <w:rFonts w:hint="eastAsia" w:ascii="仿宋" w:hAnsi="仿宋" w:eastAsia="仿宋" w:cs="仿宋"/>
          <w:color w:val="1C1C1C"/>
          <w:sz w:val="32"/>
          <w:szCs w:val="32"/>
        </w:rPr>
        <w:t>全国综合得分为78.46分，47个城市的得分高于全国综合得分，32个城市的得分高于80分，7个城市的得分高于85分。其中，排名靠前的3个城市依次为：苏州市90.47分、青岛市89.95分、杭州市88.84分；排名靠后的3个城市依次为：吉林市70.13分、宝鸡市68.63分、呼和浩特市67.01分。最高得分与最低得分之间相差23.47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6.在“消费设施”方面。</w:t>
      </w:r>
      <w:r>
        <w:rPr>
          <w:rFonts w:hint="eastAsia" w:ascii="仿宋" w:hAnsi="仿宋" w:eastAsia="仿宋" w:cs="仿宋"/>
          <w:color w:val="1C1C1C"/>
          <w:sz w:val="32"/>
          <w:szCs w:val="32"/>
        </w:rPr>
        <w:t>全国综合得分为79.38分，47个城市的得分高于全国综合得分，39个城市的得分高于80分，9个城市的得分高于85分。其中，排名靠前的3个城市依次为：苏州市91.86分、青岛市90分、烟台市89.86分；排名靠后的3个城市依次为：三亚市71.69分、衡阳市71.3分、鄂尔多斯市70.92分。最高得分与最低得分之间相差20.95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7.在“价格合理”方面。</w:t>
      </w:r>
      <w:r>
        <w:rPr>
          <w:rFonts w:hint="eastAsia" w:ascii="仿宋" w:hAnsi="仿宋" w:eastAsia="仿宋" w:cs="仿宋"/>
          <w:color w:val="1C1C1C"/>
          <w:sz w:val="32"/>
          <w:szCs w:val="32"/>
        </w:rPr>
        <w:t>全国综合得分为77.95分，39个城市的得分高于全国综合得分，28个城市的得分高于80分，7个城市的得分高于85分。其中，排名靠前的3个城市依次为：苏州市91.16分、青岛市90.62分、烟台市89.12分；排名靠后的3个城市依次为：拉萨市69.49分、海西蒙古族藏族自治州68.92分、运城市68.71分。最高得分与最低得分之间相差22.44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8.在“信息真实”方面。</w:t>
      </w:r>
      <w:r>
        <w:rPr>
          <w:rFonts w:hint="eastAsia" w:ascii="仿宋" w:hAnsi="仿宋" w:eastAsia="仿宋" w:cs="仿宋"/>
          <w:color w:val="1C1C1C"/>
          <w:sz w:val="32"/>
          <w:szCs w:val="32"/>
        </w:rPr>
        <w:t>全国综合得分为77.87分，45个城市的得分高于全国综合得分，31个城市的得分高于80分，10个城市的得分高于85分。其中，排名靠前的3个城市依次为：苏州市91.04分、烟台市90.89分、青岛市90.74分；排名靠后的3个城市依次为：阜阳市68.88分、衡阳市67.77分、呼和浩特市65.57分。最高得分与最低得分之间相差25.48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9.在“售后保障”方面。</w:t>
      </w:r>
      <w:r>
        <w:rPr>
          <w:rFonts w:hint="eastAsia" w:ascii="仿宋" w:hAnsi="仿宋" w:eastAsia="仿宋" w:cs="仿宋"/>
          <w:color w:val="1C1C1C"/>
          <w:sz w:val="32"/>
          <w:szCs w:val="32"/>
        </w:rPr>
        <w:t>全国综合得分为79.27分，47个城市的得分高于全国综合得分，38个城市的得分高于80分，11个城市的得分高于85分。其中，排名靠前的3个城市依次为：苏州市91.9分、青岛市90.38分、杭州市90.2分；排名靠后的3个城市依次为：呼和浩特市70.47分、鄂尔多斯市69.44分、衡阳市69.14分。最高得分与最低得分之间相差22.76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10.在“商家信任度”方面。</w:t>
      </w:r>
      <w:r>
        <w:rPr>
          <w:rFonts w:hint="eastAsia" w:ascii="仿宋" w:hAnsi="仿宋" w:eastAsia="仿宋" w:cs="仿宋"/>
          <w:color w:val="1C1C1C"/>
          <w:sz w:val="32"/>
          <w:szCs w:val="32"/>
        </w:rPr>
        <w:t>全国综合得分为79.83分，47个城市的得分高于全国综合得分，46个城市的得分高于80分，11个城市的得分高于85分。其中，排名靠前的3个城市依次为：苏州市91.87分、烟台市91.19分、青岛市90.82分；排名靠后的3个城市依次为：宝鸡市70.79分、呼和浩特市70.13分、三亚市69.7分。最高得分与最低得分之间相差22.17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11.在“交易安全”方面。</w:t>
      </w:r>
      <w:r>
        <w:rPr>
          <w:rFonts w:hint="eastAsia" w:ascii="仿宋" w:hAnsi="仿宋" w:eastAsia="仿宋" w:cs="仿宋"/>
          <w:color w:val="1C1C1C"/>
          <w:sz w:val="32"/>
          <w:szCs w:val="32"/>
        </w:rPr>
        <w:t>全国综合得分为75.89分，47个城市的得分高于全国综合得分，22个城市的得分高于80分，5个城市的得分高于85分。其中，排名靠前的3个城市依次为：苏州市89.21分、南京市86.72分、杭州市86.25分；排名靠后的3个城市依次为：保定市65.03分、柳州市63.71分、吉林市61.36分。最高得分与最低得分之间相差27.84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12.在“消费知情权”方面。</w:t>
      </w:r>
      <w:r>
        <w:rPr>
          <w:rFonts w:hint="eastAsia" w:ascii="仿宋" w:hAnsi="仿宋" w:eastAsia="仿宋" w:cs="仿宋"/>
          <w:color w:val="1C1C1C"/>
          <w:sz w:val="32"/>
          <w:szCs w:val="32"/>
        </w:rPr>
        <w:t>全国综合得分为80.04分，45个城市的得分高于全国综合得分，45个城市的得分高于80分，11个城市的得分高于85分。其中，排名靠前的3个城市依次为：苏州市92.8分、杭州市91.48分、武汉市91.08分；排名靠后的3个城市依次为：兰州市72.22分、桂林市70.99分、衡阳市70.66分。最高得分与最低得分之间相差22.14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13.在“消费自主选择权”方面。</w:t>
      </w:r>
      <w:r>
        <w:rPr>
          <w:rFonts w:hint="eastAsia" w:ascii="仿宋" w:hAnsi="仿宋" w:eastAsia="仿宋" w:cs="仿宋"/>
          <w:color w:val="1C1C1C"/>
          <w:sz w:val="32"/>
          <w:szCs w:val="32"/>
        </w:rPr>
        <w:t>全国综合得分为81.22分，42个城市的得分高于全国综合得分，50个城市的得分高于80分，19个城市的得分高于85分。其中，排名靠前的3个城市依次为：苏州市93.06分、杭州市92.06分、武汉市91.76分；排名靠后的3个城市依次为：庆阳市74.12分、兰州市74.12分、衡阳市71分。最高得分与最低得分之间相差22.06分。</w:t>
      </w:r>
    </w:p>
    <w:p>
      <w:pPr>
        <w:pStyle w:val="26"/>
        <w:spacing w:line="56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14.在“权益保护”方面。</w:t>
      </w:r>
      <w:r>
        <w:rPr>
          <w:rFonts w:hint="eastAsia" w:ascii="仿宋" w:hAnsi="仿宋" w:eastAsia="仿宋" w:cs="仿宋"/>
          <w:color w:val="1C1C1C"/>
          <w:sz w:val="32"/>
          <w:szCs w:val="32"/>
        </w:rPr>
        <w:t>全国综合得分为79.03分，35个城市的得分高于全国综合得分，29个城市的得分高于80分，14个城市的得分高于85分。其中，排名靠前的3个城市依次为：苏州市96.32分、佛山市95.18分、烟台市94.64分；排名靠后的3个城市依次为：柳州市56.41分、吉林市55.01分、毕节市41.31分。最高得分与最低得分之间相差55.01分。</w:t>
      </w:r>
    </w:p>
    <w:p>
      <w:pPr>
        <w:pStyle w:val="26"/>
        <w:spacing w:line="54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15.在“消费宣传”方面。</w:t>
      </w:r>
      <w:r>
        <w:rPr>
          <w:rFonts w:hint="eastAsia" w:ascii="仿宋" w:hAnsi="仿宋" w:eastAsia="仿宋" w:cs="仿宋"/>
          <w:color w:val="1C1C1C"/>
          <w:sz w:val="32"/>
          <w:szCs w:val="32"/>
        </w:rPr>
        <w:t>全国综合得分为76.84分，47个城市的得分高于全国综合得分，25个城市的得分高于80分，8个城市的得分高于85分。其中，排名靠前的3个城市依次为：青岛市90.12分、苏州市90.01分、南京市88.95分；排名靠后的3个城市依次为：汕头市66.99分、松原市66.09分、吉林市64.37分。最高得分与最低得分之间相差25.74分。</w:t>
      </w:r>
    </w:p>
    <w:p>
      <w:pPr>
        <w:pStyle w:val="26"/>
        <w:spacing w:line="540" w:lineRule="exact"/>
        <w:ind w:firstLine="643"/>
        <w:jc w:val="both"/>
        <w:rPr>
          <w:rFonts w:ascii="仿宋" w:hAnsi="仿宋" w:eastAsia="仿宋" w:cs="仿宋"/>
          <w:color w:val="1C1C1C"/>
          <w:sz w:val="32"/>
          <w:szCs w:val="32"/>
        </w:rPr>
      </w:pPr>
      <w:r>
        <w:rPr>
          <w:rFonts w:hint="eastAsia" w:ascii="仿宋" w:hAnsi="仿宋" w:eastAsia="仿宋" w:cs="仿宋"/>
          <w:b/>
          <w:bCs/>
          <w:color w:val="1C1C1C"/>
          <w:sz w:val="32"/>
          <w:szCs w:val="32"/>
        </w:rPr>
        <w:t>16.在“消费执法”方面。</w:t>
      </w:r>
      <w:r>
        <w:rPr>
          <w:rFonts w:hint="eastAsia" w:ascii="仿宋" w:hAnsi="仿宋" w:eastAsia="仿宋" w:cs="仿宋"/>
          <w:color w:val="1C1C1C"/>
          <w:sz w:val="32"/>
          <w:szCs w:val="32"/>
        </w:rPr>
        <w:t>全国综合得分为76.91分，48个城市的得分高于全国综合得分，26个城市的得分高于80分，10个城市的得分高于85分。其中，排名靠前的3个城市依次为：苏州市91.04分、青岛市90.08分、杭州市89.59分；排名靠后的3个城市依次为：宝鸡市63.72分、衡阳市63.1分、吉林市62.71分。最高得分与最低得分之间相差28.33分。</w:t>
      </w:r>
    </w:p>
    <w:p>
      <w:pPr>
        <w:spacing w:line="360" w:lineRule="auto"/>
        <w:jc w:val="both"/>
        <w:rPr>
          <w:color w:val="1C1C1C"/>
        </w:rPr>
        <w:sectPr>
          <w:footerReference r:id="rId6" w:type="default"/>
          <w:pgSz w:w="11906" w:h="16838"/>
          <w:pgMar w:top="1531" w:right="1474" w:bottom="1531" w:left="1588" w:header="851" w:footer="992" w:gutter="0"/>
          <w:pgNumType w:fmt="numberInDash"/>
          <w:cols w:space="720" w:num="1"/>
          <w:docGrid w:type="lines" w:linePitch="435" w:charSpace="0"/>
        </w:sectPr>
      </w:pPr>
    </w:p>
    <w:p>
      <w:pPr>
        <w:spacing w:line="360" w:lineRule="auto"/>
        <w:jc w:val="both"/>
        <w:rPr>
          <w:color w:val="1C1C1C"/>
        </w:rPr>
      </w:pPr>
    </w:p>
    <w:p>
      <w:pPr>
        <w:jc w:val="center"/>
        <w:rPr>
          <w:rFonts w:ascii="黑体" w:hAnsi="黑体" w:eastAsia="黑体" w:cs="黑体"/>
          <w:color w:val="1C1C1C"/>
          <w:sz w:val="28"/>
          <w:szCs w:val="28"/>
        </w:rPr>
      </w:pPr>
      <w:r>
        <w:rPr>
          <w:rFonts w:hint="eastAsia" w:ascii="黑体" w:hAnsi="黑体" w:eastAsia="黑体" w:cs="黑体"/>
          <w:color w:val="1C1C1C"/>
          <w:sz w:val="28"/>
          <w:szCs w:val="28"/>
        </w:rPr>
        <w:t>表3</w:t>
      </w:r>
      <w:r>
        <w:rPr>
          <w:rFonts w:ascii="黑体" w:hAnsi="黑体" w:eastAsia="黑体" w:cs="黑体"/>
          <w:color w:val="1C1C1C"/>
          <w:sz w:val="28"/>
          <w:szCs w:val="28"/>
        </w:rPr>
        <w:t xml:space="preserve">3 </w:t>
      </w:r>
      <w:r>
        <w:rPr>
          <w:rFonts w:hint="eastAsia" w:ascii="黑体" w:hAnsi="黑体" w:eastAsia="黑体" w:cs="黑体"/>
          <w:color w:val="1C1C1C"/>
          <w:sz w:val="28"/>
          <w:szCs w:val="28"/>
        </w:rPr>
        <w:t>100个城市消费者满意度二级指标得分表</w:t>
      </w:r>
    </w:p>
    <w:tbl>
      <w:tblPr>
        <w:tblStyle w:val="16"/>
        <w:tblW w:w="15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0" w:type="dxa"/>
        </w:tblCellMar>
      </w:tblPr>
      <w:tblGrid>
        <w:gridCol w:w="675"/>
        <w:gridCol w:w="993"/>
        <w:gridCol w:w="992"/>
        <w:gridCol w:w="992"/>
        <w:gridCol w:w="992"/>
        <w:gridCol w:w="851"/>
        <w:gridCol w:w="850"/>
        <w:gridCol w:w="851"/>
        <w:gridCol w:w="850"/>
        <w:gridCol w:w="851"/>
        <w:gridCol w:w="881"/>
        <w:gridCol w:w="820"/>
        <w:gridCol w:w="850"/>
        <w:gridCol w:w="993"/>
        <w:gridCol w:w="965"/>
        <w:gridCol w:w="851"/>
        <w:gridCol w:w="877"/>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tblHeader/>
          <w:jc w:val="center"/>
        </w:trPr>
        <w:tc>
          <w:tcPr>
            <w:tcW w:w="675"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序号</w:t>
            </w:r>
          </w:p>
        </w:tc>
        <w:tc>
          <w:tcPr>
            <w:tcW w:w="993"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城市</w:t>
            </w:r>
          </w:p>
        </w:tc>
        <w:tc>
          <w:tcPr>
            <w:tcW w:w="992"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供给丰富性</w:t>
            </w:r>
          </w:p>
        </w:tc>
        <w:tc>
          <w:tcPr>
            <w:tcW w:w="992"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供给便利性</w:t>
            </w:r>
          </w:p>
        </w:tc>
        <w:tc>
          <w:tcPr>
            <w:tcW w:w="992"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供给创新性</w:t>
            </w:r>
          </w:p>
        </w:tc>
        <w:tc>
          <w:tcPr>
            <w:tcW w:w="851"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质量</w:t>
            </w:r>
          </w:p>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水平</w:t>
            </w:r>
          </w:p>
        </w:tc>
        <w:tc>
          <w:tcPr>
            <w:tcW w:w="850"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服务</w:t>
            </w:r>
          </w:p>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水平</w:t>
            </w:r>
          </w:p>
        </w:tc>
        <w:tc>
          <w:tcPr>
            <w:tcW w:w="851"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消费</w:t>
            </w:r>
          </w:p>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设施</w:t>
            </w:r>
          </w:p>
        </w:tc>
        <w:tc>
          <w:tcPr>
            <w:tcW w:w="850"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价格</w:t>
            </w:r>
          </w:p>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合理</w:t>
            </w:r>
          </w:p>
        </w:tc>
        <w:tc>
          <w:tcPr>
            <w:tcW w:w="851"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信息</w:t>
            </w:r>
          </w:p>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真实</w:t>
            </w:r>
          </w:p>
        </w:tc>
        <w:tc>
          <w:tcPr>
            <w:tcW w:w="881"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售后</w:t>
            </w:r>
          </w:p>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保障</w:t>
            </w:r>
          </w:p>
        </w:tc>
        <w:tc>
          <w:tcPr>
            <w:tcW w:w="820" w:type="dxa"/>
            <w:shd w:val="clear" w:color="auto" w:fill="4472C4" w:themeFill="accent5"/>
            <w:noWrap/>
            <w:tcMar>
              <w:left w:w="0" w:type="dxa"/>
            </w:tcMar>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商家信任度</w:t>
            </w:r>
          </w:p>
        </w:tc>
        <w:tc>
          <w:tcPr>
            <w:tcW w:w="850"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交易</w:t>
            </w:r>
          </w:p>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安全</w:t>
            </w:r>
          </w:p>
        </w:tc>
        <w:tc>
          <w:tcPr>
            <w:tcW w:w="993"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消费知情权</w:t>
            </w:r>
          </w:p>
        </w:tc>
        <w:tc>
          <w:tcPr>
            <w:tcW w:w="965" w:type="dxa"/>
            <w:shd w:val="clear" w:color="auto" w:fill="4472C4" w:themeFill="accent5"/>
            <w:noWrap/>
            <w:tcMar>
              <w:left w:w="0" w:type="dxa"/>
            </w:tcMar>
            <w:vAlign w:val="center"/>
          </w:tcPr>
          <w:p>
            <w:pPr>
              <w:pStyle w:val="27"/>
              <w:spacing w:line="400" w:lineRule="exact"/>
              <w:rPr>
                <w:rFonts w:ascii="黑体" w:hAnsi="黑体" w:eastAsia="黑体" w:cs="黑体"/>
                <w:bCs w:val="0"/>
                <w:color w:val="1C1C1C"/>
                <w:spacing w:val="-8"/>
                <w:sz w:val="24"/>
              </w:rPr>
            </w:pPr>
            <w:r>
              <w:rPr>
                <w:rFonts w:hint="eastAsia" w:ascii="黑体" w:hAnsi="黑体" w:eastAsia="黑体" w:cs="黑体"/>
                <w:bCs w:val="0"/>
                <w:color w:val="1C1C1C"/>
                <w:spacing w:val="-8"/>
                <w:sz w:val="24"/>
              </w:rPr>
              <w:t>消费自主选择权</w:t>
            </w:r>
          </w:p>
        </w:tc>
        <w:tc>
          <w:tcPr>
            <w:tcW w:w="851"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权益</w:t>
            </w:r>
          </w:p>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保护</w:t>
            </w:r>
          </w:p>
        </w:tc>
        <w:tc>
          <w:tcPr>
            <w:tcW w:w="877"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消费</w:t>
            </w:r>
          </w:p>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宣传</w:t>
            </w:r>
          </w:p>
        </w:tc>
        <w:tc>
          <w:tcPr>
            <w:tcW w:w="824" w:type="dxa"/>
            <w:shd w:val="clear" w:color="auto" w:fill="4472C4" w:themeFill="accent5"/>
            <w:noWrap/>
            <w:vAlign w:val="center"/>
          </w:tcPr>
          <w:p>
            <w:pPr>
              <w:pStyle w:val="27"/>
              <w:spacing w:line="400" w:lineRule="exact"/>
              <w:rPr>
                <w:rFonts w:ascii="黑体" w:hAnsi="黑体" w:eastAsia="黑体" w:cs="黑体"/>
                <w:bCs w:val="0"/>
                <w:color w:val="1C1C1C"/>
                <w:sz w:val="24"/>
              </w:rPr>
            </w:pPr>
            <w:r>
              <w:rPr>
                <w:rFonts w:hint="eastAsia" w:ascii="黑体" w:hAnsi="黑体" w:eastAsia="黑体" w:cs="黑体"/>
                <w:bCs w:val="0"/>
                <w:color w:val="1C1C1C"/>
                <w:sz w:val="24"/>
              </w:rPr>
              <w:t>消费执法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w:t>
            </w:r>
          </w:p>
        </w:tc>
        <w:tc>
          <w:tcPr>
            <w:tcW w:w="993" w:type="dxa"/>
            <w:noWrap/>
          </w:tcPr>
          <w:p>
            <w:pPr>
              <w:pStyle w:val="27"/>
              <w:rPr>
                <w:rFonts w:ascii="仿宋" w:hAnsi="仿宋" w:eastAsia="仿宋"/>
                <w:sz w:val="22"/>
                <w:szCs w:val="22"/>
              </w:rPr>
            </w:pPr>
            <w:r>
              <w:rPr>
                <w:rFonts w:hint="eastAsia" w:ascii="仿宋" w:hAnsi="仿宋" w:eastAsia="仿宋"/>
                <w:sz w:val="22"/>
                <w:szCs w:val="22"/>
              </w:rPr>
              <w:t>苏州市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92.43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93.57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90.03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92.60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90.47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91.86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91.16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91.04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91.90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91.87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89.21</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92.80</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93.06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96.32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90.01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w:t>
            </w:r>
          </w:p>
        </w:tc>
        <w:tc>
          <w:tcPr>
            <w:tcW w:w="993" w:type="dxa"/>
            <w:noWrap/>
          </w:tcPr>
          <w:p>
            <w:pPr>
              <w:pStyle w:val="27"/>
              <w:rPr>
                <w:rFonts w:ascii="仿宋" w:hAnsi="仿宋" w:eastAsia="仿宋"/>
                <w:sz w:val="22"/>
                <w:szCs w:val="22"/>
              </w:rPr>
            </w:pPr>
            <w:r>
              <w:rPr>
                <w:rFonts w:hint="eastAsia" w:ascii="仿宋" w:hAnsi="仿宋" w:eastAsia="仿宋"/>
                <w:sz w:val="22"/>
                <w:szCs w:val="22"/>
              </w:rPr>
              <w:t>青岛市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92.72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93.53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88.92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91.25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89.95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90.00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90.74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90.38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90.82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85.64</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90.40</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91.51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90.73</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90.12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w:t>
            </w:r>
          </w:p>
        </w:tc>
        <w:tc>
          <w:tcPr>
            <w:tcW w:w="993" w:type="dxa"/>
            <w:noWrap/>
          </w:tcPr>
          <w:p>
            <w:pPr>
              <w:pStyle w:val="27"/>
              <w:rPr>
                <w:rFonts w:ascii="仿宋" w:hAnsi="仿宋" w:eastAsia="仿宋"/>
                <w:sz w:val="22"/>
                <w:szCs w:val="22"/>
              </w:rPr>
            </w:pPr>
            <w:r>
              <w:rPr>
                <w:rFonts w:hint="eastAsia" w:ascii="仿宋" w:hAnsi="仿宋" w:eastAsia="仿宋"/>
                <w:sz w:val="22"/>
                <w:szCs w:val="22"/>
              </w:rPr>
              <w:t>杭州市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92.25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91.37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91.48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88.84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88.72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87.97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89.19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90.20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89.78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86.25</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91.48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92.06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89.80</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88.43</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w:t>
            </w:r>
          </w:p>
        </w:tc>
        <w:tc>
          <w:tcPr>
            <w:tcW w:w="993" w:type="dxa"/>
            <w:noWrap/>
          </w:tcPr>
          <w:p>
            <w:pPr>
              <w:pStyle w:val="27"/>
              <w:rPr>
                <w:rFonts w:ascii="仿宋" w:hAnsi="仿宋" w:eastAsia="仿宋"/>
                <w:sz w:val="22"/>
                <w:szCs w:val="22"/>
              </w:rPr>
            </w:pPr>
            <w:r>
              <w:rPr>
                <w:rFonts w:hint="eastAsia" w:ascii="仿宋" w:hAnsi="仿宋" w:eastAsia="仿宋"/>
                <w:sz w:val="22"/>
                <w:szCs w:val="22"/>
              </w:rPr>
              <w:t>烟台市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91.38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90.62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82.94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90.04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86.23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89.86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89.12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90.89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89.58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91.19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85.19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88.67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94.64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87.63</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w:t>
            </w:r>
          </w:p>
        </w:tc>
        <w:tc>
          <w:tcPr>
            <w:tcW w:w="993" w:type="dxa"/>
            <w:noWrap/>
          </w:tcPr>
          <w:p>
            <w:pPr>
              <w:pStyle w:val="27"/>
              <w:rPr>
                <w:rFonts w:ascii="仿宋" w:hAnsi="仿宋" w:eastAsia="仿宋"/>
                <w:sz w:val="22"/>
                <w:szCs w:val="22"/>
              </w:rPr>
            </w:pPr>
            <w:r>
              <w:rPr>
                <w:rFonts w:hint="eastAsia" w:ascii="仿宋" w:hAnsi="仿宋" w:eastAsia="仿宋"/>
                <w:sz w:val="22"/>
                <w:szCs w:val="22"/>
              </w:rPr>
              <w:t>南京市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89.54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90.26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87.77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89.16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87.68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88.80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87.65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88.79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89.21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88.73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86.72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90.66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90.39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89.20</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88.95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w:t>
            </w:r>
          </w:p>
        </w:tc>
        <w:tc>
          <w:tcPr>
            <w:tcW w:w="993" w:type="dxa"/>
            <w:noWrap/>
          </w:tcPr>
          <w:p>
            <w:pPr>
              <w:pStyle w:val="27"/>
              <w:rPr>
                <w:rFonts w:ascii="仿宋" w:hAnsi="仿宋" w:eastAsia="仿宋"/>
                <w:sz w:val="22"/>
                <w:szCs w:val="22"/>
              </w:rPr>
            </w:pPr>
            <w:r>
              <w:rPr>
                <w:rFonts w:hint="eastAsia" w:ascii="仿宋" w:hAnsi="仿宋" w:eastAsia="仿宋"/>
                <w:sz w:val="22"/>
                <w:szCs w:val="22"/>
              </w:rPr>
              <w:t>佛山市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90.27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91.11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87.10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89.21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87.87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87.71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87.66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86.09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87.77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89.23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82.84</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87.93</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89.64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95.18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85.06</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w:t>
            </w:r>
          </w:p>
        </w:tc>
        <w:tc>
          <w:tcPr>
            <w:tcW w:w="993" w:type="dxa"/>
            <w:noWrap/>
          </w:tcPr>
          <w:p>
            <w:pPr>
              <w:pStyle w:val="27"/>
              <w:rPr>
                <w:rFonts w:ascii="仿宋" w:hAnsi="仿宋" w:eastAsia="仿宋"/>
                <w:sz w:val="22"/>
                <w:szCs w:val="22"/>
              </w:rPr>
            </w:pPr>
            <w:r>
              <w:rPr>
                <w:rFonts w:hint="eastAsia" w:ascii="仿宋" w:hAnsi="仿宋" w:eastAsia="仿宋"/>
                <w:sz w:val="22"/>
                <w:szCs w:val="22"/>
              </w:rPr>
              <w:t>无锡市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90.19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91.51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84.58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89.60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85.74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89.21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88.26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88.15</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87.91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84.54</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90.57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91.66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89.08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85.91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w:t>
            </w:r>
          </w:p>
        </w:tc>
        <w:tc>
          <w:tcPr>
            <w:tcW w:w="993" w:type="dxa"/>
            <w:noWrap/>
          </w:tcPr>
          <w:p>
            <w:pPr>
              <w:pStyle w:val="27"/>
              <w:rPr>
                <w:rFonts w:ascii="仿宋" w:hAnsi="仿宋" w:eastAsia="仿宋"/>
                <w:sz w:val="22"/>
                <w:szCs w:val="22"/>
              </w:rPr>
            </w:pPr>
            <w:r>
              <w:rPr>
                <w:rFonts w:hint="eastAsia" w:ascii="仿宋" w:hAnsi="仿宋" w:eastAsia="仿宋"/>
                <w:sz w:val="22"/>
                <w:szCs w:val="22"/>
              </w:rPr>
              <w:t>厦门市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88.62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88.07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83.64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84.63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83.00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82.51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85.29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85.22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83.62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77.24</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84.72</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83.74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87.20</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84.60</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w:t>
            </w:r>
          </w:p>
        </w:tc>
        <w:tc>
          <w:tcPr>
            <w:tcW w:w="993" w:type="dxa"/>
            <w:noWrap/>
          </w:tcPr>
          <w:p>
            <w:pPr>
              <w:pStyle w:val="27"/>
              <w:rPr>
                <w:rFonts w:ascii="仿宋" w:hAnsi="仿宋" w:eastAsia="仿宋"/>
                <w:sz w:val="22"/>
                <w:szCs w:val="22"/>
              </w:rPr>
            </w:pPr>
            <w:r>
              <w:rPr>
                <w:rFonts w:hint="eastAsia" w:ascii="仿宋" w:hAnsi="仿宋" w:eastAsia="仿宋"/>
                <w:sz w:val="22"/>
                <w:szCs w:val="22"/>
              </w:rPr>
              <w:t>北京市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89.97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87.87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84.05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85.46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84.48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82.61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83.07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86.16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85.54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83.11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76.47</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85.87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86.55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84.19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10</w:t>
            </w:r>
          </w:p>
        </w:tc>
        <w:tc>
          <w:tcPr>
            <w:tcW w:w="993" w:type="dxa"/>
            <w:noWrap/>
          </w:tcPr>
          <w:p>
            <w:pPr>
              <w:pStyle w:val="27"/>
              <w:rPr>
                <w:rFonts w:ascii="仿宋" w:hAnsi="仿宋" w:eastAsia="仿宋"/>
                <w:sz w:val="22"/>
                <w:szCs w:val="22"/>
              </w:rPr>
            </w:pPr>
            <w:r>
              <w:rPr>
                <w:rFonts w:hint="eastAsia" w:ascii="仿宋" w:hAnsi="仿宋" w:eastAsia="仿宋"/>
                <w:sz w:val="22"/>
                <w:szCs w:val="22"/>
              </w:rPr>
              <w:t>宜昌市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85.05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87.00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84.37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85.55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74.58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85.78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84.92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85.70</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84.04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85.53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79.26</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84.47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83.50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88.51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11</w:t>
            </w:r>
          </w:p>
        </w:tc>
        <w:tc>
          <w:tcPr>
            <w:tcW w:w="993" w:type="dxa"/>
            <w:noWrap/>
          </w:tcPr>
          <w:p>
            <w:pPr>
              <w:pStyle w:val="27"/>
              <w:rPr>
                <w:rFonts w:ascii="仿宋" w:hAnsi="仿宋" w:eastAsia="仿宋"/>
                <w:sz w:val="22"/>
                <w:szCs w:val="22"/>
              </w:rPr>
            </w:pPr>
            <w:r>
              <w:rPr>
                <w:rFonts w:hint="eastAsia" w:ascii="仿宋" w:hAnsi="仿宋" w:eastAsia="仿宋"/>
                <w:sz w:val="22"/>
                <w:szCs w:val="22"/>
              </w:rPr>
              <w:t>宁波市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83.46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85.00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83.48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82.67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83.41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81.53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82.86</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80.11</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83.06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91.42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82.73</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12</w:t>
            </w:r>
          </w:p>
        </w:tc>
        <w:tc>
          <w:tcPr>
            <w:tcW w:w="993" w:type="dxa"/>
            <w:noWrap/>
          </w:tcPr>
          <w:p>
            <w:pPr>
              <w:pStyle w:val="27"/>
              <w:rPr>
                <w:rFonts w:ascii="仿宋" w:hAnsi="仿宋" w:eastAsia="仿宋"/>
                <w:sz w:val="22"/>
                <w:szCs w:val="22"/>
              </w:rPr>
            </w:pPr>
            <w:r>
              <w:rPr>
                <w:rFonts w:hint="eastAsia" w:ascii="仿宋" w:hAnsi="仿宋" w:eastAsia="仿宋"/>
                <w:sz w:val="22"/>
                <w:szCs w:val="22"/>
              </w:rPr>
              <w:t>深圳市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84.64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82.07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83.34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84.47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84.77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80.51</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85.51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85.87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85.86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81.36</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13</w:t>
            </w:r>
          </w:p>
        </w:tc>
        <w:tc>
          <w:tcPr>
            <w:tcW w:w="993" w:type="dxa"/>
            <w:noWrap/>
          </w:tcPr>
          <w:p>
            <w:pPr>
              <w:pStyle w:val="27"/>
              <w:rPr>
                <w:rFonts w:ascii="仿宋" w:hAnsi="仿宋" w:eastAsia="仿宋"/>
                <w:sz w:val="22"/>
                <w:szCs w:val="22"/>
              </w:rPr>
            </w:pPr>
            <w:r>
              <w:rPr>
                <w:rFonts w:hint="eastAsia" w:ascii="仿宋" w:hAnsi="仿宋" w:eastAsia="仿宋"/>
                <w:sz w:val="22"/>
                <w:szCs w:val="22"/>
              </w:rPr>
              <w:t>潍坊市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87.96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90.08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85.49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84.06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84.63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84.17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81.98</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86.32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87.36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79.35</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84.65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86.22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68.95</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79.31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14</w:t>
            </w:r>
          </w:p>
        </w:tc>
        <w:tc>
          <w:tcPr>
            <w:tcW w:w="993" w:type="dxa"/>
            <w:noWrap/>
          </w:tcPr>
          <w:p>
            <w:pPr>
              <w:pStyle w:val="27"/>
              <w:rPr>
                <w:rFonts w:ascii="仿宋" w:hAnsi="仿宋" w:eastAsia="仿宋"/>
                <w:sz w:val="22"/>
                <w:szCs w:val="22"/>
              </w:rPr>
            </w:pPr>
            <w:r>
              <w:rPr>
                <w:rFonts w:hint="eastAsia" w:ascii="仿宋" w:hAnsi="仿宋" w:eastAsia="仿宋"/>
                <w:sz w:val="22"/>
                <w:szCs w:val="22"/>
              </w:rPr>
              <w:t>天津市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84.91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84.13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83.27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82.96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82.15</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83.94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83.21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81.39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82.58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84.37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81.43</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15</w:t>
            </w:r>
          </w:p>
        </w:tc>
        <w:tc>
          <w:tcPr>
            <w:tcW w:w="993" w:type="dxa"/>
            <w:noWrap/>
          </w:tcPr>
          <w:p>
            <w:pPr>
              <w:pStyle w:val="27"/>
              <w:rPr>
                <w:rFonts w:ascii="仿宋" w:hAnsi="仿宋" w:eastAsia="仿宋"/>
                <w:sz w:val="22"/>
                <w:szCs w:val="22"/>
              </w:rPr>
            </w:pPr>
            <w:r>
              <w:rPr>
                <w:rFonts w:hint="eastAsia" w:ascii="仿宋" w:hAnsi="仿宋" w:eastAsia="仿宋"/>
                <w:sz w:val="22"/>
                <w:szCs w:val="22"/>
              </w:rPr>
              <w:t>南宁市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83.78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83.97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79.09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84.34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83.21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84.49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83.35</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84.93</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84.25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83.41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85.05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75.41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82.18</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16</w:t>
            </w:r>
          </w:p>
        </w:tc>
        <w:tc>
          <w:tcPr>
            <w:tcW w:w="993" w:type="dxa"/>
            <w:noWrap/>
          </w:tcPr>
          <w:p>
            <w:pPr>
              <w:pStyle w:val="27"/>
              <w:rPr>
                <w:rFonts w:ascii="仿宋" w:hAnsi="仿宋" w:eastAsia="仿宋"/>
                <w:sz w:val="22"/>
                <w:szCs w:val="22"/>
              </w:rPr>
            </w:pPr>
            <w:r>
              <w:rPr>
                <w:rFonts w:hint="eastAsia" w:ascii="仿宋" w:hAnsi="仿宋" w:eastAsia="仿宋"/>
                <w:sz w:val="22"/>
                <w:szCs w:val="22"/>
              </w:rPr>
              <w:t>常州市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84.72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86.77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84.12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83.27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82.26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81.86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83.32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83.21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85.11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88.74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17</w:t>
            </w:r>
          </w:p>
        </w:tc>
        <w:tc>
          <w:tcPr>
            <w:tcW w:w="993" w:type="dxa"/>
            <w:noWrap/>
          </w:tcPr>
          <w:p>
            <w:pPr>
              <w:pStyle w:val="27"/>
              <w:rPr>
                <w:rFonts w:ascii="仿宋" w:hAnsi="仿宋" w:eastAsia="仿宋"/>
                <w:sz w:val="22"/>
                <w:szCs w:val="22"/>
              </w:rPr>
            </w:pPr>
            <w:r>
              <w:rPr>
                <w:rFonts w:hint="eastAsia" w:ascii="仿宋" w:hAnsi="仿宋" w:eastAsia="仿宋"/>
                <w:sz w:val="22"/>
                <w:szCs w:val="22"/>
              </w:rPr>
              <w:t>上海市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85.60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85.34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81.11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81.37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81.51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83.91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80.60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81.11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82.07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83.42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18</w:t>
            </w:r>
          </w:p>
        </w:tc>
        <w:tc>
          <w:tcPr>
            <w:tcW w:w="993" w:type="dxa"/>
            <w:noWrap/>
          </w:tcPr>
          <w:p>
            <w:pPr>
              <w:pStyle w:val="27"/>
              <w:rPr>
                <w:rFonts w:ascii="仿宋" w:hAnsi="仿宋" w:eastAsia="仿宋"/>
                <w:sz w:val="22"/>
                <w:szCs w:val="22"/>
              </w:rPr>
            </w:pPr>
            <w:r>
              <w:rPr>
                <w:rFonts w:hint="eastAsia" w:ascii="仿宋" w:hAnsi="仿宋" w:eastAsia="仿宋"/>
                <w:sz w:val="22"/>
                <w:szCs w:val="22"/>
              </w:rPr>
              <w:t>成都市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85.88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85.21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80.06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80.41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81.07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83.44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81.60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82.23</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86.37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19</w:t>
            </w:r>
          </w:p>
        </w:tc>
        <w:tc>
          <w:tcPr>
            <w:tcW w:w="993" w:type="dxa"/>
            <w:noWrap/>
          </w:tcPr>
          <w:p>
            <w:pPr>
              <w:pStyle w:val="27"/>
              <w:rPr>
                <w:rFonts w:ascii="仿宋" w:hAnsi="仿宋" w:eastAsia="仿宋"/>
                <w:sz w:val="22"/>
                <w:szCs w:val="22"/>
              </w:rPr>
            </w:pPr>
            <w:r>
              <w:rPr>
                <w:rFonts w:hint="eastAsia" w:ascii="仿宋" w:hAnsi="仿宋" w:eastAsia="仿宋"/>
                <w:sz w:val="22"/>
                <w:szCs w:val="22"/>
              </w:rPr>
              <w:t>盐城市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83.74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86.62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84.16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82.08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80.50</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84.94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83.57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84.51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20</w:t>
            </w:r>
          </w:p>
        </w:tc>
        <w:tc>
          <w:tcPr>
            <w:tcW w:w="993" w:type="dxa"/>
            <w:noWrap/>
          </w:tcPr>
          <w:p>
            <w:pPr>
              <w:pStyle w:val="27"/>
              <w:rPr>
                <w:rFonts w:ascii="仿宋" w:hAnsi="仿宋" w:eastAsia="仿宋"/>
                <w:sz w:val="22"/>
                <w:szCs w:val="22"/>
              </w:rPr>
            </w:pPr>
            <w:r>
              <w:rPr>
                <w:rFonts w:hint="eastAsia" w:ascii="仿宋" w:hAnsi="仿宋" w:eastAsia="仿宋"/>
                <w:sz w:val="22"/>
                <w:szCs w:val="22"/>
              </w:rPr>
              <w:t>广州市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86.14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86.28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81.82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82.20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84.03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82.25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82.96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78.84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21</w:t>
            </w:r>
          </w:p>
        </w:tc>
        <w:tc>
          <w:tcPr>
            <w:tcW w:w="993" w:type="dxa"/>
            <w:noWrap/>
            <w:tcMar>
              <w:left w:w="0" w:type="dxa"/>
            </w:tcMar>
          </w:tcPr>
          <w:p>
            <w:pPr>
              <w:pStyle w:val="27"/>
              <w:rPr>
                <w:rFonts w:ascii="仿宋" w:hAnsi="仿宋" w:eastAsia="仿宋"/>
                <w:sz w:val="22"/>
                <w:szCs w:val="22"/>
              </w:rPr>
            </w:pPr>
            <w:r>
              <w:rPr>
                <w:rFonts w:hint="eastAsia" w:ascii="仿宋" w:hAnsi="仿宋" w:eastAsia="仿宋"/>
                <w:sz w:val="22"/>
                <w:szCs w:val="22"/>
              </w:rPr>
              <w:t>泉州市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84.66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82.82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81.06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82.81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83.13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81.07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87.96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80.14</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22</w:t>
            </w:r>
          </w:p>
        </w:tc>
        <w:tc>
          <w:tcPr>
            <w:tcW w:w="993" w:type="dxa"/>
            <w:noWrap/>
          </w:tcPr>
          <w:p>
            <w:pPr>
              <w:pStyle w:val="27"/>
              <w:rPr>
                <w:rFonts w:ascii="仿宋" w:hAnsi="仿宋" w:eastAsia="仿宋"/>
                <w:sz w:val="22"/>
                <w:szCs w:val="22"/>
              </w:rPr>
            </w:pPr>
            <w:r>
              <w:rPr>
                <w:rFonts w:hint="eastAsia" w:ascii="仿宋" w:hAnsi="仿宋" w:eastAsia="仿宋"/>
                <w:sz w:val="22"/>
                <w:szCs w:val="22"/>
              </w:rPr>
              <w:t>金华市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76.81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84.75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85.67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83.79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85.35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85.98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82.64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84.15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23</w:t>
            </w:r>
          </w:p>
        </w:tc>
        <w:tc>
          <w:tcPr>
            <w:tcW w:w="993" w:type="dxa"/>
            <w:noWrap/>
          </w:tcPr>
          <w:p>
            <w:pPr>
              <w:pStyle w:val="27"/>
              <w:rPr>
                <w:rFonts w:ascii="仿宋" w:hAnsi="仿宋" w:eastAsia="仿宋"/>
                <w:sz w:val="22"/>
                <w:szCs w:val="22"/>
              </w:rPr>
            </w:pPr>
            <w:r>
              <w:rPr>
                <w:rFonts w:hint="eastAsia" w:ascii="仿宋" w:hAnsi="仿宋" w:eastAsia="仿宋"/>
                <w:sz w:val="22"/>
                <w:szCs w:val="22"/>
              </w:rPr>
              <w:t>南通市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81.55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80.61</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84.58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86.37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85.46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24</w:t>
            </w:r>
          </w:p>
        </w:tc>
        <w:tc>
          <w:tcPr>
            <w:tcW w:w="993" w:type="dxa"/>
            <w:noWrap/>
          </w:tcPr>
          <w:p>
            <w:pPr>
              <w:pStyle w:val="27"/>
              <w:rPr>
                <w:rFonts w:ascii="仿宋" w:hAnsi="仿宋" w:eastAsia="仿宋"/>
                <w:sz w:val="22"/>
                <w:szCs w:val="22"/>
              </w:rPr>
            </w:pPr>
            <w:r>
              <w:rPr>
                <w:rFonts w:hint="eastAsia" w:ascii="仿宋" w:hAnsi="仿宋" w:eastAsia="仿宋"/>
                <w:sz w:val="22"/>
                <w:szCs w:val="22"/>
              </w:rPr>
              <w:t>洛阳市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83.91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82.58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73.69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74.59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82.00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83.88</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83.04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82.65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82.69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82.55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84.39</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25</w:t>
            </w:r>
          </w:p>
        </w:tc>
        <w:tc>
          <w:tcPr>
            <w:tcW w:w="993" w:type="dxa"/>
            <w:noWrap/>
          </w:tcPr>
          <w:p>
            <w:pPr>
              <w:pStyle w:val="27"/>
              <w:rPr>
                <w:rFonts w:ascii="仿宋" w:hAnsi="仿宋" w:eastAsia="仿宋"/>
                <w:sz w:val="22"/>
                <w:szCs w:val="22"/>
              </w:rPr>
            </w:pPr>
            <w:r>
              <w:rPr>
                <w:rFonts w:hint="eastAsia" w:ascii="仿宋" w:hAnsi="仿宋" w:eastAsia="仿宋"/>
                <w:sz w:val="22"/>
                <w:szCs w:val="22"/>
              </w:rPr>
              <w:t>襄阳市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84.61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85.52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83.07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82.24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81.07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80.66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81.69</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82.45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78.27</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82.95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84.31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81.86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26</w:t>
            </w:r>
          </w:p>
        </w:tc>
        <w:tc>
          <w:tcPr>
            <w:tcW w:w="993" w:type="dxa"/>
            <w:noWrap/>
          </w:tcPr>
          <w:p>
            <w:pPr>
              <w:pStyle w:val="27"/>
              <w:rPr>
                <w:rFonts w:ascii="仿宋" w:hAnsi="仿宋" w:eastAsia="仿宋"/>
                <w:sz w:val="22"/>
                <w:szCs w:val="22"/>
              </w:rPr>
            </w:pPr>
            <w:r>
              <w:rPr>
                <w:rFonts w:hint="eastAsia" w:ascii="仿宋" w:hAnsi="仿宋" w:eastAsia="仿宋"/>
                <w:sz w:val="22"/>
                <w:szCs w:val="22"/>
              </w:rPr>
              <w:t>嘉兴市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82.91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84.76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82.46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78.65</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81.19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80.69</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80.64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80.03</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27</w:t>
            </w:r>
          </w:p>
        </w:tc>
        <w:tc>
          <w:tcPr>
            <w:tcW w:w="993" w:type="dxa"/>
            <w:noWrap/>
          </w:tcPr>
          <w:p>
            <w:pPr>
              <w:pStyle w:val="27"/>
              <w:rPr>
                <w:rFonts w:ascii="仿宋" w:hAnsi="仿宋" w:eastAsia="仿宋"/>
                <w:sz w:val="22"/>
                <w:szCs w:val="22"/>
              </w:rPr>
            </w:pPr>
            <w:r>
              <w:rPr>
                <w:rFonts w:hint="eastAsia" w:ascii="仿宋" w:hAnsi="仿宋" w:eastAsia="仿宋"/>
                <w:sz w:val="22"/>
                <w:szCs w:val="22"/>
              </w:rPr>
              <w:t>吴忠市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81.89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84.65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79.88</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81.07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81.04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85.36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28</w:t>
            </w:r>
          </w:p>
        </w:tc>
        <w:tc>
          <w:tcPr>
            <w:tcW w:w="993" w:type="dxa"/>
            <w:noWrap/>
          </w:tcPr>
          <w:p>
            <w:pPr>
              <w:pStyle w:val="27"/>
              <w:rPr>
                <w:rFonts w:ascii="仿宋" w:hAnsi="仿宋" w:eastAsia="仿宋"/>
                <w:sz w:val="22"/>
                <w:szCs w:val="22"/>
              </w:rPr>
            </w:pPr>
            <w:r>
              <w:rPr>
                <w:rFonts w:hint="eastAsia" w:ascii="仿宋" w:hAnsi="仿宋" w:eastAsia="仿宋"/>
                <w:sz w:val="22"/>
                <w:szCs w:val="22"/>
              </w:rPr>
              <w:t>济宁市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79.01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82.94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81.10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82.82</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84.14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83.04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80.96</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29</w:t>
            </w:r>
          </w:p>
        </w:tc>
        <w:tc>
          <w:tcPr>
            <w:tcW w:w="993" w:type="dxa"/>
            <w:noWrap/>
            <w:tcMar>
              <w:left w:w="0" w:type="dxa"/>
            </w:tcMar>
          </w:tcPr>
          <w:p>
            <w:pPr>
              <w:pStyle w:val="27"/>
              <w:rPr>
                <w:rFonts w:ascii="仿宋" w:hAnsi="仿宋" w:eastAsia="仿宋"/>
                <w:sz w:val="22"/>
                <w:szCs w:val="22"/>
              </w:rPr>
            </w:pPr>
            <w:r>
              <w:rPr>
                <w:rFonts w:hint="eastAsia" w:ascii="仿宋" w:hAnsi="仿宋" w:eastAsia="仿宋"/>
                <w:sz w:val="22"/>
                <w:szCs w:val="22"/>
              </w:rPr>
              <w:t>绍兴市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86.77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84.90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80.23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80.66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79.70</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81.11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79.67</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81.11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76.39</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80.05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30</w:t>
            </w:r>
          </w:p>
        </w:tc>
        <w:tc>
          <w:tcPr>
            <w:tcW w:w="993" w:type="dxa"/>
            <w:noWrap/>
            <w:tcMar>
              <w:left w:w="0" w:type="dxa"/>
            </w:tcMar>
          </w:tcPr>
          <w:p>
            <w:pPr>
              <w:pStyle w:val="27"/>
              <w:rPr>
                <w:rFonts w:ascii="仿宋" w:hAnsi="仿宋" w:eastAsia="仿宋"/>
                <w:sz w:val="22"/>
                <w:szCs w:val="22"/>
              </w:rPr>
            </w:pPr>
            <w:r>
              <w:rPr>
                <w:rFonts w:hint="eastAsia" w:ascii="仿宋" w:hAnsi="仿宋" w:eastAsia="仿宋"/>
                <w:sz w:val="22"/>
                <w:szCs w:val="22"/>
              </w:rPr>
              <w:t>温州市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82.40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82.08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78.75</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79.96</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81.35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79.65</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79.38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79.73</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31</w:t>
            </w:r>
          </w:p>
        </w:tc>
        <w:tc>
          <w:tcPr>
            <w:tcW w:w="993" w:type="dxa"/>
            <w:noWrap/>
          </w:tcPr>
          <w:p>
            <w:pPr>
              <w:pStyle w:val="27"/>
              <w:rPr>
                <w:rFonts w:ascii="仿宋" w:hAnsi="仿宋" w:eastAsia="仿宋"/>
                <w:sz w:val="22"/>
                <w:szCs w:val="22"/>
              </w:rPr>
            </w:pPr>
            <w:r>
              <w:rPr>
                <w:rFonts w:hint="eastAsia" w:ascii="仿宋" w:hAnsi="仿宋" w:eastAsia="仿宋"/>
                <w:sz w:val="22"/>
                <w:szCs w:val="22"/>
              </w:rPr>
              <w:t>台州市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82.46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82.28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82.43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78.45</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88.77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90.14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78.58</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32</w:t>
            </w:r>
          </w:p>
        </w:tc>
        <w:tc>
          <w:tcPr>
            <w:tcW w:w="993" w:type="dxa"/>
            <w:noWrap/>
          </w:tcPr>
          <w:p>
            <w:pPr>
              <w:pStyle w:val="27"/>
              <w:rPr>
                <w:rFonts w:ascii="仿宋" w:hAnsi="仿宋" w:eastAsia="仿宋"/>
                <w:sz w:val="22"/>
                <w:szCs w:val="22"/>
              </w:rPr>
            </w:pPr>
            <w:r>
              <w:rPr>
                <w:rFonts w:hint="eastAsia" w:ascii="仿宋" w:hAnsi="仿宋" w:eastAsia="仿宋"/>
                <w:sz w:val="22"/>
                <w:szCs w:val="22"/>
              </w:rPr>
              <w:t>武汉市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83.77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77.52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74.28</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77.89</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73.19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91.08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91.76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71.05</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33</w:t>
            </w:r>
          </w:p>
        </w:tc>
        <w:tc>
          <w:tcPr>
            <w:tcW w:w="993" w:type="dxa"/>
            <w:noWrap/>
            <w:tcMar>
              <w:left w:w="28" w:type="dxa"/>
              <w:right w:w="28" w:type="dxa"/>
            </w:tcMar>
          </w:tcPr>
          <w:p>
            <w:pPr>
              <w:pStyle w:val="27"/>
              <w:rPr>
                <w:rFonts w:ascii="仿宋" w:hAnsi="仿宋" w:eastAsia="仿宋"/>
                <w:sz w:val="22"/>
                <w:szCs w:val="22"/>
              </w:rPr>
            </w:pPr>
            <w:r>
              <w:rPr>
                <w:rFonts w:hint="eastAsia" w:ascii="仿宋" w:hAnsi="仿宋" w:eastAsia="仿宋"/>
                <w:sz w:val="22"/>
                <w:szCs w:val="22"/>
              </w:rPr>
              <w:t>沈阳市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85.06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87.03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81.02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81.88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78.95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75.10</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72.44</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82.06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81.60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73.52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81.36</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34</w:t>
            </w:r>
          </w:p>
        </w:tc>
        <w:tc>
          <w:tcPr>
            <w:tcW w:w="993" w:type="dxa"/>
            <w:noWrap/>
          </w:tcPr>
          <w:p>
            <w:pPr>
              <w:pStyle w:val="27"/>
              <w:rPr>
                <w:rFonts w:ascii="仿宋" w:hAnsi="仿宋" w:eastAsia="仿宋"/>
                <w:sz w:val="22"/>
                <w:szCs w:val="22"/>
              </w:rPr>
            </w:pPr>
            <w:r>
              <w:rPr>
                <w:rFonts w:hint="eastAsia" w:ascii="仿宋" w:hAnsi="仿宋" w:eastAsia="仿宋"/>
                <w:sz w:val="22"/>
                <w:szCs w:val="22"/>
              </w:rPr>
              <w:t>徐州市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84.87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86.83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84.36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83.46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81.52</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81.81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77.46</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83.09</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88.47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77.79</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70.51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35</w:t>
            </w:r>
          </w:p>
        </w:tc>
        <w:tc>
          <w:tcPr>
            <w:tcW w:w="993" w:type="dxa"/>
            <w:noWrap/>
          </w:tcPr>
          <w:p>
            <w:pPr>
              <w:pStyle w:val="27"/>
              <w:rPr>
                <w:rFonts w:ascii="仿宋" w:hAnsi="仿宋" w:eastAsia="仿宋"/>
                <w:sz w:val="22"/>
                <w:szCs w:val="22"/>
              </w:rPr>
            </w:pPr>
            <w:r>
              <w:rPr>
                <w:rFonts w:hint="eastAsia" w:ascii="仿宋" w:hAnsi="仿宋" w:eastAsia="仿宋"/>
                <w:sz w:val="22"/>
                <w:szCs w:val="22"/>
              </w:rPr>
              <w:t>淄博市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84.89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84.09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76.37</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36</w:t>
            </w:r>
          </w:p>
        </w:tc>
        <w:tc>
          <w:tcPr>
            <w:tcW w:w="993" w:type="dxa"/>
            <w:noWrap/>
          </w:tcPr>
          <w:p>
            <w:pPr>
              <w:pStyle w:val="27"/>
              <w:rPr>
                <w:rFonts w:ascii="仿宋" w:hAnsi="仿宋" w:eastAsia="仿宋"/>
                <w:sz w:val="22"/>
                <w:szCs w:val="22"/>
              </w:rPr>
            </w:pPr>
            <w:r>
              <w:rPr>
                <w:rFonts w:hint="eastAsia" w:ascii="仿宋" w:hAnsi="仿宋" w:eastAsia="仿宋"/>
                <w:sz w:val="22"/>
                <w:szCs w:val="22"/>
              </w:rPr>
              <w:t>济南市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86.06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86.55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80.03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82.73</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82.82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73.54</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73.97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37</w:t>
            </w:r>
          </w:p>
        </w:tc>
        <w:tc>
          <w:tcPr>
            <w:tcW w:w="993" w:type="dxa"/>
            <w:noWrap/>
          </w:tcPr>
          <w:p>
            <w:pPr>
              <w:pStyle w:val="27"/>
              <w:rPr>
                <w:rFonts w:ascii="仿宋" w:hAnsi="仿宋" w:eastAsia="仿宋"/>
                <w:sz w:val="22"/>
                <w:szCs w:val="22"/>
              </w:rPr>
            </w:pPr>
            <w:r>
              <w:rPr>
                <w:rFonts w:hint="eastAsia" w:ascii="仿宋" w:hAnsi="仿宋" w:eastAsia="仿宋"/>
                <w:sz w:val="22"/>
                <w:szCs w:val="22"/>
              </w:rPr>
              <w:t>哈尔滨市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82.97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83.09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77.22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82.56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84.47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85.58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38</w:t>
            </w:r>
          </w:p>
        </w:tc>
        <w:tc>
          <w:tcPr>
            <w:tcW w:w="993" w:type="dxa"/>
            <w:noWrap/>
          </w:tcPr>
          <w:p>
            <w:pPr>
              <w:pStyle w:val="27"/>
              <w:rPr>
                <w:rFonts w:ascii="仿宋" w:hAnsi="仿宋" w:eastAsia="仿宋"/>
                <w:sz w:val="22"/>
                <w:szCs w:val="22"/>
              </w:rPr>
            </w:pPr>
            <w:r>
              <w:rPr>
                <w:rFonts w:hint="eastAsia" w:ascii="仿宋" w:hAnsi="仿宋" w:eastAsia="仿宋"/>
                <w:sz w:val="22"/>
                <w:szCs w:val="22"/>
              </w:rPr>
              <w:t>东莞市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80.02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77.37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81.16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81.37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80.61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78.80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39</w:t>
            </w:r>
          </w:p>
        </w:tc>
        <w:tc>
          <w:tcPr>
            <w:tcW w:w="993" w:type="dxa"/>
            <w:noWrap/>
            <w:tcMar>
              <w:left w:w="28" w:type="dxa"/>
              <w:right w:w="28" w:type="dxa"/>
            </w:tcMar>
          </w:tcPr>
          <w:p>
            <w:pPr>
              <w:pStyle w:val="27"/>
              <w:rPr>
                <w:rFonts w:ascii="仿宋" w:hAnsi="仿宋" w:eastAsia="仿宋"/>
                <w:sz w:val="22"/>
                <w:szCs w:val="22"/>
              </w:rPr>
            </w:pPr>
            <w:r>
              <w:rPr>
                <w:rFonts w:hint="eastAsia" w:ascii="仿宋" w:hAnsi="仿宋" w:eastAsia="仿宋"/>
                <w:sz w:val="22"/>
                <w:szCs w:val="22"/>
              </w:rPr>
              <w:t>贵阳市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84.93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81.64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79.10</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80.20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81.84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84.28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70.96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77.08</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40</w:t>
            </w:r>
          </w:p>
        </w:tc>
        <w:tc>
          <w:tcPr>
            <w:tcW w:w="993" w:type="dxa"/>
            <w:noWrap/>
          </w:tcPr>
          <w:p>
            <w:pPr>
              <w:pStyle w:val="27"/>
              <w:rPr>
                <w:rFonts w:ascii="仿宋" w:hAnsi="仿宋" w:eastAsia="仿宋"/>
                <w:sz w:val="22"/>
                <w:szCs w:val="22"/>
              </w:rPr>
            </w:pPr>
            <w:r>
              <w:rPr>
                <w:rFonts w:hint="eastAsia" w:ascii="仿宋" w:hAnsi="仿宋" w:eastAsia="仿宋"/>
                <w:sz w:val="22"/>
                <w:szCs w:val="22"/>
              </w:rPr>
              <w:t>临沂市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79.39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77.31</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78.82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74.12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79.72</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76.17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78.26</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41</w:t>
            </w:r>
          </w:p>
        </w:tc>
        <w:tc>
          <w:tcPr>
            <w:tcW w:w="993" w:type="dxa"/>
            <w:noWrap/>
            <w:tcMar>
              <w:left w:w="0" w:type="dxa"/>
            </w:tcMar>
          </w:tcPr>
          <w:p>
            <w:pPr>
              <w:pStyle w:val="27"/>
              <w:rPr>
                <w:rFonts w:ascii="仿宋" w:hAnsi="仿宋" w:eastAsia="仿宋"/>
                <w:sz w:val="22"/>
                <w:szCs w:val="22"/>
              </w:rPr>
            </w:pPr>
            <w:r>
              <w:rPr>
                <w:rFonts w:hint="eastAsia" w:ascii="仿宋" w:hAnsi="仿宋" w:eastAsia="仿宋"/>
                <w:sz w:val="22"/>
                <w:szCs w:val="22"/>
              </w:rPr>
              <w:t>岳阳市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77.50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74.27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76.57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77.33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82.95</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83.21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81.35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79.49</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42</w:t>
            </w:r>
          </w:p>
        </w:tc>
        <w:tc>
          <w:tcPr>
            <w:tcW w:w="993" w:type="dxa"/>
            <w:noWrap/>
          </w:tcPr>
          <w:p>
            <w:pPr>
              <w:pStyle w:val="27"/>
              <w:rPr>
                <w:rFonts w:ascii="仿宋" w:hAnsi="仿宋" w:eastAsia="仿宋"/>
                <w:sz w:val="22"/>
                <w:szCs w:val="22"/>
              </w:rPr>
            </w:pPr>
            <w:r>
              <w:rPr>
                <w:rFonts w:hint="eastAsia" w:ascii="仿宋" w:hAnsi="仿宋" w:eastAsia="仿宋"/>
                <w:sz w:val="22"/>
                <w:szCs w:val="22"/>
              </w:rPr>
              <w:t>长春市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84.84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72.20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82.47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81.40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79.01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83.65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80.33</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73.50</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43</w:t>
            </w:r>
          </w:p>
        </w:tc>
        <w:tc>
          <w:tcPr>
            <w:tcW w:w="993" w:type="dxa"/>
            <w:noWrap/>
          </w:tcPr>
          <w:p>
            <w:pPr>
              <w:pStyle w:val="27"/>
              <w:rPr>
                <w:rFonts w:ascii="仿宋" w:hAnsi="仿宋" w:eastAsia="仿宋"/>
                <w:sz w:val="22"/>
                <w:szCs w:val="22"/>
              </w:rPr>
            </w:pPr>
            <w:r>
              <w:rPr>
                <w:rFonts w:hint="eastAsia" w:ascii="仿宋" w:hAnsi="仿宋" w:eastAsia="仿宋"/>
                <w:sz w:val="22"/>
                <w:szCs w:val="22"/>
              </w:rPr>
              <w:t>遵义市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84.54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71.23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81.68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76.12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81.62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80.72</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79.39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76.36</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85.13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62.80</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44</w:t>
            </w:r>
          </w:p>
        </w:tc>
        <w:tc>
          <w:tcPr>
            <w:tcW w:w="993" w:type="dxa"/>
            <w:noWrap/>
          </w:tcPr>
          <w:p>
            <w:pPr>
              <w:pStyle w:val="27"/>
              <w:rPr>
                <w:rFonts w:ascii="仿宋" w:hAnsi="仿宋" w:eastAsia="仿宋"/>
                <w:sz w:val="22"/>
                <w:szCs w:val="22"/>
              </w:rPr>
            </w:pPr>
            <w:r>
              <w:rPr>
                <w:rFonts w:hint="eastAsia" w:ascii="仿宋" w:hAnsi="仿宋" w:eastAsia="仿宋"/>
                <w:sz w:val="22"/>
                <w:szCs w:val="22"/>
              </w:rPr>
              <w:t>芜湖市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82.17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83.07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76.56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78.87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78.58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76.58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80.04</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45</w:t>
            </w:r>
          </w:p>
        </w:tc>
        <w:tc>
          <w:tcPr>
            <w:tcW w:w="993" w:type="dxa"/>
            <w:noWrap/>
          </w:tcPr>
          <w:p>
            <w:pPr>
              <w:pStyle w:val="27"/>
              <w:rPr>
                <w:rFonts w:ascii="仿宋" w:hAnsi="仿宋" w:eastAsia="仿宋"/>
                <w:sz w:val="22"/>
                <w:szCs w:val="22"/>
              </w:rPr>
            </w:pPr>
            <w:r>
              <w:rPr>
                <w:rFonts w:hint="eastAsia" w:ascii="仿宋" w:hAnsi="仿宋" w:eastAsia="仿宋"/>
                <w:sz w:val="22"/>
                <w:szCs w:val="22"/>
              </w:rPr>
              <w:t>银川市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77.19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79.04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75.72</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78.51</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80.40</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46</w:t>
            </w:r>
          </w:p>
        </w:tc>
        <w:tc>
          <w:tcPr>
            <w:tcW w:w="993" w:type="dxa"/>
            <w:noWrap/>
          </w:tcPr>
          <w:p>
            <w:pPr>
              <w:pStyle w:val="27"/>
              <w:rPr>
                <w:rFonts w:ascii="仿宋" w:hAnsi="仿宋" w:eastAsia="仿宋"/>
                <w:sz w:val="22"/>
                <w:szCs w:val="22"/>
              </w:rPr>
            </w:pPr>
            <w:r>
              <w:rPr>
                <w:rFonts w:hint="eastAsia" w:ascii="仿宋" w:hAnsi="仿宋" w:eastAsia="仿宋"/>
                <w:sz w:val="22"/>
                <w:szCs w:val="22"/>
              </w:rPr>
              <w:t>毕节市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84.31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86.69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82.02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82.88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80.46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80.47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82.79</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86.72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41.31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77.90</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47</w:t>
            </w:r>
          </w:p>
        </w:tc>
        <w:tc>
          <w:tcPr>
            <w:tcW w:w="993" w:type="dxa"/>
            <w:noWrap/>
          </w:tcPr>
          <w:p>
            <w:pPr>
              <w:pStyle w:val="27"/>
              <w:rPr>
                <w:rFonts w:ascii="仿宋" w:hAnsi="仿宋" w:eastAsia="仿宋"/>
                <w:sz w:val="22"/>
                <w:szCs w:val="22"/>
              </w:rPr>
            </w:pPr>
            <w:r>
              <w:rPr>
                <w:rFonts w:hint="eastAsia" w:ascii="仿宋" w:hAnsi="仿宋" w:eastAsia="仿宋"/>
                <w:sz w:val="22"/>
                <w:szCs w:val="22"/>
              </w:rPr>
              <w:t>克拉玛依市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77.31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76.80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77.25</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78.33</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78.52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76.89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78.71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48</w:t>
            </w:r>
          </w:p>
        </w:tc>
        <w:tc>
          <w:tcPr>
            <w:tcW w:w="993" w:type="dxa"/>
            <w:noWrap/>
          </w:tcPr>
          <w:p>
            <w:pPr>
              <w:pStyle w:val="27"/>
              <w:rPr>
                <w:rFonts w:ascii="仿宋" w:hAnsi="仿宋" w:eastAsia="仿宋"/>
                <w:sz w:val="22"/>
                <w:szCs w:val="22"/>
              </w:rPr>
            </w:pPr>
            <w:r>
              <w:rPr>
                <w:rFonts w:hint="eastAsia" w:ascii="仿宋" w:hAnsi="仿宋" w:eastAsia="仿宋"/>
                <w:sz w:val="22"/>
                <w:szCs w:val="22"/>
              </w:rPr>
              <w:t>日喀则市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76.85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76.86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77.66</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78.50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75.59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78.55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80.20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75.48</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49</w:t>
            </w:r>
          </w:p>
        </w:tc>
        <w:tc>
          <w:tcPr>
            <w:tcW w:w="993" w:type="dxa"/>
            <w:noWrap/>
          </w:tcPr>
          <w:p>
            <w:pPr>
              <w:pStyle w:val="27"/>
              <w:rPr>
                <w:rFonts w:ascii="仿宋" w:hAnsi="仿宋" w:eastAsia="仿宋"/>
                <w:sz w:val="22"/>
                <w:szCs w:val="22"/>
              </w:rPr>
            </w:pPr>
            <w:r>
              <w:rPr>
                <w:rFonts w:hint="eastAsia" w:ascii="仿宋" w:hAnsi="仿宋" w:eastAsia="仿宋"/>
                <w:sz w:val="22"/>
                <w:szCs w:val="22"/>
              </w:rPr>
              <w:t>山南市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78.88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79.33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74.72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77.13</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79.73</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50</w:t>
            </w:r>
          </w:p>
        </w:tc>
        <w:tc>
          <w:tcPr>
            <w:tcW w:w="993" w:type="dxa"/>
            <w:noWrap/>
          </w:tcPr>
          <w:p>
            <w:pPr>
              <w:pStyle w:val="27"/>
              <w:rPr>
                <w:rFonts w:ascii="仿宋" w:hAnsi="仿宋" w:eastAsia="仿宋"/>
                <w:sz w:val="22"/>
                <w:szCs w:val="22"/>
              </w:rPr>
            </w:pPr>
            <w:r>
              <w:rPr>
                <w:rFonts w:hint="eastAsia" w:ascii="仿宋" w:hAnsi="仿宋" w:eastAsia="仿宋"/>
                <w:sz w:val="22"/>
                <w:szCs w:val="22"/>
              </w:rPr>
              <w:t>渭南市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78.58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73.83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77.59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81.02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79.51</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80.72</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76.13</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71.04</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51</w:t>
            </w:r>
          </w:p>
        </w:tc>
        <w:tc>
          <w:tcPr>
            <w:tcW w:w="993" w:type="dxa"/>
            <w:noWrap/>
          </w:tcPr>
          <w:p>
            <w:pPr>
              <w:pStyle w:val="27"/>
              <w:rPr>
                <w:rFonts w:ascii="仿宋" w:hAnsi="仿宋" w:eastAsia="仿宋"/>
                <w:sz w:val="22"/>
                <w:szCs w:val="22"/>
              </w:rPr>
            </w:pPr>
            <w:r>
              <w:rPr>
                <w:rFonts w:hint="eastAsia" w:ascii="仿宋" w:hAnsi="仿宋" w:eastAsia="仿宋"/>
                <w:sz w:val="22"/>
                <w:szCs w:val="22"/>
              </w:rPr>
              <w:t>太原市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70.14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78.97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72.36</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80.08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73.39</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78.00</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52</w:t>
            </w:r>
          </w:p>
        </w:tc>
        <w:tc>
          <w:tcPr>
            <w:tcW w:w="993" w:type="dxa"/>
            <w:noWrap/>
            <w:tcMar>
              <w:left w:w="0" w:type="dxa"/>
            </w:tcMar>
          </w:tcPr>
          <w:p>
            <w:pPr>
              <w:pStyle w:val="27"/>
              <w:rPr>
                <w:rFonts w:ascii="仿宋" w:hAnsi="仿宋" w:eastAsia="仿宋"/>
                <w:sz w:val="22"/>
                <w:szCs w:val="22"/>
              </w:rPr>
            </w:pPr>
            <w:r>
              <w:rPr>
                <w:rFonts w:hint="eastAsia" w:ascii="仿宋" w:hAnsi="仿宋" w:eastAsia="仿宋"/>
                <w:sz w:val="22"/>
                <w:szCs w:val="22"/>
              </w:rPr>
              <w:t>昆明市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77.33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79.00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78.81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69.15</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75.28</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53</w:t>
            </w:r>
          </w:p>
        </w:tc>
        <w:tc>
          <w:tcPr>
            <w:tcW w:w="993" w:type="dxa"/>
            <w:noWrap/>
          </w:tcPr>
          <w:p>
            <w:pPr>
              <w:pStyle w:val="27"/>
              <w:rPr>
                <w:rFonts w:ascii="仿宋" w:hAnsi="仿宋" w:eastAsia="仿宋"/>
                <w:sz w:val="22"/>
                <w:szCs w:val="22"/>
              </w:rPr>
            </w:pPr>
            <w:r>
              <w:rPr>
                <w:rFonts w:hint="eastAsia" w:ascii="仿宋" w:hAnsi="仿宋" w:eastAsia="仿宋"/>
                <w:sz w:val="22"/>
                <w:szCs w:val="22"/>
              </w:rPr>
              <w:t>西宁市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78.97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77.16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81.36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80.13</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81.52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73.17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73.42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69.02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54</w:t>
            </w:r>
          </w:p>
        </w:tc>
        <w:tc>
          <w:tcPr>
            <w:tcW w:w="993" w:type="dxa"/>
            <w:noWrap/>
          </w:tcPr>
          <w:p>
            <w:pPr>
              <w:pStyle w:val="27"/>
              <w:rPr>
                <w:rFonts w:ascii="仿宋" w:hAnsi="仿宋" w:eastAsia="仿宋"/>
                <w:sz w:val="22"/>
                <w:szCs w:val="22"/>
              </w:rPr>
            </w:pPr>
            <w:r>
              <w:rPr>
                <w:rFonts w:hint="eastAsia" w:ascii="仿宋" w:hAnsi="仿宋" w:eastAsia="仿宋"/>
                <w:sz w:val="22"/>
                <w:szCs w:val="22"/>
              </w:rPr>
              <w:t>大同市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81.16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76.58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78.01</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80.89</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72.81</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77.26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71.33</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55</w:t>
            </w:r>
          </w:p>
        </w:tc>
        <w:tc>
          <w:tcPr>
            <w:tcW w:w="993" w:type="dxa"/>
            <w:noWrap/>
          </w:tcPr>
          <w:p>
            <w:pPr>
              <w:pStyle w:val="27"/>
              <w:rPr>
                <w:rFonts w:ascii="仿宋" w:hAnsi="仿宋" w:eastAsia="仿宋"/>
                <w:sz w:val="22"/>
                <w:szCs w:val="22"/>
              </w:rPr>
            </w:pPr>
            <w:r>
              <w:rPr>
                <w:rFonts w:hint="eastAsia" w:ascii="仿宋" w:hAnsi="仿宋" w:eastAsia="仿宋"/>
                <w:sz w:val="22"/>
                <w:szCs w:val="22"/>
              </w:rPr>
              <w:t>南昌市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81.54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75.48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77.49</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73.90</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56</w:t>
            </w:r>
          </w:p>
        </w:tc>
        <w:tc>
          <w:tcPr>
            <w:tcW w:w="993" w:type="dxa"/>
            <w:noWrap/>
          </w:tcPr>
          <w:p>
            <w:pPr>
              <w:pStyle w:val="27"/>
              <w:rPr>
                <w:rFonts w:ascii="仿宋" w:hAnsi="仿宋" w:eastAsia="仿宋"/>
                <w:sz w:val="22"/>
                <w:szCs w:val="22"/>
              </w:rPr>
            </w:pPr>
            <w:r>
              <w:rPr>
                <w:rFonts w:hint="eastAsia" w:ascii="仿宋" w:hAnsi="仿宋" w:eastAsia="仿宋"/>
                <w:sz w:val="22"/>
                <w:szCs w:val="22"/>
              </w:rPr>
              <w:t>拉萨市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74.22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72.20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81.63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69.49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81.75</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80.25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80.00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80.76</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74.04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76.19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79.36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73.69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57</w:t>
            </w:r>
          </w:p>
        </w:tc>
        <w:tc>
          <w:tcPr>
            <w:tcW w:w="993" w:type="dxa"/>
            <w:noWrap/>
          </w:tcPr>
          <w:p>
            <w:pPr>
              <w:pStyle w:val="27"/>
              <w:rPr>
                <w:rFonts w:ascii="仿宋" w:hAnsi="仿宋" w:eastAsia="仿宋"/>
                <w:sz w:val="22"/>
                <w:szCs w:val="22"/>
              </w:rPr>
            </w:pPr>
            <w:r>
              <w:rPr>
                <w:rFonts w:hint="eastAsia" w:ascii="仿宋" w:hAnsi="仿宋" w:eastAsia="仿宋"/>
                <w:sz w:val="22"/>
                <w:szCs w:val="22"/>
              </w:rPr>
              <w:t>齐齐哈尔市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80.00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73.63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78.95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76.53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75.79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78.53</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76.12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77.04</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58</w:t>
            </w:r>
          </w:p>
        </w:tc>
        <w:tc>
          <w:tcPr>
            <w:tcW w:w="993" w:type="dxa"/>
            <w:noWrap/>
          </w:tcPr>
          <w:p>
            <w:pPr>
              <w:pStyle w:val="27"/>
              <w:rPr>
                <w:rFonts w:ascii="仿宋" w:hAnsi="仿宋" w:eastAsia="仿宋"/>
                <w:sz w:val="22"/>
                <w:szCs w:val="22"/>
              </w:rPr>
            </w:pPr>
            <w:r>
              <w:rPr>
                <w:rFonts w:hint="eastAsia" w:ascii="仿宋" w:hAnsi="仿宋" w:eastAsia="仿宋"/>
                <w:sz w:val="22"/>
                <w:szCs w:val="22"/>
              </w:rPr>
              <w:t>上饶市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77.16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80.45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80.52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82.04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74.35</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69.44</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59</w:t>
            </w:r>
          </w:p>
        </w:tc>
        <w:tc>
          <w:tcPr>
            <w:tcW w:w="993" w:type="dxa"/>
            <w:noWrap/>
          </w:tcPr>
          <w:p>
            <w:pPr>
              <w:pStyle w:val="27"/>
              <w:rPr>
                <w:rFonts w:ascii="仿宋" w:hAnsi="仿宋" w:eastAsia="仿宋"/>
                <w:sz w:val="22"/>
                <w:szCs w:val="22"/>
              </w:rPr>
            </w:pPr>
            <w:r>
              <w:rPr>
                <w:rFonts w:hint="eastAsia" w:ascii="仿宋" w:hAnsi="仿宋" w:eastAsia="仿宋"/>
                <w:sz w:val="22"/>
                <w:szCs w:val="22"/>
              </w:rPr>
              <w:t>赣州市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64.12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78.81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78.71</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80.66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78.65</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77.80</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69.36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60</w:t>
            </w:r>
          </w:p>
        </w:tc>
        <w:tc>
          <w:tcPr>
            <w:tcW w:w="993" w:type="dxa"/>
            <w:noWrap/>
          </w:tcPr>
          <w:p>
            <w:pPr>
              <w:pStyle w:val="27"/>
              <w:rPr>
                <w:rFonts w:ascii="仿宋" w:hAnsi="仿宋" w:eastAsia="仿宋"/>
                <w:sz w:val="22"/>
                <w:szCs w:val="22"/>
              </w:rPr>
            </w:pPr>
            <w:r>
              <w:rPr>
                <w:rFonts w:hint="eastAsia" w:ascii="仿宋" w:hAnsi="仿宋" w:eastAsia="仿宋"/>
                <w:sz w:val="22"/>
                <w:szCs w:val="22"/>
              </w:rPr>
              <w:t>南充市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78.98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78.81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76.58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77.20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75.24</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61</w:t>
            </w:r>
          </w:p>
        </w:tc>
        <w:tc>
          <w:tcPr>
            <w:tcW w:w="993" w:type="dxa"/>
            <w:noWrap/>
          </w:tcPr>
          <w:p>
            <w:pPr>
              <w:pStyle w:val="27"/>
              <w:rPr>
                <w:rFonts w:ascii="仿宋" w:hAnsi="仿宋" w:eastAsia="仿宋"/>
                <w:sz w:val="22"/>
                <w:szCs w:val="22"/>
              </w:rPr>
            </w:pPr>
            <w:r>
              <w:rPr>
                <w:rFonts w:hint="eastAsia" w:ascii="仿宋" w:hAnsi="仿宋" w:eastAsia="仿宋"/>
                <w:sz w:val="22"/>
                <w:szCs w:val="22"/>
              </w:rPr>
              <w:t>天水市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80.23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74.61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74.80</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72.99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62</w:t>
            </w:r>
          </w:p>
        </w:tc>
        <w:tc>
          <w:tcPr>
            <w:tcW w:w="993" w:type="dxa"/>
            <w:noWrap/>
            <w:tcMar>
              <w:left w:w="28" w:type="dxa"/>
              <w:right w:w="28" w:type="dxa"/>
            </w:tcMar>
          </w:tcPr>
          <w:p>
            <w:pPr>
              <w:pStyle w:val="27"/>
              <w:rPr>
                <w:rFonts w:ascii="仿宋" w:hAnsi="仿宋" w:eastAsia="仿宋"/>
                <w:sz w:val="22"/>
                <w:szCs w:val="22"/>
              </w:rPr>
            </w:pPr>
            <w:r>
              <w:rPr>
                <w:rFonts w:hint="eastAsia" w:ascii="仿宋" w:hAnsi="仿宋" w:eastAsia="仿宋"/>
                <w:sz w:val="22"/>
                <w:szCs w:val="22"/>
              </w:rPr>
              <w:t>石家庄市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79.06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80.94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73.07</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76.14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69.67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63</w:t>
            </w:r>
          </w:p>
        </w:tc>
        <w:tc>
          <w:tcPr>
            <w:tcW w:w="993" w:type="dxa"/>
            <w:noWrap/>
          </w:tcPr>
          <w:p>
            <w:pPr>
              <w:pStyle w:val="27"/>
              <w:rPr>
                <w:rFonts w:ascii="仿宋" w:hAnsi="仿宋" w:eastAsia="仿宋"/>
                <w:sz w:val="22"/>
                <w:szCs w:val="22"/>
              </w:rPr>
            </w:pPr>
            <w:r>
              <w:rPr>
                <w:rFonts w:hint="eastAsia" w:ascii="仿宋" w:hAnsi="仿宋" w:eastAsia="仿宋"/>
                <w:sz w:val="22"/>
                <w:szCs w:val="22"/>
              </w:rPr>
              <w:t>大庆市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80.10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74.33</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76.55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73.88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75.72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73.91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64</w:t>
            </w:r>
          </w:p>
        </w:tc>
        <w:tc>
          <w:tcPr>
            <w:tcW w:w="993" w:type="dxa"/>
            <w:noWrap/>
          </w:tcPr>
          <w:p>
            <w:pPr>
              <w:pStyle w:val="27"/>
              <w:rPr>
                <w:rFonts w:ascii="仿宋" w:hAnsi="仿宋" w:eastAsia="仿宋"/>
                <w:sz w:val="22"/>
                <w:szCs w:val="22"/>
              </w:rPr>
            </w:pPr>
            <w:r>
              <w:rPr>
                <w:rFonts w:hint="eastAsia" w:ascii="仿宋" w:hAnsi="仿宋" w:eastAsia="仿宋"/>
                <w:sz w:val="22"/>
                <w:szCs w:val="22"/>
              </w:rPr>
              <w:t>包头市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73.43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77.15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72.71</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80.30</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65</w:t>
            </w:r>
          </w:p>
        </w:tc>
        <w:tc>
          <w:tcPr>
            <w:tcW w:w="993" w:type="dxa"/>
            <w:noWrap/>
          </w:tcPr>
          <w:p>
            <w:pPr>
              <w:pStyle w:val="27"/>
              <w:rPr>
                <w:rFonts w:ascii="仿宋" w:hAnsi="仿宋" w:eastAsia="仿宋"/>
                <w:sz w:val="22"/>
                <w:szCs w:val="22"/>
              </w:rPr>
            </w:pPr>
            <w:r>
              <w:rPr>
                <w:rFonts w:hint="eastAsia" w:ascii="仿宋" w:hAnsi="仿宋" w:eastAsia="仿宋"/>
                <w:sz w:val="22"/>
                <w:szCs w:val="22"/>
              </w:rPr>
              <w:t>海西蒙古族藏族自治州</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73.14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74.76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71.52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72.29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72.96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68.92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79.91</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78.88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79.76</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73.85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78.59</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73.06</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66</w:t>
            </w:r>
          </w:p>
        </w:tc>
        <w:tc>
          <w:tcPr>
            <w:tcW w:w="993" w:type="dxa"/>
            <w:noWrap/>
            <w:tcMar>
              <w:left w:w="0" w:type="dxa"/>
            </w:tcMar>
          </w:tcPr>
          <w:p>
            <w:pPr>
              <w:pStyle w:val="27"/>
              <w:rPr>
                <w:rFonts w:ascii="仿宋" w:hAnsi="仿宋" w:eastAsia="仿宋"/>
                <w:sz w:val="22"/>
                <w:szCs w:val="22"/>
              </w:rPr>
            </w:pPr>
            <w:r>
              <w:rPr>
                <w:rFonts w:hint="eastAsia" w:ascii="仿宋" w:hAnsi="仿宋" w:eastAsia="仿宋"/>
                <w:sz w:val="22"/>
                <w:szCs w:val="22"/>
              </w:rPr>
              <w:t>福州市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74.88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74.32</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75.51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77.37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74.51</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77.19</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73.04</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67</w:t>
            </w:r>
          </w:p>
        </w:tc>
        <w:tc>
          <w:tcPr>
            <w:tcW w:w="993" w:type="dxa"/>
            <w:noWrap/>
          </w:tcPr>
          <w:p>
            <w:pPr>
              <w:pStyle w:val="27"/>
              <w:rPr>
                <w:rFonts w:ascii="仿宋" w:hAnsi="仿宋" w:eastAsia="仿宋"/>
                <w:sz w:val="22"/>
                <w:szCs w:val="22"/>
              </w:rPr>
            </w:pPr>
            <w:r>
              <w:rPr>
                <w:rFonts w:hint="eastAsia" w:ascii="仿宋" w:hAnsi="仿宋" w:eastAsia="仿宋"/>
                <w:sz w:val="22"/>
                <w:szCs w:val="22"/>
              </w:rPr>
              <w:t>邯郸市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75.71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81.98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74.19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74.98</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71.94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77.56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72.24</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77.10</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78.48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75.55</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76.40</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68</w:t>
            </w:r>
          </w:p>
        </w:tc>
        <w:tc>
          <w:tcPr>
            <w:tcW w:w="993" w:type="dxa"/>
            <w:noWrap/>
          </w:tcPr>
          <w:p>
            <w:pPr>
              <w:pStyle w:val="27"/>
              <w:rPr>
                <w:rFonts w:ascii="仿宋" w:hAnsi="仿宋" w:eastAsia="仿宋"/>
                <w:sz w:val="22"/>
                <w:szCs w:val="22"/>
              </w:rPr>
            </w:pPr>
            <w:r>
              <w:rPr>
                <w:rFonts w:hint="eastAsia" w:ascii="仿宋" w:hAnsi="仿宋" w:eastAsia="仿宋"/>
                <w:sz w:val="22"/>
                <w:szCs w:val="22"/>
              </w:rPr>
              <w:t>重庆市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81.08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80.77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74.01</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75.16</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71.12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72.98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69</w:t>
            </w:r>
          </w:p>
        </w:tc>
        <w:tc>
          <w:tcPr>
            <w:tcW w:w="993" w:type="dxa"/>
            <w:noWrap/>
          </w:tcPr>
          <w:p>
            <w:pPr>
              <w:pStyle w:val="27"/>
              <w:rPr>
                <w:rFonts w:ascii="仿宋" w:hAnsi="仿宋" w:eastAsia="仿宋"/>
                <w:sz w:val="22"/>
                <w:szCs w:val="22"/>
              </w:rPr>
            </w:pPr>
            <w:r>
              <w:rPr>
                <w:rFonts w:hint="eastAsia" w:ascii="仿宋" w:hAnsi="仿宋" w:eastAsia="仿宋"/>
                <w:sz w:val="22"/>
                <w:szCs w:val="22"/>
              </w:rPr>
              <w:t>儋州市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76.53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74.12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77.16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73.90</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75.75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76.69</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70</w:t>
            </w:r>
          </w:p>
        </w:tc>
        <w:tc>
          <w:tcPr>
            <w:tcW w:w="993" w:type="dxa"/>
            <w:noWrap/>
          </w:tcPr>
          <w:p>
            <w:pPr>
              <w:pStyle w:val="27"/>
              <w:rPr>
                <w:rFonts w:ascii="仿宋" w:hAnsi="仿宋" w:eastAsia="仿宋"/>
                <w:sz w:val="22"/>
                <w:szCs w:val="22"/>
              </w:rPr>
            </w:pPr>
            <w:r>
              <w:rPr>
                <w:rFonts w:hint="eastAsia" w:ascii="仿宋" w:hAnsi="仿宋" w:eastAsia="仿宋"/>
                <w:sz w:val="22"/>
                <w:szCs w:val="22"/>
              </w:rPr>
              <w:t>大连市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77.33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73.91</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74.85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76.88</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71</w:t>
            </w:r>
          </w:p>
        </w:tc>
        <w:tc>
          <w:tcPr>
            <w:tcW w:w="993" w:type="dxa"/>
            <w:noWrap/>
          </w:tcPr>
          <w:p>
            <w:pPr>
              <w:pStyle w:val="27"/>
              <w:rPr>
                <w:rFonts w:ascii="仿宋" w:hAnsi="仿宋" w:eastAsia="仿宋"/>
                <w:sz w:val="22"/>
                <w:szCs w:val="22"/>
              </w:rPr>
            </w:pPr>
            <w:r>
              <w:rPr>
                <w:rFonts w:hint="eastAsia" w:ascii="仿宋" w:hAnsi="仿宋" w:eastAsia="仿宋"/>
                <w:sz w:val="22"/>
                <w:szCs w:val="22"/>
              </w:rPr>
              <w:t>鄂尔多斯市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79.90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82.08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70.92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74.03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72.17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69.44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73.63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79.64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74.18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73.97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72</w:t>
            </w:r>
          </w:p>
        </w:tc>
        <w:tc>
          <w:tcPr>
            <w:tcW w:w="993" w:type="dxa"/>
            <w:noWrap/>
          </w:tcPr>
          <w:p>
            <w:pPr>
              <w:pStyle w:val="27"/>
              <w:rPr>
                <w:rFonts w:ascii="仿宋" w:hAnsi="仿宋" w:eastAsia="仿宋"/>
                <w:sz w:val="22"/>
                <w:szCs w:val="22"/>
              </w:rPr>
            </w:pPr>
            <w:r>
              <w:rPr>
                <w:rFonts w:hint="eastAsia" w:ascii="仿宋" w:hAnsi="仿宋" w:eastAsia="仿宋"/>
                <w:sz w:val="22"/>
                <w:szCs w:val="22"/>
              </w:rPr>
              <w:t>汕头市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81.38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73.99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75.83</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80.32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66.99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73</w:t>
            </w:r>
          </w:p>
        </w:tc>
        <w:tc>
          <w:tcPr>
            <w:tcW w:w="993" w:type="dxa"/>
            <w:noWrap/>
          </w:tcPr>
          <w:p>
            <w:pPr>
              <w:pStyle w:val="27"/>
              <w:rPr>
                <w:rFonts w:ascii="仿宋" w:hAnsi="仿宋" w:eastAsia="仿宋"/>
                <w:sz w:val="22"/>
                <w:szCs w:val="22"/>
              </w:rPr>
            </w:pPr>
            <w:r>
              <w:rPr>
                <w:rFonts w:hint="eastAsia" w:ascii="仿宋" w:hAnsi="仿宋" w:eastAsia="仿宋"/>
                <w:sz w:val="22"/>
                <w:szCs w:val="22"/>
              </w:rPr>
              <w:t>鞍山市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77.54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77.08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74.06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75.13</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78.13</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71.95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74</w:t>
            </w:r>
          </w:p>
        </w:tc>
        <w:tc>
          <w:tcPr>
            <w:tcW w:w="993" w:type="dxa"/>
            <w:noWrap/>
          </w:tcPr>
          <w:p>
            <w:pPr>
              <w:pStyle w:val="27"/>
              <w:rPr>
                <w:rFonts w:ascii="仿宋" w:hAnsi="仿宋" w:eastAsia="仿宋"/>
                <w:sz w:val="22"/>
                <w:szCs w:val="22"/>
              </w:rPr>
            </w:pPr>
            <w:r>
              <w:rPr>
                <w:rFonts w:hint="eastAsia" w:ascii="仿宋" w:hAnsi="仿宋" w:eastAsia="仿宋"/>
                <w:sz w:val="22"/>
                <w:szCs w:val="22"/>
              </w:rPr>
              <w:t>玉溪市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81.16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73.81</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77.26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71.92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75.69</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70.97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75</w:t>
            </w:r>
          </w:p>
        </w:tc>
        <w:tc>
          <w:tcPr>
            <w:tcW w:w="993" w:type="dxa"/>
            <w:noWrap/>
          </w:tcPr>
          <w:p>
            <w:pPr>
              <w:pStyle w:val="27"/>
              <w:rPr>
                <w:rFonts w:ascii="仿宋" w:hAnsi="仿宋" w:eastAsia="仿宋"/>
                <w:sz w:val="22"/>
                <w:szCs w:val="22"/>
              </w:rPr>
            </w:pPr>
            <w:r>
              <w:rPr>
                <w:rFonts w:hint="eastAsia" w:ascii="仿宋" w:hAnsi="仿宋" w:eastAsia="仿宋"/>
                <w:sz w:val="22"/>
                <w:szCs w:val="22"/>
              </w:rPr>
              <w:t>西安市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76.11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76.76</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77.51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72.24</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74.57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63.81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71.15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76</w:t>
            </w:r>
          </w:p>
        </w:tc>
        <w:tc>
          <w:tcPr>
            <w:tcW w:w="993" w:type="dxa"/>
            <w:noWrap/>
          </w:tcPr>
          <w:p>
            <w:pPr>
              <w:pStyle w:val="27"/>
              <w:rPr>
                <w:rFonts w:ascii="仿宋" w:hAnsi="仿宋" w:eastAsia="仿宋"/>
                <w:sz w:val="22"/>
                <w:szCs w:val="22"/>
              </w:rPr>
            </w:pPr>
            <w:r>
              <w:rPr>
                <w:rFonts w:hint="eastAsia" w:ascii="仿宋" w:hAnsi="仿宋" w:eastAsia="仿宋"/>
                <w:sz w:val="22"/>
                <w:szCs w:val="22"/>
              </w:rPr>
              <w:t>保定市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79.50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79.77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69.25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74.05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74.61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65.03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75.76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76.53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76.95</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69.95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77</w:t>
            </w:r>
          </w:p>
        </w:tc>
        <w:tc>
          <w:tcPr>
            <w:tcW w:w="993" w:type="dxa"/>
            <w:noWrap/>
          </w:tcPr>
          <w:p>
            <w:pPr>
              <w:pStyle w:val="27"/>
              <w:rPr>
                <w:rFonts w:ascii="仿宋" w:hAnsi="仿宋" w:eastAsia="仿宋"/>
                <w:sz w:val="22"/>
                <w:szCs w:val="22"/>
              </w:rPr>
            </w:pPr>
            <w:r>
              <w:rPr>
                <w:rFonts w:hint="eastAsia" w:ascii="仿宋" w:hAnsi="仿宋" w:eastAsia="仿宋"/>
                <w:sz w:val="22"/>
                <w:szCs w:val="22"/>
              </w:rPr>
              <w:t>合肥市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78.27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79.47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75.82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72.99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71.57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69.80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74.93</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76.16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71.02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70.98</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78</w:t>
            </w:r>
          </w:p>
        </w:tc>
        <w:tc>
          <w:tcPr>
            <w:tcW w:w="993" w:type="dxa"/>
            <w:noWrap/>
          </w:tcPr>
          <w:p>
            <w:pPr>
              <w:pStyle w:val="27"/>
              <w:rPr>
                <w:rFonts w:ascii="仿宋" w:hAnsi="仿宋" w:eastAsia="仿宋"/>
                <w:sz w:val="22"/>
                <w:szCs w:val="22"/>
              </w:rPr>
            </w:pPr>
            <w:r>
              <w:rPr>
                <w:rFonts w:hint="eastAsia" w:ascii="仿宋" w:hAnsi="仿宋" w:eastAsia="仿宋"/>
                <w:sz w:val="22"/>
                <w:szCs w:val="22"/>
              </w:rPr>
              <w:t>南阳市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77.24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76.83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75.74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74.60</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73.79</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74.78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69.79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66.48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70.14</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79</w:t>
            </w:r>
          </w:p>
        </w:tc>
        <w:tc>
          <w:tcPr>
            <w:tcW w:w="993" w:type="dxa"/>
            <w:noWrap/>
          </w:tcPr>
          <w:p>
            <w:pPr>
              <w:pStyle w:val="27"/>
              <w:rPr>
                <w:rFonts w:ascii="仿宋" w:hAnsi="仿宋" w:eastAsia="仿宋"/>
                <w:sz w:val="22"/>
                <w:szCs w:val="22"/>
              </w:rPr>
            </w:pPr>
            <w:r>
              <w:rPr>
                <w:rFonts w:hint="eastAsia" w:ascii="仿宋" w:hAnsi="仿宋" w:eastAsia="仿宋"/>
                <w:sz w:val="22"/>
                <w:szCs w:val="22"/>
              </w:rPr>
              <w:t>长沙市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80.22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81.26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74.60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78.93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71.97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74.99</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67.70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73.22</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71.17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68.51</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80</w:t>
            </w:r>
          </w:p>
        </w:tc>
        <w:tc>
          <w:tcPr>
            <w:tcW w:w="993" w:type="dxa"/>
            <w:noWrap/>
          </w:tcPr>
          <w:p>
            <w:pPr>
              <w:pStyle w:val="27"/>
              <w:rPr>
                <w:rFonts w:ascii="仿宋" w:hAnsi="仿宋" w:eastAsia="仿宋"/>
                <w:sz w:val="22"/>
                <w:szCs w:val="22"/>
              </w:rPr>
            </w:pPr>
            <w:r>
              <w:rPr>
                <w:rFonts w:hint="eastAsia" w:ascii="仿宋" w:hAnsi="仿宋" w:eastAsia="仿宋"/>
                <w:sz w:val="22"/>
                <w:szCs w:val="22"/>
              </w:rPr>
              <w:t>石嘴山市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76.35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71.96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73.14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72.41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71.09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72.73</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74.50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71.59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73.37</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75.35</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81</w:t>
            </w:r>
          </w:p>
        </w:tc>
        <w:tc>
          <w:tcPr>
            <w:tcW w:w="993" w:type="dxa"/>
            <w:noWrap/>
          </w:tcPr>
          <w:p>
            <w:pPr>
              <w:pStyle w:val="27"/>
              <w:rPr>
                <w:rFonts w:ascii="仿宋" w:hAnsi="仿宋" w:eastAsia="仿宋"/>
                <w:sz w:val="22"/>
                <w:szCs w:val="22"/>
              </w:rPr>
            </w:pPr>
            <w:r>
              <w:rPr>
                <w:rFonts w:hint="eastAsia" w:ascii="仿宋" w:hAnsi="仿宋" w:eastAsia="仿宋"/>
                <w:sz w:val="22"/>
                <w:szCs w:val="22"/>
              </w:rPr>
              <w:t>唐山市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79.08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73.45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75.50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73.59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71.63</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74.46</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71.55</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75.74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77.32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72.49</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69.53</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82</w:t>
            </w:r>
          </w:p>
        </w:tc>
        <w:tc>
          <w:tcPr>
            <w:tcW w:w="993" w:type="dxa"/>
            <w:noWrap/>
          </w:tcPr>
          <w:p>
            <w:pPr>
              <w:pStyle w:val="27"/>
              <w:rPr>
                <w:rFonts w:ascii="仿宋" w:hAnsi="仿宋" w:eastAsia="仿宋"/>
                <w:sz w:val="22"/>
                <w:szCs w:val="22"/>
              </w:rPr>
            </w:pPr>
            <w:r>
              <w:rPr>
                <w:rFonts w:hint="eastAsia" w:ascii="仿宋" w:hAnsi="仿宋" w:eastAsia="仿宋"/>
                <w:sz w:val="22"/>
                <w:szCs w:val="22"/>
              </w:rPr>
              <w:t>海东市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79.31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75.56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72.24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69.82</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73.88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74.11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68.37</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73.23</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69.88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69.28</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83</w:t>
            </w:r>
          </w:p>
        </w:tc>
        <w:tc>
          <w:tcPr>
            <w:tcW w:w="993" w:type="dxa"/>
            <w:noWrap/>
          </w:tcPr>
          <w:p>
            <w:pPr>
              <w:pStyle w:val="27"/>
              <w:rPr>
                <w:rFonts w:ascii="仿宋" w:hAnsi="仿宋" w:eastAsia="仿宋"/>
                <w:sz w:val="22"/>
                <w:szCs w:val="22"/>
              </w:rPr>
            </w:pPr>
            <w:r>
              <w:rPr>
                <w:rFonts w:hint="eastAsia" w:ascii="仿宋" w:hAnsi="仿宋" w:eastAsia="仿宋"/>
                <w:sz w:val="22"/>
                <w:szCs w:val="22"/>
              </w:rPr>
              <w:t>阜阳市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79.85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73.50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68.88</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70.00</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74.02</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76.49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71.93</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84</w:t>
            </w:r>
          </w:p>
        </w:tc>
        <w:tc>
          <w:tcPr>
            <w:tcW w:w="993" w:type="dxa"/>
            <w:noWrap/>
          </w:tcPr>
          <w:p>
            <w:pPr>
              <w:pStyle w:val="27"/>
              <w:rPr>
                <w:rFonts w:ascii="仿宋" w:hAnsi="仿宋" w:eastAsia="仿宋"/>
                <w:sz w:val="22"/>
                <w:szCs w:val="22"/>
              </w:rPr>
            </w:pPr>
            <w:r>
              <w:rPr>
                <w:rFonts w:hint="eastAsia" w:ascii="仿宋" w:hAnsi="仿宋" w:eastAsia="仿宋"/>
                <w:sz w:val="22"/>
                <w:szCs w:val="22"/>
              </w:rPr>
              <w:t>曲靖市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73.88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74.74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73.14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71.29</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73.38</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74.58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72.15</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73.95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74.68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71.75</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85</w:t>
            </w:r>
          </w:p>
        </w:tc>
        <w:tc>
          <w:tcPr>
            <w:tcW w:w="993" w:type="dxa"/>
            <w:noWrap/>
          </w:tcPr>
          <w:p>
            <w:pPr>
              <w:pStyle w:val="27"/>
              <w:rPr>
                <w:rFonts w:ascii="仿宋" w:hAnsi="仿宋" w:eastAsia="仿宋"/>
                <w:sz w:val="22"/>
                <w:szCs w:val="22"/>
              </w:rPr>
            </w:pPr>
            <w:r>
              <w:rPr>
                <w:rFonts w:hint="eastAsia" w:ascii="仿宋" w:hAnsi="仿宋" w:eastAsia="仿宋"/>
                <w:sz w:val="22"/>
                <w:szCs w:val="22"/>
              </w:rPr>
              <w:t>郑州市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76.79</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80.44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79.07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73.83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69.44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71.01</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71.91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67.33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75.61</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68.91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86</w:t>
            </w:r>
          </w:p>
        </w:tc>
        <w:tc>
          <w:tcPr>
            <w:tcW w:w="993" w:type="dxa"/>
            <w:noWrap/>
          </w:tcPr>
          <w:p>
            <w:pPr>
              <w:pStyle w:val="27"/>
              <w:rPr>
                <w:rFonts w:ascii="仿宋" w:hAnsi="仿宋" w:eastAsia="仿宋"/>
                <w:sz w:val="22"/>
                <w:szCs w:val="22"/>
              </w:rPr>
            </w:pPr>
            <w:r>
              <w:rPr>
                <w:rFonts w:hint="eastAsia" w:ascii="仿宋" w:hAnsi="仿宋" w:eastAsia="仿宋"/>
                <w:sz w:val="22"/>
                <w:szCs w:val="22"/>
              </w:rPr>
              <w:t>海口市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67.26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71.88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71.83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71.21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76.75</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72.54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67.88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83.86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84.55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71.89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87</w:t>
            </w:r>
          </w:p>
        </w:tc>
        <w:tc>
          <w:tcPr>
            <w:tcW w:w="993" w:type="dxa"/>
            <w:noWrap/>
          </w:tcPr>
          <w:p>
            <w:pPr>
              <w:pStyle w:val="27"/>
              <w:rPr>
                <w:rFonts w:ascii="仿宋" w:hAnsi="仿宋" w:eastAsia="仿宋"/>
                <w:sz w:val="22"/>
                <w:szCs w:val="22"/>
              </w:rPr>
            </w:pPr>
            <w:r>
              <w:rPr>
                <w:rFonts w:hint="eastAsia" w:ascii="仿宋" w:hAnsi="仿宋" w:eastAsia="仿宋"/>
                <w:sz w:val="22"/>
                <w:szCs w:val="22"/>
              </w:rPr>
              <w:t>绵阳市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77.64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73.60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74.64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73.32</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75.33</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70.39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68.04</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88</w:t>
            </w:r>
          </w:p>
        </w:tc>
        <w:tc>
          <w:tcPr>
            <w:tcW w:w="993" w:type="dxa"/>
            <w:noWrap/>
          </w:tcPr>
          <w:p>
            <w:pPr>
              <w:pStyle w:val="27"/>
              <w:rPr>
                <w:rFonts w:ascii="仿宋" w:hAnsi="仿宋" w:eastAsia="仿宋"/>
                <w:sz w:val="22"/>
                <w:szCs w:val="22"/>
              </w:rPr>
            </w:pPr>
            <w:r>
              <w:rPr>
                <w:rFonts w:hint="eastAsia" w:ascii="仿宋" w:hAnsi="仿宋" w:eastAsia="仿宋"/>
                <w:sz w:val="22"/>
                <w:szCs w:val="22"/>
              </w:rPr>
              <w:t>桂林市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74.58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73.76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71.90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73.89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71.57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75.90</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72.32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70.48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70.99</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71.99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89</w:t>
            </w:r>
          </w:p>
        </w:tc>
        <w:tc>
          <w:tcPr>
            <w:tcW w:w="993" w:type="dxa"/>
            <w:noWrap/>
          </w:tcPr>
          <w:p>
            <w:pPr>
              <w:pStyle w:val="27"/>
              <w:rPr>
                <w:rFonts w:ascii="仿宋" w:hAnsi="仿宋" w:eastAsia="仿宋"/>
                <w:sz w:val="22"/>
                <w:szCs w:val="22"/>
              </w:rPr>
            </w:pPr>
            <w:r>
              <w:rPr>
                <w:rFonts w:hint="eastAsia" w:ascii="仿宋" w:hAnsi="仿宋" w:eastAsia="仿宋"/>
                <w:sz w:val="22"/>
                <w:szCs w:val="22"/>
              </w:rPr>
              <w:t>乌鲁木齐市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74.60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75.65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74.78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72.78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70.91</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74.37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71.59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72.69</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70.70</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90</w:t>
            </w:r>
          </w:p>
        </w:tc>
        <w:tc>
          <w:tcPr>
            <w:tcW w:w="993" w:type="dxa"/>
            <w:noWrap/>
          </w:tcPr>
          <w:p>
            <w:pPr>
              <w:pStyle w:val="27"/>
              <w:rPr>
                <w:rFonts w:ascii="仿宋" w:hAnsi="仿宋" w:eastAsia="仿宋"/>
                <w:sz w:val="22"/>
                <w:szCs w:val="22"/>
              </w:rPr>
            </w:pPr>
            <w:r>
              <w:rPr>
                <w:rFonts w:hint="eastAsia" w:ascii="仿宋" w:hAnsi="仿宋" w:eastAsia="仿宋"/>
                <w:sz w:val="22"/>
                <w:szCs w:val="22"/>
              </w:rPr>
              <w:t>松原市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75.25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77.42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71.86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73.13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70.90</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73.64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69.53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84.57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66.09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91</w:t>
            </w:r>
          </w:p>
        </w:tc>
        <w:tc>
          <w:tcPr>
            <w:tcW w:w="993" w:type="dxa"/>
            <w:noWrap/>
          </w:tcPr>
          <w:p>
            <w:pPr>
              <w:pStyle w:val="27"/>
              <w:rPr>
                <w:rFonts w:ascii="仿宋" w:hAnsi="仿宋" w:eastAsia="仿宋"/>
                <w:sz w:val="22"/>
                <w:szCs w:val="22"/>
              </w:rPr>
            </w:pPr>
            <w:r>
              <w:rPr>
                <w:rFonts w:hint="eastAsia" w:ascii="仿宋" w:hAnsi="仿宋" w:eastAsia="仿宋"/>
                <w:sz w:val="22"/>
                <w:szCs w:val="22"/>
              </w:rPr>
              <w:t>哈密市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74.25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75.17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72.53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72.93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70.08</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74.12</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76.14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72.37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69.59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92</w:t>
            </w:r>
          </w:p>
        </w:tc>
        <w:tc>
          <w:tcPr>
            <w:tcW w:w="993" w:type="dxa"/>
            <w:noWrap/>
          </w:tcPr>
          <w:p>
            <w:pPr>
              <w:pStyle w:val="27"/>
              <w:rPr>
                <w:rFonts w:ascii="仿宋" w:hAnsi="仿宋" w:eastAsia="仿宋"/>
                <w:sz w:val="22"/>
                <w:szCs w:val="22"/>
              </w:rPr>
            </w:pPr>
            <w:r>
              <w:rPr>
                <w:rFonts w:hint="eastAsia" w:ascii="仿宋" w:hAnsi="仿宋" w:eastAsia="仿宋"/>
                <w:sz w:val="22"/>
                <w:szCs w:val="22"/>
              </w:rPr>
              <w:t>柳州市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78.34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82.60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71.32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74.97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74.08</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71.52</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73.29</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63.71</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74.45</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56.41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67.99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93</w:t>
            </w:r>
          </w:p>
        </w:tc>
        <w:tc>
          <w:tcPr>
            <w:tcW w:w="993" w:type="dxa"/>
            <w:noWrap/>
          </w:tcPr>
          <w:p>
            <w:pPr>
              <w:pStyle w:val="27"/>
              <w:rPr>
                <w:rFonts w:ascii="仿宋" w:hAnsi="仿宋" w:eastAsia="仿宋"/>
                <w:sz w:val="22"/>
                <w:szCs w:val="22"/>
              </w:rPr>
            </w:pPr>
            <w:r>
              <w:rPr>
                <w:rFonts w:hint="eastAsia" w:ascii="仿宋" w:hAnsi="仿宋" w:eastAsia="仿宋"/>
                <w:sz w:val="22"/>
                <w:szCs w:val="22"/>
              </w:rPr>
              <w:t>运城市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72.52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75.44</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71.57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71.27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68.71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68.88</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70.59</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72.30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68.73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76.28</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72.47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69.92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94</w:t>
            </w:r>
          </w:p>
        </w:tc>
        <w:tc>
          <w:tcPr>
            <w:tcW w:w="993" w:type="dxa"/>
            <w:noWrap/>
          </w:tcPr>
          <w:p>
            <w:pPr>
              <w:pStyle w:val="27"/>
              <w:rPr>
                <w:rFonts w:ascii="仿宋" w:hAnsi="仿宋" w:eastAsia="仿宋"/>
                <w:sz w:val="22"/>
                <w:szCs w:val="22"/>
              </w:rPr>
            </w:pPr>
            <w:r>
              <w:rPr>
                <w:rFonts w:hint="eastAsia" w:ascii="仿宋" w:hAnsi="仿宋" w:eastAsia="仿宋"/>
                <w:sz w:val="22"/>
                <w:szCs w:val="22"/>
              </w:rPr>
              <w:t>兰州市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76.96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78.07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70.84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74.57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70.20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73.01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71.34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69.44</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70.77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73.38</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68.62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72.22</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74.12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71.77</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69.00</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95</w:t>
            </w:r>
          </w:p>
        </w:tc>
        <w:tc>
          <w:tcPr>
            <w:tcW w:w="993" w:type="dxa"/>
            <w:noWrap/>
          </w:tcPr>
          <w:p>
            <w:pPr>
              <w:pStyle w:val="27"/>
              <w:rPr>
                <w:rFonts w:ascii="仿宋" w:hAnsi="仿宋" w:eastAsia="仿宋"/>
                <w:sz w:val="22"/>
                <w:szCs w:val="22"/>
              </w:rPr>
            </w:pPr>
            <w:r>
              <w:rPr>
                <w:rFonts w:hint="eastAsia" w:ascii="仿宋" w:hAnsi="仿宋" w:eastAsia="仿宋"/>
                <w:sz w:val="22"/>
                <w:szCs w:val="22"/>
              </w:rPr>
              <w:t>宝鸡市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77.71</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79.22</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70.83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77.82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68.63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74.63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72.37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69.27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72.56</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70.79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68.82</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72.89</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69.92</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67.62</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96</w:t>
            </w:r>
          </w:p>
        </w:tc>
        <w:tc>
          <w:tcPr>
            <w:tcW w:w="993" w:type="dxa"/>
            <w:noWrap/>
          </w:tcPr>
          <w:p>
            <w:pPr>
              <w:pStyle w:val="27"/>
              <w:rPr>
                <w:rFonts w:ascii="仿宋" w:hAnsi="仿宋" w:eastAsia="仿宋"/>
                <w:sz w:val="22"/>
                <w:szCs w:val="22"/>
              </w:rPr>
            </w:pPr>
            <w:r>
              <w:rPr>
                <w:rFonts w:hint="eastAsia" w:ascii="仿宋" w:hAnsi="仿宋" w:eastAsia="仿宋"/>
                <w:sz w:val="22"/>
                <w:szCs w:val="22"/>
              </w:rPr>
              <w:t>三亚市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74.50</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73.25</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70.30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70.85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74.43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71.69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71.21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70.75</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70.52</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69.70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72.69</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72.64</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74.27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70.84</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70.09</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97</w:t>
            </w:r>
          </w:p>
        </w:tc>
        <w:tc>
          <w:tcPr>
            <w:tcW w:w="993" w:type="dxa"/>
            <w:noWrap/>
          </w:tcPr>
          <w:p>
            <w:pPr>
              <w:pStyle w:val="27"/>
              <w:rPr>
                <w:rFonts w:ascii="仿宋" w:hAnsi="仿宋" w:eastAsia="仿宋"/>
                <w:sz w:val="22"/>
                <w:szCs w:val="22"/>
              </w:rPr>
            </w:pPr>
            <w:r>
              <w:rPr>
                <w:rFonts w:hint="eastAsia" w:ascii="仿宋" w:hAnsi="仿宋" w:eastAsia="仿宋"/>
                <w:sz w:val="22"/>
                <w:szCs w:val="22"/>
              </w:rPr>
              <w:t>呼和浩特市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78.13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78.66</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76.62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67.01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75.47</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71.34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65.57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70.47</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70.13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65.46</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72.36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74.75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73.48</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69.66</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98</w:t>
            </w:r>
          </w:p>
        </w:tc>
        <w:tc>
          <w:tcPr>
            <w:tcW w:w="993" w:type="dxa"/>
            <w:noWrap/>
          </w:tcPr>
          <w:p>
            <w:pPr>
              <w:pStyle w:val="27"/>
              <w:rPr>
                <w:rFonts w:ascii="仿宋" w:hAnsi="仿宋" w:eastAsia="仿宋"/>
                <w:sz w:val="22"/>
                <w:szCs w:val="22"/>
              </w:rPr>
            </w:pPr>
            <w:r>
              <w:rPr>
                <w:rFonts w:hint="eastAsia" w:ascii="仿宋" w:hAnsi="仿宋" w:eastAsia="仿宋"/>
                <w:sz w:val="22"/>
                <w:szCs w:val="22"/>
              </w:rPr>
              <w:t>庆阳市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72.38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75.08</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70.61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73.35</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70.81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72.50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70.84</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69.78</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70.66</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71.74</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66.43</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73.66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74.12</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69.46</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68.90</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99</w:t>
            </w:r>
          </w:p>
        </w:tc>
        <w:tc>
          <w:tcPr>
            <w:tcW w:w="993" w:type="dxa"/>
            <w:noWrap/>
          </w:tcPr>
          <w:p>
            <w:pPr>
              <w:pStyle w:val="27"/>
              <w:rPr>
                <w:rFonts w:ascii="仿宋" w:hAnsi="仿宋" w:eastAsia="仿宋"/>
                <w:sz w:val="22"/>
                <w:szCs w:val="22"/>
              </w:rPr>
            </w:pPr>
            <w:r>
              <w:rPr>
                <w:rFonts w:hint="eastAsia" w:ascii="仿宋" w:hAnsi="仿宋" w:eastAsia="仿宋"/>
                <w:sz w:val="22"/>
                <w:szCs w:val="22"/>
              </w:rPr>
              <w:t>吉林市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77.93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80.87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63.71</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79.12</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70.13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75.31</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72.63</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70.66</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73.95</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76.03</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61.36</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76.26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77.35</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55.01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64.37</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0" w:type="dxa"/>
          </w:tblCellMar>
        </w:tblPrEx>
        <w:trPr>
          <w:trHeight w:val="300" w:hRule="atLeast"/>
          <w:jc w:val="center"/>
        </w:trPr>
        <w:tc>
          <w:tcPr>
            <w:tcW w:w="675" w:type="dxa"/>
            <w:noWrap/>
            <w:vAlign w:val="center"/>
          </w:tcPr>
          <w:p>
            <w:pPr>
              <w:pStyle w:val="27"/>
              <w:rPr>
                <w:rFonts w:ascii="仿宋" w:hAnsi="仿宋" w:eastAsia="仿宋"/>
                <w:color w:val="1C1C1C"/>
                <w:sz w:val="22"/>
                <w:szCs w:val="22"/>
              </w:rPr>
            </w:pPr>
            <w:r>
              <w:rPr>
                <w:rFonts w:hint="eastAsia" w:ascii="仿宋" w:hAnsi="仿宋" w:eastAsia="仿宋"/>
                <w:sz w:val="22"/>
                <w:szCs w:val="22"/>
              </w:rPr>
              <w:t>100</w:t>
            </w:r>
          </w:p>
        </w:tc>
        <w:tc>
          <w:tcPr>
            <w:tcW w:w="993" w:type="dxa"/>
            <w:noWrap/>
          </w:tcPr>
          <w:p>
            <w:pPr>
              <w:pStyle w:val="27"/>
              <w:rPr>
                <w:rFonts w:ascii="仿宋" w:hAnsi="仿宋" w:eastAsia="仿宋"/>
                <w:sz w:val="22"/>
                <w:szCs w:val="22"/>
              </w:rPr>
            </w:pPr>
            <w:r>
              <w:rPr>
                <w:rFonts w:hint="eastAsia" w:ascii="仿宋" w:hAnsi="仿宋" w:eastAsia="仿宋"/>
                <w:sz w:val="22"/>
                <w:szCs w:val="22"/>
              </w:rPr>
              <w:t>衡阳市</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75.77</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76.73</w:t>
            </w:r>
          </w:p>
        </w:tc>
        <w:tc>
          <w:tcPr>
            <w:tcW w:w="992"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70.46</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72.26</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70.79</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71.30</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70.17</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67.77</w:t>
            </w:r>
          </w:p>
        </w:tc>
        <w:tc>
          <w:tcPr>
            <w:tcW w:w="88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69.14</w:t>
            </w:r>
          </w:p>
        </w:tc>
        <w:tc>
          <w:tcPr>
            <w:tcW w:w="82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71.09</w:t>
            </w:r>
          </w:p>
        </w:tc>
        <w:tc>
          <w:tcPr>
            <w:tcW w:w="850"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68.76</w:t>
            </w:r>
          </w:p>
        </w:tc>
        <w:tc>
          <w:tcPr>
            <w:tcW w:w="993"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70.66</w:t>
            </w:r>
          </w:p>
        </w:tc>
        <w:tc>
          <w:tcPr>
            <w:tcW w:w="965"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71.00</w:t>
            </w:r>
          </w:p>
        </w:tc>
        <w:tc>
          <w:tcPr>
            <w:tcW w:w="851"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72.01</w:t>
            </w:r>
          </w:p>
        </w:tc>
        <w:tc>
          <w:tcPr>
            <w:tcW w:w="877"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67.26</w:t>
            </w:r>
          </w:p>
        </w:tc>
        <w:tc>
          <w:tcPr>
            <w:tcW w:w="824" w:type="dxa"/>
            <w:noWrap/>
            <w:vAlign w:val="center"/>
          </w:tcPr>
          <w:p>
            <w:pPr>
              <w:jc w:val="center"/>
              <w:textAlignment w:val="bottom"/>
              <w:rPr>
                <w:rFonts w:ascii="仿宋" w:hAnsi="仿宋" w:eastAsia="仿宋" w:cs="Times New Roman"/>
                <w:color w:val="1C1C1C"/>
              </w:rPr>
            </w:pPr>
            <w:r>
              <w:rPr>
                <w:rFonts w:hint="eastAsia"/>
                <w:color w:val="000000"/>
                <w:sz w:val="22"/>
                <w:szCs w:val="22"/>
                <w:lang w:bidi="ar"/>
              </w:rPr>
              <w:t>63.10</w:t>
            </w:r>
          </w:p>
        </w:tc>
      </w:tr>
    </w:tbl>
    <w:p>
      <w:pPr>
        <w:spacing w:line="360" w:lineRule="auto"/>
        <w:jc w:val="both"/>
        <w:rPr>
          <w:color w:val="1C1C1C"/>
        </w:rPr>
        <w:sectPr>
          <w:pgSz w:w="16838" w:h="11906" w:orient="landscape"/>
          <w:pgMar w:top="1588" w:right="1531" w:bottom="1474" w:left="1531" w:header="851" w:footer="992" w:gutter="0"/>
          <w:pgNumType w:fmt="numberInDash"/>
          <w:cols w:space="720" w:num="1"/>
          <w:docGrid w:type="lines" w:linePitch="435" w:charSpace="0"/>
        </w:sectPr>
      </w:pPr>
    </w:p>
    <w:p>
      <w:pPr>
        <w:pStyle w:val="3"/>
        <w:ind w:firstLine="640" w:firstLineChars="200"/>
        <w:rPr>
          <w:rFonts w:ascii="黑体" w:hAnsi="黑体" w:eastAsia="黑体" w:cs="黑体"/>
          <w:b w:val="0"/>
          <w:bCs/>
          <w:i w:val="0"/>
          <w:iCs/>
          <w:sz w:val="32"/>
          <w:szCs w:val="32"/>
        </w:rPr>
      </w:pPr>
      <w:bookmarkStart w:id="60" w:name="_Toc16200"/>
      <w:bookmarkStart w:id="61" w:name="_Toc62721771"/>
      <w:r>
        <w:rPr>
          <w:rFonts w:hint="eastAsia" w:ascii="黑体" w:hAnsi="黑体" w:eastAsia="黑体" w:cs="黑体"/>
          <w:b w:val="0"/>
          <w:bCs/>
          <w:i w:val="0"/>
          <w:iCs/>
          <w:sz w:val="32"/>
          <w:szCs w:val="32"/>
        </w:rPr>
        <w:t>四、100个城市满意度得分历年对比情况</w:t>
      </w:r>
      <w:bookmarkEnd w:id="60"/>
      <w:bookmarkEnd w:id="61"/>
    </w:p>
    <w:p>
      <w:pPr>
        <w:pStyle w:val="4"/>
        <w:ind w:firstLine="640" w:firstLineChars="200"/>
        <w:rPr>
          <w:rFonts w:ascii="仿宋" w:hAnsi="仿宋" w:eastAsia="仿宋" w:cs="仿宋"/>
          <w:sz w:val="32"/>
          <w:szCs w:val="32"/>
        </w:rPr>
      </w:pPr>
      <w:bookmarkStart w:id="62" w:name="_Toc62721772"/>
      <w:bookmarkStart w:id="63" w:name="_Toc20525"/>
      <w:r>
        <w:rPr>
          <w:rFonts w:hint="eastAsia" w:ascii="仿宋" w:hAnsi="仿宋" w:eastAsia="仿宋" w:cs="仿宋"/>
          <w:sz w:val="32"/>
          <w:szCs w:val="32"/>
        </w:rPr>
        <w:t>（一）2021-2022年城市满意度得分</w:t>
      </w:r>
      <w:bookmarkEnd w:id="62"/>
      <w:r>
        <w:rPr>
          <w:rFonts w:hint="eastAsia" w:ascii="仿宋" w:hAnsi="仿宋" w:eastAsia="仿宋" w:cs="仿宋"/>
          <w:sz w:val="32"/>
          <w:szCs w:val="32"/>
        </w:rPr>
        <w:t>对比</w:t>
      </w:r>
      <w:bookmarkEnd w:id="63"/>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2021-2022年，100个城市均连续参与调查，针对两个年度的100个城市消费者满意度得分变化分析如下：</w:t>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根据调查结果，100个城市中，22个城市满意度得分提高。其中，佛山市得分提高最多，达6.22分。此外，还有6个城市提高2分以上，分别是：烟台市（+3.88分）、青岛市（+3.39分）、南京市（+2.81分）、杭州市（+2.40分）、无锡市（+2.13分）、苏州市（+2.11分）。</w:t>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78个城市满意度得分降低。其中，吉林市得分降低最多，下降8.43分。此外，还有6个城市下降超6分，分别是：呼和浩特市（-6.20分）、兰州市（-6.24分）、运城市（-6.48分）、哈密市（-6.77分）、衡阳市（-6.85分）、柳州市（-7.57分）。</w:t>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2022年，全国新冠疫情形势较前两年更加严峻复杂，对于经济社会发展产生持续的不良影响。从居民消费角度看，部分时段、部分地区存在的物资短缺、物价上涨、消费活动受限等问题，对消费者满意度感知</w:t>
      </w:r>
      <w:r>
        <w:rPr>
          <w:rFonts w:hint="eastAsia" w:ascii="仿宋" w:hAnsi="仿宋" w:eastAsia="仿宋" w:cs="仿宋"/>
          <w:color w:val="1C1C1C"/>
          <w:sz w:val="32"/>
          <w:szCs w:val="32"/>
          <w:lang w:val="en-US" w:eastAsia="zh-CN"/>
        </w:rPr>
        <w:t>造成</w:t>
      </w:r>
      <w:r>
        <w:rPr>
          <w:rFonts w:hint="eastAsia" w:ascii="仿宋" w:hAnsi="仿宋" w:eastAsia="仿宋" w:cs="仿宋"/>
          <w:color w:val="1C1C1C"/>
          <w:sz w:val="32"/>
          <w:szCs w:val="32"/>
        </w:rPr>
        <w:t>直接的负面作用。此外，吉林、柳州、衡阳等得分下降较多的城市，在消费维权方面</w:t>
      </w:r>
      <w:r>
        <w:rPr>
          <w:rFonts w:hint="eastAsia" w:ascii="仿宋" w:hAnsi="仿宋" w:eastAsia="仿宋" w:cs="仿宋"/>
          <w:color w:val="1C1C1C"/>
          <w:sz w:val="32"/>
          <w:szCs w:val="32"/>
          <w:lang w:val="en-US" w:eastAsia="zh-CN"/>
        </w:rPr>
        <w:t>的</w:t>
      </w:r>
      <w:r>
        <w:rPr>
          <w:rFonts w:hint="eastAsia" w:ascii="仿宋" w:hAnsi="仿宋" w:eastAsia="仿宋" w:cs="仿宋"/>
          <w:color w:val="1C1C1C"/>
          <w:sz w:val="32"/>
          <w:szCs w:val="32"/>
        </w:rPr>
        <w:t>评分普遍较低。</w:t>
      </w:r>
    </w:p>
    <w:p>
      <w:pPr>
        <w:pStyle w:val="26"/>
        <w:ind w:firstLine="640"/>
        <w:jc w:val="both"/>
        <w:rPr>
          <w:rFonts w:ascii="仿宋" w:hAnsi="仿宋" w:eastAsia="仿宋" w:cs="仿宋"/>
          <w:color w:val="1C1C1C"/>
          <w:sz w:val="32"/>
          <w:szCs w:val="32"/>
        </w:rPr>
        <w:sectPr>
          <w:pgSz w:w="11906" w:h="16838"/>
          <w:pgMar w:top="1531" w:right="1474" w:bottom="1531" w:left="1588" w:header="851" w:footer="992" w:gutter="0"/>
          <w:pgNumType w:fmt="numberInDash"/>
          <w:cols w:space="720" w:num="1"/>
          <w:docGrid w:type="linesAndChars" w:linePitch="312" w:charSpace="0"/>
        </w:sectPr>
      </w:pPr>
    </w:p>
    <w:p>
      <w:pPr>
        <w:jc w:val="center"/>
      </w:pPr>
      <w:r>
        <mc:AlternateContent>
          <mc:Choice Requires="wps">
            <w:drawing>
              <wp:anchor distT="0" distB="0" distL="114300" distR="114300" simplePos="0" relativeHeight="251661312" behindDoc="0" locked="0" layoutInCell="1" allowOverlap="1">
                <wp:simplePos x="0" y="0"/>
                <wp:positionH relativeFrom="column">
                  <wp:posOffset>2082800</wp:posOffset>
                </wp:positionH>
                <wp:positionV relativeFrom="paragraph">
                  <wp:posOffset>3011805</wp:posOffset>
                </wp:positionV>
                <wp:extent cx="1720850" cy="48768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72085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城市得分降低区域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237.15pt;height:38.4pt;width:135.5pt;z-index:251661312;mso-width-relative:page;mso-height-relative:page;" filled="f" stroked="f" coordsize="21600,21600" o:gfxdata="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Zkg7dAAAACwEAAA8AAAAAAAAAAQAgAAAAIgAA&#10;AGRycy9kb3ducmV2LnhtbFBLAQIUABQAAAAIAIdO4kBhvPpIPAIAAGgEAAAOAAAAAAAAAAEAIAAA&#10;ACwBAABkcnMvZTJvRG9jLnhtbFBLBQYAAAAABgAGAFkBAADaBQ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城市得分降低区域</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480695</wp:posOffset>
                </wp:positionH>
                <wp:positionV relativeFrom="paragraph">
                  <wp:posOffset>3011805</wp:posOffset>
                </wp:positionV>
                <wp:extent cx="1719580" cy="48768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城市得分提高区域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5pt;margin-top:237.15pt;height:38.4pt;width:135.4pt;z-index:251662336;mso-width-relative:page;mso-height-relative:page;" filled="f" stroked="f" coordsize="21600,21600" o:gfxdata="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4z5bdwAAAAKAQAADwAAAAAAAAABACAAAAAiAAAA&#10;ZHJzL2Rvd25yZXYueG1sUEsBAhQAFAAAAAgAh07iQOwlr3A8AgAAaAQAAA4AAAAAAAAAAQAgAAAA&#10;KwEAAGRycy9lMm9Eb2MueG1sUEsFBgAAAAAGAAYAWQEAANkFA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城市得分提高区域</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2133600</wp:posOffset>
                </wp:positionH>
                <wp:positionV relativeFrom="paragraph">
                  <wp:posOffset>216535</wp:posOffset>
                </wp:positionV>
                <wp:extent cx="635" cy="3787140"/>
                <wp:effectExtent l="4445" t="0" r="13970" b="3810"/>
                <wp:wrapNone/>
                <wp:docPr id="10" name="直接连接符 50"/>
                <wp:cNvGraphicFramePr/>
                <a:graphic xmlns:a="http://schemas.openxmlformats.org/drawingml/2006/main">
                  <a:graphicData uri="http://schemas.microsoft.com/office/word/2010/wordprocessingShape">
                    <wps:wsp>
                      <wps:cNvCnPr>
                        <a:cxnSpLocks noChangeShapeType="1"/>
                      </wps:cNvCnPr>
                      <wps:spPr bwMode="auto">
                        <a:xfrm flipV="1">
                          <a:off x="0" y="0"/>
                          <a:ext cx="635" cy="3787140"/>
                        </a:xfrm>
                        <a:prstGeom prst="line">
                          <a:avLst/>
                        </a:prstGeom>
                        <a:noFill/>
                        <a:ln w="6350">
                          <a:solidFill>
                            <a:srgbClr val="ED7D31"/>
                          </a:solidFill>
                          <a:miter lim="800000"/>
                        </a:ln>
                      </wps:spPr>
                      <wps:bodyPr/>
                    </wps:wsp>
                  </a:graphicData>
                </a:graphic>
              </wp:anchor>
            </w:drawing>
          </mc:Choice>
          <mc:Fallback>
            <w:pict>
              <v:line id="直接连接符 50" o:spid="_x0000_s1026" o:spt="20" style="position:absolute;left:0pt;flip:y;margin-left:168pt;margin-top:17.05pt;height:298.2pt;width:0.05pt;z-index:251660288;mso-width-relative:page;mso-height-relative:page;" filled="f" stroked="t" coordsize="21600,21600" o:gfxdata="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6eRTj1gAAAAoBAAAPAAAAAAAAAAEAIAAAACIAAABkcnMvZG93bnJldi54bWxQ&#10;SwECFAAUAAAACACHTuJAxNHcG/kBAADFAwAADgAAAAAAAAABACAAAAAlAQAAZHJzL2Uyb0RvYy54&#10;bWxQSwUGAAAAAAYABgBZAQAAkAUAAAAA&#10;">
                <v:fill on="f" focussize="0,0"/>
                <v:stroke weight="0.5pt" color="#ED7D31" miterlimit="8" joinstyle="miter"/>
                <v:imagedata o:title=""/>
                <o:lock v:ext="edit" aspectratio="f"/>
              </v:line>
            </w:pict>
          </mc:Fallback>
        </mc:AlternateContent>
      </w:r>
      <w:r>
        <w:drawing>
          <wp:inline distT="0" distB="0" distL="114300" distR="114300">
            <wp:extent cx="8480425" cy="5013960"/>
            <wp:effectExtent l="0" t="0" r="15875" b="1524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center"/>
        <w:rPr>
          <w:b/>
          <w:bCs/>
          <w:sz w:val="28"/>
          <w:szCs w:val="28"/>
        </w:rPr>
      </w:pPr>
      <w:r>
        <w:rPr>
          <w:rFonts w:hint="eastAsia" w:ascii="黑体" w:hAnsi="黑体" w:eastAsia="黑体"/>
          <w:color w:val="1C1C1C"/>
          <w:sz w:val="28"/>
          <w:szCs w:val="28"/>
        </w:rPr>
        <w:t>图14 2021-2022年100个城市满意度得分</w:t>
      </w:r>
    </w:p>
    <w:p>
      <w:pPr>
        <w:jc w:val="center"/>
        <w:rPr>
          <w:sz w:val="28"/>
          <w:szCs w:val="28"/>
        </w:rPr>
        <w:sectPr>
          <w:pgSz w:w="16838" w:h="11906" w:orient="landscape"/>
          <w:pgMar w:top="1588" w:right="1531" w:bottom="1474" w:left="1531" w:header="851" w:footer="992" w:gutter="0"/>
          <w:pgNumType w:fmt="numberInDash"/>
          <w:cols w:space="720" w:num="1"/>
          <w:docGrid w:type="linesAndChars" w:linePitch="312" w:charSpace="0"/>
        </w:sectPr>
      </w:pPr>
    </w:p>
    <w:p>
      <w:pPr>
        <w:pStyle w:val="4"/>
        <w:ind w:firstLine="640" w:firstLineChars="200"/>
        <w:rPr>
          <w:rFonts w:ascii="仿宋" w:hAnsi="仿宋" w:eastAsia="仿宋" w:cs="仿宋"/>
          <w:color w:val="1C1C1C"/>
          <w:sz w:val="32"/>
          <w:szCs w:val="32"/>
        </w:rPr>
      </w:pPr>
      <w:bookmarkStart w:id="64" w:name="_Toc10511"/>
      <w:r>
        <w:rPr>
          <w:rFonts w:hint="eastAsia" w:ascii="仿宋" w:hAnsi="仿宋" w:eastAsia="仿宋" w:cs="仿宋"/>
          <w:sz w:val="32"/>
          <w:szCs w:val="32"/>
        </w:rPr>
        <w:t>（二）2017-2022年城市满意度得分对比</w:t>
      </w:r>
      <w:bookmarkEnd w:id="64"/>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1.总体上看，2017-2021年，城市消费者满意度得分呈现持续上升趋势，2022年，大部分城市得分有所下降，东部沿海地区部分城市逆势增长，始终引领消费者满意度提升。</w:t>
      </w:r>
    </w:p>
    <w:p>
      <w:pPr>
        <w:pStyle w:val="26"/>
        <w:ind w:firstLine="640"/>
        <w:jc w:val="both"/>
        <w:rPr>
          <w:rFonts w:ascii="仿宋" w:hAnsi="仿宋" w:eastAsia="仿宋" w:cs="仿宋"/>
          <w:b/>
          <w:bCs/>
          <w:color w:val="1C1C1C"/>
          <w:sz w:val="32"/>
          <w:szCs w:val="32"/>
        </w:rPr>
      </w:pPr>
      <w:r>
        <w:rPr>
          <w:rFonts w:hint="eastAsia" w:ascii="仿宋" w:hAnsi="仿宋" w:eastAsia="仿宋" w:cs="仿宋"/>
          <w:color w:val="1C1C1C"/>
          <w:sz w:val="32"/>
          <w:szCs w:val="32"/>
        </w:rPr>
        <w:t>2</w:t>
      </w:r>
      <w:r>
        <w:rPr>
          <w:rFonts w:ascii="仿宋" w:hAnsi="仿宋" w:eastAsia="仿宋" w:cs="仿宋"/>
          <w:color w:val="1C1C1C"/>
          <w:sz w:val="32"/>
          <w:szCs w:val="32"/>
        </w:rPr>
        <w:t>017</w:t>
      </w:r>
      <w:r>
        <w:rPr>
          <w:rFonts w:hint="eastAsia" w:ascii="仿宋" w:hAnsi="仿宋" w:eastAsia="仿宋" w:cs="仿宋"/>
          <w:color w:val="1C1C1C"/>
          <w:sz w:val="32"/>
          <w:szCs w:val="32"/>
        </w:rPr>
        <w:t>年，除西藏自治区外，其他省份得分集中在6</w:t>
      </w:r>
      <w:r>
        <w:rPr>
          <w:rFonts w:ascii="仿宋" w:hAnsi="仿宋" w:eastAsia="仿宋" w:cs="仿宋"/>
          <w:color w:val="1C1C1C"/>
          <w:sz w:val="32"/>
          <w:szCs w:val="32"/>
        </w:rPr>
        <w:t>6</w:t>
      </w:r>
      <w:r>
        <w:rPr>
          <w:rFonts w:hint="eastAsia" w:ascii="仿宋" w:hAnsi="仿宋" w:eastAsia="仿宋" w:cs="仿宋"/>
          <w:color w:val="1C1C1C"/>
          <w:sz w:val="32"/>
          <w:szCs w:val="32"/>
        </w:rPr>
        <w:t>分到7</w:t>
      </w:r>
      <w:r>
        <w:rPr>
          <w:rFonts w:ascii="仿宋" w:hAnsi="仿宋" w:eastAsia="仿宋" w:cs="仿宋"/>
          <w:color w:val="1C1C1C"/>
          <w:sz w:val="32"/>
          <w:szCs w:val="32"/>
        </w:rPr>
        <w:t>5</w:t>
      </w:r>
      <w:r>
        <w:rPr>
          <w:rFonts w:hint="eastAsia" w:ascii="仿宋" w:hAnsi="仿宋" w:eastAsia="仿宋" w:cs="仿宋"/>
          <w:color w:val="1C1C1C"/>
          <w:sz w:val="32"/>
          <w:szCs w:val="32"/>
        </w:rPr>
        <w:t>分之间；2</w:t>
      </w:r>
      <w:r>
        <w:rPr>
          <w:rFonts w:ascii="仿宋" w:hAnsi="仿宋" w:eastAsia="仿宋" w:cs="仿宋"/>
          <w:color w:val="1C1C1C"/>
          <w:sz w:val="32"/>
          <w:szCs w:val="32"/>
        </w:rPr>
        <w:t>019</w:t>
      </w:r>
      <w:r>
        <w:rPr>
          <w:rFonts w:hint="eastAsia" w:ascii="仿宋" w:hAnsi="仿宋" w:eastAsia="仿宋" w:cs="仿宋"/>
          <w:color w:val="1C1C1C"/>
          <w:sz w:val="32"/>
          <w:szCs w:val="32"/>
        </w:rPr>
        <w:t>年，各省份得分在7</w:t>
      </w:r>
      <w:r>
        <w:rPr>
          <w:rFonts w:ascii="仿宋" w:hAnsi="仿宋" w:eastAsia="仿宋" w:cs="仿宋"/>
          <w:color w:val="1C1C1C"/>
          <w:sz w:val="32"/>
          <w:szCs w:val="32"/>
        </w:rPr>
        <w:t>0</w:t>
      </w:r>
      <w:r>
        <w:rPr>
          <w:rFonts w:hint="eastAsia" w:ascii="仿宋" w:hAnsi="仿宋" w:eastAsia="仿宋" w:cs="仿宋"/>
          <w:color w:val="1C1C1C"/>
          <w:sz w:val="32"/>
          <w:szCs w:val="32"/>
        </w:rPr>
        <w:t>分到8</w:t>
      </w:r>
      <w:r>
        <w:rPr>
          <w:rFonts w:ascii="仿宋" w:hAnsi="仿宋" w:eastAsia="仿宋" w:cs="仿宋"/>
          <w:color w:val="1C1C1C"/>
          <w:sz w:val="32"/>
          <w:szCs w:val="32"/>
        </w:rPr>
        <w:t>2</w:t>
      </w:r>
      <w:r>
        <w:rPr>
          <w:rFonts w:hint="eastAsia" w:ascii="仿宋" w:hAnsi="仿宋" w:eastAsia="仿宋" w:cs="仿宋"/>
          <w:color w:val="1C1C1C"/>
          <w:sz w:val="32"/>
          <w:szCs w:val="32"/>
        </w:rPr>
        <w:t>分之间；</w:t>
      </w:r>
      <w:r>
        <w:rPr>
          <w:rFonts w:ascii="仿宋" w:hAnsi="仿宋" w:eastAsia="仿宋" w:cs="仿宋"/>
          <w:color w:val="1C1C1C"/>
          <w:sz w:val="32"/>
          <w:szCs w:val="32"/>
        </w:rPr>
        <w:t>2021</w:t>
      </w:r>
      <w:r>
        <w:rPr>
          <w:rFonts w:hint="eastAsia" w:ascii="仿宋" w:hAnsi="仿宋" w:eastAsia="仿宋" w:cs="仿宋"/>
          <w:color w:val="1C1C1C"/>
          <w:sz w:val="32"/>
          <w:szCs w:val="32"/>
        </w:rPr>
        <w:t>年，各省份得分在77分到8</w:t>
      </w:r>
      <w:r>
        <w:rPr>
          <w:rFonts w:ascii="仿宋" w:hAnsi="仿宋" w:eastAsia="仿宋" w:cs="仿宋"/>
          <w:color w:val="1C1C1C"/>
          <w:sz w:val="32"/>
          <w:szCs w:val="32"/>
        </w:rPr>
        <w:t>5</w:t>
      </w:r>
      <w:r>
        <w:rPr>
          <w:rFonts w:hint="eastAsia" w:ascii="仿宋" w:hAnsi="仿宋" w:eastAsia="仿宋" w:cs="仿宋"/>
          <w:color w:val="1C1C1C"/>
          <w:sz w:val="32"/>
          <w:szCs w:val="32"/>
        </w:rPr>
        <w:t>分之间。2022年，江苏省（85.70分、+0.99）</w:t>
      </w:r>
      <w:r>
        <w:rPr>
          <w:rFonts w:hint="eastAsia" w:ascii="仿宋" w:hAnsi="仿宋" w:eastAsia="仿宋" w:cs="仿宋"/>
          <w:sz w:val="32"/>
          <w:szCs w:val="32"/>
        </w:rPr>
        <w:t>、北京市（84.42分、+0.94）、山东省（83.34分、+0.75）等8个东部省市得分在80分以上。甘肃省（72.96分、-5.10）、海南省（73.37分、-4.37）、吉林省（74.21分、-4.30）等7个省市得分降至75分以下。</w:t>
      </w:r>
    </w:p>
    <w:p>
      <w:pPr>
        <w:pStyle w:val="26"/>
        <w:spacing w:line="240" w:lineRule="auto"/>
        <w:ind w:firstLine="0" w:firstLineChars="0"/>
        <w:jc w:val="center"/>
        <w:rPr>
          <w:rFonts w:ascii="仿宋" w:hAnsi="仿宋" w:eastAsia="仿宋" w:cs="仿宋"/>
          <w:color w:val="1C1C1C"/>
          <w:sz w:val="32"/>
          <w:szCs w:val="32"/>
        </w:rPr>
      </w:pPr>
      <w:r>
        <w:rPr>
          <w:rFonts w:hint="eastAsia" w:ascii="仿宋" w:hAnsi="仿宋" w:eastAsia="仿宋" w:cs="仿宋"/>
          <w:color w:val="1C1C1C"/>
          <w:sz w:val="32"/>
          <w:szCs w:val="32"/>
        </w:rPr>
        <w:drawing>
          <wp:inline distT="0" distB="0" distL="114300" distR="114300">
            <wp:extent cx="3599815" cy="2062480"/>
            <wp:effectExtent l="0" t="0" r="6985" b="7620"/>
            <wp:docPr id="17" name="图片 17"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7"/>
                    <pic:cNvPicPr>
                      <a:picLocks noChangeAspect="1"/>
                    </pic:cNvPicPr>
                  </pic:nvPicPr>
                  <pic:blipFill>
                    <a:blip r:embed="rId25"/>
                    <a:stretch>
                      <a:fillRect/>
                    </a:stretch>
                  </pic:blipFill>
                  <pic:spPr>
                    <a:xfrm>
                      <a:off x="0" y="0"/>
                      <a:ext cx="3599815" cy="2062480"/>
                    </a:xfrm>
                    <a:prstGeom prst="rect">
                      <a:avLst/>
                    </a:prstGeom>
                  </pic:spPr>
                </pic:pic>
              </a:graphicData>
            </a:graphic>
          </wp:inline>
        </w:drawing>
      </w:r>
      <w:r>
        <w:rPr>
          <w:rFonts w:hint="eastAsia" w:ascii="仿宋" w:hAnsi="仿宋" w:eastAsia="仿宋" w:cs="仿宋"/>
          <w:color w:val="1C1C1C"/>
          <w:sz w:val="32"/>
          <w:szCs w:val="32"/>
        </w:rPr>
        <w:drawing>
          <wp:inline distT="0" distB="0" distL="114300" distR="114300">
            <wp:extent cx="3599815" cy="2062480"/>
            <wp:effectExtent l="0" t="0" r="6985" b="7620"/>
            <wp:docPr id="18" name="图片 18"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9"/>
                    <pic:cNvPicPr>
                      <a:picLocks noChangeAspect="1"/>
                    </pic:cNvPicPr>
                  </pic:nvPicPr>
                  <pic:blipFill>
                    <a:blip r:embed="rId26"/>
                    <a:stretch>
                      <a:fillRect/>
                    </a:stretch>
                  </pic:blipFill>
                  <pic:spPr>
                    <a:xfrm>
                      <a:off x="0" y="0"/>
                      <a:ext cx="3599815" cy="2062480"/>
                    </a:xfrm>
                    <a:prstGeom prst="rect">
                      <a:avLst/>
                    </a:prstGeom>
                  </pic:spPr>
                </pic:pic>
              </a:graphicData>
            </a:graphic>
          </wp:inline>
        </w:drawing>
      </w:r>
      <w:r>
        <w:rPr>
          <w:rFonts w:hint="eastAsia" w:ascii="仿宋" w:hAnsi="仿宋" w:eastAsia="仿宋" w:cs="仿宋"/>
          <w:color w:val="1C1C1C"/>
          <w:sz w:val="32"/>
          <w:szCs w:val="32"/>
        </w:rPr>
        <w:drawing>
          <wp:inline distT="0" distB="0" distL="114300" distR="114300">
            <wp:extent cx="3599815" cy="2062480"/>
            <wp:effectExtent l="0" t="0" r="6985" b="7620"/>
            <wp:docPr id="19" name="图片 19" desc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1"/>
                    <pic:cNvPicPr>
                      <a:picLocks noChangeAspect="1"/>
                    </pic:cNvPicPr>
                  </pic:nvPicPr>
                  <pic:blipFill>
                    <a:blip r:embed="rId27"/>
                    <a:stretch>
                      <a:fillRect/>
                    </a:stretch>
                  </pic:blipFill>
                  <pic:spPr>
                    <a:xfrm>
                      <a:off x="0" y="0"/>
                      <a:ext cx="3599815" cy="2062480"/>
                    </a:xfrm>
                    <a:prstGeom prst="rect">
                      <a:avLst/>
                    </a:prstGeom>
                  </pic:spPr>
                </pic:pic>
              </a:graphicData>
            </a:graphic>
          </wp:inline>
        </w:drawing>
      </w:r>
      <w:r>
        <w:rPr>
          <w:rFonts w:hint="eastAsia" w:ascii="仿宋" w:hAnsi="仿宋" w:eastAsia="仿宋" w:cs="仿宋"/>
          <w:color w:val="1C1C1C"/>
          <w:sz w:val="32"/>
          <w:szCs w:val="32"/>
        </w:rPr>
        <w:drawing>
          <wp:inline distT="0" distB="0" distL="114300" distR="114300">
            <wp:extent cx="3599815" cy="2062480"/>
            <wp:effectExtent l="0" t="0" r="6985" b="7620"/>
            <wp:docPr id="20" name="图片 20" descr="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2"/>
                    <pic:cNvPicPr>
                      <a:picLocks noChangeAspect="1"/>
                    </pic:cNvPicPr>
                  </pic:nvPicPr>
                  <pic:blipFill>
                    <a:blip r:embed="rId28"/>
                    <a:stretch>
                      <a:fillRect/>
                    </a:stretch>
                  </pic:blipFill>
                  <pic:spPr>
                    <a:xfrm>
                      <a:off x="0" y="0"/>
                      <a:ext cx="3599815" cy="2062480"/>
                    </a:xfrm>
                    <a:prstGeom prst="rect">
                      <a:avLst/>
                    </a:prstGeom>
                  </pic:spPr>
                </pic:pic>
              </a:graphicData>
            </a:graphic>
          </wp:inline>
        </w:drawing>
      </w:r>
    </w:p>
    <w:p>
      <w:pPr>
        <w:pStyle w:val="26"/>
        <w:spacing w:line="240" w:lineRule="auto"/>
        <w:ind w:firstLine="0" w:firstLineChars="0"/>
        <w:jc w:val="center"/>
        <w:rPr>
          <w:rFonts w:ascii="仿宋" w:hAnsi="仿宋" w:eastAsia="仿宋" w:cs="仿宋"/>
          <w:color w:val="1C1C1C"/>
          <w:sz w:val="32"/>
          <w:szCs w:val="32"/>
        </w:rPr>
      </w:pPr>
      <w:r>
        <w:rPr>
          <w:rFonts w:hint="eastAsia" w:ascii="黑体" w:hAnsi="黑体" w:eastAsia="黑体"/>
          <w:color w:val="1C1C1C"/>
          <w:sz w:val="28"/>
          <w:szCs w:val="28"/>
        </w:rPr>
        <w:t>图15 2017、2019、2021、2022年满意度得分分布地图</w:t>
      </w:r>
      <w:r>
        <w:rPr>
          <w:rFonts w:hint="eastAsia" w:ascii="仿宋" w:hAnsi="仿宋" w:eastAsia="仿宋" w:cs="仿宋"/>
          <w:color w:val="1C1C1C"/>
          <w:sz w:val="32"/>
          <w:szCs w:val="32"/>
        </w:rPr>
        <w:br w:type="page"/>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2.50个城市连续参与了2017-2022年6年的调查，针对这6年来的消费者满意度得分变化分析如下：</w:t>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根据调查结果，50个城市中，8个城市满意度得分持续上升，分别为（按照得分总体升幅从高到低排序，下同）：苏州市、青岛市、杭州市、北京市、天津市、深圳市、潍坊市、台州市。9个城市满意度得分呈现较为显著的先上升后下降的弓形变化，分别为：长沙市、海口市、唐山市、重庆市、郑州市、兰州市、合肥市、乌鲁木齐市、呼和浩特市。其他33个城市得分虽有一定波动，但整体呈上升趋势。</w:t>
      </w:r>
    </w:p>
    <w:p>
      <w:pPr>
        <w:pStyle w:val="26"/>
        <w:ind w:firstLine="640"/>
        <w:jc w:val="both"/>
        <w:rPr>
          <w:rFonts w:ascii="仿宋" w:hAnsi="仿宋" w:eastAsia="仿宋" w:cs="仿宋"/>
          <w:color w:val="1C1C1C"/>
          <w:sz w:val="32"/>
          <w:szCs w:val="32"/>
        </w:rPr>
        <w:sectPr>
          <w:pgSz w:w="11906" w:h="16838"/>
          <w:pgMar w:top="1531" w:right="1474" w:bottom="1531" w:left="1588" w:header="851" w:footer="992" w:gutter="0"/>
          <w:pgNumType w:fmt="numberInDash"/>
          <w:cols w:space="720" w:num="1"/>
          <w:docGrid w:type="linesAndChars" w:linePitch="312" w:charSpace="0"/>
        </w:sectPr>
      </w:pPr>
    </w:p>
    <w:p>
      <w:pPr>
        <w:pStyle w:val="26"/>
        <w:ind w:firstLine="640"/>
        <w:jc w:val="both"/>
        <w:rPr>
          <w:rFonts w:ascii="仿宋" w:hAnsi="仿宋" w:eastAsia="仿宋" w:cs="仿宋"/>
          <w:color w:val="1C1C1C"/>
          <w:sz w:val="32"/>
          <w:szCs w:val="32"/>
        </w:rPr>
      </w:pPr>
    </w:p>
    <w:p>
      <w:r>
        <mc:AlternateContent>
          <mc:Choice Requires="wps">
            <w:drawing>
              <wp:anchor distT="0" distB="0" distL="114300" distR="114300" simplePos="0" relativeHeight="251675648" behindDoc="0" locked="0" layoutInCell="1" allowOverlap="1">
                <wp:simplePos x="0" y="0"/>
                <wp:positionH relativeFrom="column">
                  <wp:posOffset>6610350</wp:posOffset>
                </wp:positionH>
                <wp:positionV relativeFrom="paragraph">
                  <wp:posOffset>3310255</wp:posOffset>
                </wp:positionV>
                <wp:extent cx="1720850" cy="4876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72085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弓形变化区域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0.5pt;margin-top:260.65pt;height:38.4pt;width:135.5pt;z-index:251675648;mso-width-relative:page;mso-height-relative:page;" filled="f" stroked="f" coordsize="21600,21600" o:gfxdata="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kQptPbAAAADQEAAA8AAAAAAAAAAQAgAAAAIgAAAGRy&#10;cy9kb3ducmV2LnhtbFBLAQIUABQAAAAIAIdO4kD+T9QSOwIAAGYEAAAOAAAAAAAAAAEAIAAAACoB&#10;AABkcnMvZTJvRG9jLnhtbFBLBQYAAAAABgAGAFkBAADXBQ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弓形变化区域</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3251200</wp:posOffset>
                </wp:positionH>
                <wp:positionV relativeFrom="paragraph">
                  <wp:posOffset>3310255</wp:posOffset>
                </wp:positionV>
                <wp:extent cx="1720850" cy="48768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72085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波动上升区域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pt;margin-top:260.65pt;height:38.4pt;width:135.5pt;z-index:251664384;mso-width-relative:page;mso-height-relative:page;" filled="f" stroked="f" coordsize="21600,21600" o:gfxdata="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18Gi2wAAAAsBAAAPAAAAAAAAAAEAIAAAACIAAABk&#10;cnMvZG93bnJldi54bWxQSwECFAAUAAAACACHTuJA1z2d0jwCAABoBAAADgAAAAAAAAABACAAAAAq&#10;AQAAZHJzL2Uyb0RvYy54bWxQSwUGAAAAAAYABgBZAQAA2AU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波动上升区域</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64770</wp:posOffset>
                </wp:positionH>
                <wp:positionV relativeFrom="paragraph">
                  <wp:posOffset>3310255</wp:posOffset>
                </wp:positionV>
                <wp:extent cx="1719580" cy="48768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持续上升区域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260.65pt;height:38.4pt;width:135.4pt;z-index:251665408;mso-width-relative:page;mso-height-relative:page;" filled="f" stroked="f" coordsize="21600,21600" o:gfxdata="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h4uh9kAAAAKAQAADwAAAAAAAAABACAAAAAiAAAAZHJz&#10;L2Rvd25yZXYueG1sUEsBAhQAFAAAAAgAh07iQFqkyOo8AgAAaAQAAA4AAAAAAAAAAQAgAAAAKAEA&#10;AGRycy9lMm9Eb2MueG1sUEsFBgAAAAAGAAYAWQEAANYFA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持续上升区域</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6772910</wp:posOffset>
                </wp:positionH>
                <wp:positionV relativeFrom="paragraph">
                  <wp:posOffset>158750</wp:posOffset>
                </wp:positionV>
                <wp:extent cx="635" cy="3844925"/>
                <wp:effectExtent l="4445" t="0" r="7620" b="3175"/>
                <wp:wrapNone/>
                <wp:docPr id="2" name="直接连接符 2"/>
                <wp:cNvGraphicFramePr/>
                <a:graphic xmlns:a="http://schemas.openxmlformats.org/drawingml/2006/main">
                  <a:graphicData uri="http://schemas.microsoft.com/office/word/2010/wordprocessingShape">
                    <wps:wsp>
                      <wps:cNvCnPr/>
                      <wps:spPr>
                        <a:xfrm>
                          <a:off x="0" y="0"/>
                          <a:ext cx="635" cy="384492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33.3pt;margin-top:12.5pt;height:302.75pt;width:0.05pt;z-index:251674624;mso-width-relative:page;mso-height-relative:page;" filled="f" stroked="t" coordsize="21600,21600" o:gfxdata="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SzsbNoAAAAMAQAADwAAAAAAAAABACAAAAAiAAAAZHJzL2Rvd25yZXYueG1sUEsBAhQAFAAAAAgA&#10;h07iQF6q2e/qAQAAswMAAA4AAAAAAAAAAQAgAAAAKQEAAGRycy9lMm9Eb2MueG1sUEsFBgAAAAAG&#10;AAYAWQEAAIUFAAAAAA==&#10;">
                <v:fill on="f" focussize="0,0"/>
                <v:stroke weight="0.5pt" color="#F72942 [3204]" miterlimit="8" joinstyle="miter"/>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1553210</wp:posOffset>
                </wp:positionH>
                <wp:positionV relativeFrom="paragraph">
                  <wp:posOffset>152400</wp:posOffset>
                </wp:positionV>
                <wp:extent cx="635" cy="3844925"/>
                <wp:effectExtent l="4445" t="0" r="13970" b="3175"/>
                <wp:wrapNone/>
                <wp:docPr id="78" name="直接连接符 78"/>
                <wp:cNvGraphicFramePr/>
                <a:graphic xmlns:a="http://schemas.openxmlformats.org/drawingml/2006/main">
                  <a:graphicData uri="http://schemas.microsoft.com/office/word/2010/wordprocessingShape">
                    <wps:wsp>
                      <wps:cNvCnPr/>
                      <wps:spPr>
                        <a:xfrm>
                          <a:off x="0" y="0"/>
                          <a:ext cx="635" cy="384492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2.3pt;margin-top:12pt;height:302.75pt;width:0.05pt;z-index:251663360;mso-width-relative:page;mso-height-relative:page;" filled="f" stroked="t" coordsize="21600,21600" o:gfxdata="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NwOntkAAAAKAQAADwAAAAAAAAABACAAAAAiAAAAZHJzL2Rvd25yZXYueG1sUEsBAhQAFAAAAAgA&#10;h07iQBnZSEfrAQAAtQMAAA4AAAAAAAAAAQAgAAAAKAEAAGRycy9lMm9Eb2MueG1sUEsFBgAAAAAG&#10;AAYAWQEAAIUFAAAAAA==&#10;">
                <v:fill on="f" focussize="0,0"/>
                <v:stroke weight="0.5pt" color="#F72942 [3204]" miterlimit="8" joinstyle="miter"/>
                <v:imagedata o:title=""/>
                <o:lock v:ext="edit" aspectratio="f"/>
              </v:line>
            </w:pict>
          </mc:Fallback>
        </mc:AlternateContent>
      </w:r>
      <w:r>
        <w:drawing>
          <wp:inline distT="0" distB="0" distL="114300" distR="114300">
            <wp:extent cx="8480425" cy="4710430"/>
            <wp:effectExtent l="0" t="0" r="3175" b="127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jc w:val="center"/>
        <w:rPr>
          <w:sz w:val="28"/>
          <w:szCs w:val="28"/>
        </w:rPr>
      </w:pPr>
      <w:r>
        <w:rPr>
          <w:rFonts w:hint="eastAsia" w:ascii="黑体" w:hAnsi="黑体" w:eastAsia="黑体"/>
          <w:color w:val="1C1C1C"/>
          <w:sz w:val="28"/>
          <w:szCs w:val="28"/>
        </w:rPr>
        <w:t>图16 2017-2022年50个连续调查城市满意度得分</w:t>
      </w:r>
    </w:p>
    <w:p>
      <w:pPr>
        <w:jc w:val="center"/>
        <w:rPr>
          <w:sz w:val="28"/>
          <w:szCs w:val="28"/>
        </w:rPr>
        <w:sectPr>
          <w:pgSz w:w="16838" w:h="11906" w:orient="landscape"/>
          <w:pgMar w:top="1588" w:right="1531" w:bottom="1474" w:left="1531" w:header="851" w:footer="992" w:gutter="0"/>
          <w:pgNumType w:fmt="numberInDash"/>
          <w:cols w:space="720" w:num="1"/>
          <w:docGrid w:type="linesAndChars" w:linePitch="312" w:charSpace="0"/>
        </w:sectPr>
      </w:pPr>
    </w:p>
    <w:p>
      <w:pPr>
        <w:pStyle w:val="26"/>
        <w:ind w:firstLine="640"/>
        <w:jc w:val="both"/>
        <w:rPr>
          <w:rFonts w:ascii="仿宋" w:hAnsi="仿宋" w:eastAsia="仿宋" w:cs="仿宋"/>
          <w:color w:val="1C1C1C"/>
          <w:sz w:val="32"/>
          <w:szCs w:val="32"/>
        </w:rPr>
      </w:pPr>
      <w:bookmarkStart w:id="65" w:name="_Toc62721775"/>
      <w:r>
        <w:rPr>
          <w:rFonts w:hint="eastAsia" w:ascii="仿宋" w:hAnsi="仿宋" w:eastAsia="仿宋" w:cs="仿宋"/>
          <w:color w:val="1C1C1C"/>
          <w:sz w:val="32"/>
          <w:szCs w:val="32"/>
        </w:rPr>
        <w:t>3.70个城市连续参与了2018-2022年5年的调查，针对这5年来的消费者满意度得分变化分析如下：</w:t>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根据调查结果，70个城市中，11个城市满意度得分持续上升，除上述连续6年参与测评且得分上升的8个城市外，分别为：烟台市、无锡市、襄阳市。22个城市满意度得分呈现较为显著的先上升后下降的弓形变化，分别为：大庆市、海东市、石家庄市、哈密市、长沙市、包头市、合肥市、大连市、福州市、三亚市、郑州市、柳州市、重庆市、绵阳市、宝鸡市、兰州市、曲靖市、唐山市、乌鲁木齐市、运城市、呼和浩特市、吉林市。其他40个城市得分虽有一定波动，但整体呈上升趋势。</w:t>
      </w:r>
    </w:p>
    <w:p>
      <w:pPr>
        <w:pStyle w:val="26"/>
        <w:ind w:firstLine="640"/>
        <w:jc w:val="both"/>
        <w:rPr>
          <w:rFonts w:ascii="仿宋" w:hAnsi="仿宋" w:eastAsia="仿宋" w:cs="仿宋"/>
          <w:color w:val="1C1C1C"/>
          <w:sz w:val="32"/>
          <w:szCs w:val="32"/>
        </w:rPr>
      </w:pPr>
    </w:p>
    <w:p>
      <w:pPr>
        <w:pStyle w:val="26"/>
        <w:ind w:firstLine="640"/>
        <w:jc w:val="both"/>
        <w:rPr>
          <w:rFonts w:ascii="仿宋" w:hAnsi="仿宋" w:eastAsia="仿宋" w:cs="仿宋"/>
          <w:color w:val="1C1C1C"/>
          <w:sz w:val="32"/>
          <w:szCs w:val="32"/>
        </w:rPr>
        <w:sectPr>
          <w:pgSz w:w="11906" w:h="16838"/>
          <w:pgMar w:top="1531" w:right="1474" w:bottom="1531" w:left="1588" w:header="851" w:footer="992" w:gutter="0"/>
          <w:pgNumType w:fmt="numberInDash"/>
          <w:cols w:space="720" w:num="1"/>
          <w:docGrid w:type="linesAndChars" w:linePitch="312" w:charSpace="0"/>
        </w:sectPr>
      </w:pPr>
    </w:p>
    <w:p>
      <w:pPr>
        <w:pStyle w:val="26"/>
        <w:ind w:firstLine="640"/>
        <w:jc w:val="both"/>
        <w:rPr>
          <w:rFonts w:ascii="仿宋" w:hAnsi="仿宋" w:eastAsia="仿宋" w:cs="仿宋"/>
          <w:color w:val="1C1C1C"/>
          <w:sz w:val="32"/>
          <w:szCs w:val="32"/>
        </w:rPr>
      </w:pPr>
    </w:p>
    <w:p>
      <w:r>
        <mc:AlternateContent>
          <mc:Choice Requires="wps">
            <w:drawing>
              <wp:anchor distT="0" distB="0" distL="114300" distR="114300" simplePos="0" relativeHeight="251667456" behindDoc="0" locked="0" layoutInCell="1" allowOverlap="1">
                <wp:simplePos x="0" y="0"/>
                <wp:positionH relativeFrom="column">
                  <wp:posOffset>2711450</wp:posOffset>
                </wp:positionH>
                <wp:positionV relativeFrom="paragraph">
                  <wp:posOffset>3291205</wp:posOffset>
                </wp:positionV>
                <wp:extent cx="1720850" cy="48768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72085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波动上升区域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5pt;margin-top:259.15pt;height:38.4pt;width:135.5pt;z-index:251667456;mso-width-relative:page;mso-height-relative:page;" filled="f" stroked="f" coordsize="21600,21600" o:gfxdata="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&#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FXXGtwAAAALAQAADwAAAAAAAAABACAAAAAiAAAA&#10;ZHJzL2Rvd25yZXYueG1sUEsBAhQAFAAAAAgAh07iQNTZaHo8AgAAaAQAAA4AAAAAAAAAAQAgAAAA&#10;KwEAAGRycy9lMm9Eb2MueG1sUEsFBgAAAAAGAAYAWQEAANkFA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波动上升区域</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45720</wp:posOffset>
                </wp:positionH>
                <wp:positionV relativeFrom="paragraph">
                  <wp:posOffset>3291205</wp:posOffset>
                </wp:positionV>
                <wp:extent cx="1719580" cy="48768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持续上升区域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259.15pt;height:38.4pt;width:135.4pt;z-index:251668480;mso-width-relative:page;mso-height-relative:page;" filled="f" stroked="f" coordsize="21600,21600" o:gfxdata="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lBobaAAAACQEAAA8AAAAAAAAAAQAgAAAAIgAAAGRy&#10;cy9kb3ducmV2LnhtbFBLAQIUABQAAAAIAIdO4kCnyrYEPAIAAGgEAAAOAAAAAAAAAAEAIAAAACkB&#10;AABkcnMvZTJvRG9jLnhtbFBLBQYAAAAABgAGAFkBAADXBQ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持续上升区域</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6178550</wp:posOffset>
                </wp:positionH>
                <wp:positionV relativeFrom="paragraph">
                  <wp:posOffset>3291205</wp:posOffset>
                </wp:positionV>
                <wp:extent cx="1720850" cy="48768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72085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弓形变化区域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6.5pt;margin-top:259.15pt;height:38.4pt;width:135.5pt;z-index:251677696;mso-width-relative:page;mso-height-relative:page;" filled="f" stroked="f" coordsize="21600,21600" o:gfxdata="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&#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BsZ6twAAAAMAQAADwAAAAAAAAABACAAAAAiAAAA&#10;ZHJzL2Rvd25yZXYueG1sUEsBAhQAFAAAAAgAh07iQJpK03o8AgAAaAQAAA4AAAAAAAAAAQAgAAAA&#10;KwEAAGRycy9lMm9Eb2MueG1sUEsFBgAAAAAGAAYAWQEAANkFA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弓形变化区域</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5763260</wp:posOffset>
                </wp:positionH>
                <wp:positionV relativeFrom="paragraph">
                  <wp:posOffset>161925</wp:posOffset>
                </wp:positionV>
                <wp:extent cx="635" cy="3844925"/>
                <wp:effectExtent l="4445" t="0" r="7620" b="3175"/>
                <wp:wrapNone/>
                <wp:docPr id="4" name="直接连接符 4"/>
                <wp:cNvGraphicFramePr/>
                <a:graphic xmlns:a="http://schemas.openxmlformats.org/drawingml/2006/main">
                  <a:graphicData uri="http://schemas.microsoft.com/office/word/2010/wordprocessingShape">
                    <wps:wsp>
                      <wps:cNvCnPr/>
                      <wps:spPr>
                        <a:xfrm>
                          <a:off x="0" y="0"/>
                          <a:ext cx="635" cy="384492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53.8pt;margin-top:12.75pt;height:302.75pt;width:0.05pt;z-index:251676672;mso-width-relative:page;mso-height-relative:page;" filled="f" stroked="t" coordsize="21600,21600" o:gfxdata="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vLRf9oAAAAKAQAADwAAAAAAAAABACAAAAAiAAAAZHJzL2Rvd25yZXYueG1sUEsBAhQAFAAAAAgA&#10;h07iQKctF93qAQAAswMAAA4AAAAAAAAAAQAgAAAAKQEAAGRycy9lMm9Eb2MueG1sUEsFBgAAAAAG&#10;AAYAWQEAAIUFAAAAAA==&#10;">
                <v:fill on="f" focussize="0,0"/>
                <v:stroke weight="0.5pt" color="#F72942 [3204]" miterlimit="8" joinstyle="miter"/>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1534160</wp:posOffset>
                </wp:positionH>
                <wp:positionV relativeFrom="paragraph">
                  <wp:posOffset>161925</wp:posOffset>
                </wp:positionV>
                <wp:extent cx="635" cy="3844925"/>
                <wp:effectExtent l="4445" t="0" r="13970" b="3175"/>
                <wp:wrapNone/>
                <wp:docPr id="81" name="直接连接符 81"/>
                <wp:cNvGraphicFramePr/>
                <a:graphic xmlns:a="http://schemas.openxmlformats.org/drawingml/2006/main">
                  <a:graphicData uri="http://schemas.microsoft.com/office/word/2010/wordprocessingShape">
                    <wps:wsp>
                      <wps:cNvCnPr/>
                      <wps:spPr>
                        <a:xfrm>
                          <a:off x="0" y="0"/>
                          <a:ext cx="635" cy="384492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0.8pt;margin-top:12.75pt;height:302.75pt;width:0.05pt;z-index:251666432;mso-width-relative:page;mso-height-relative:page;" filled="f" stroked="t" coordsize="21600,21600" o:gfxdata="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BZrtkAAAAKAQAADwAAAAAAAAABACAAAAAiAAAAZHJzL2Rvd25yZXYueG1sUEsBAhQAFAAAAAgA&#10;h07iQF/Z/bjrAQAAtQMAAA4AAAAAAAAAAQAgAAAAKAEAAGRycy9lMm9Eb2MueG1sUEsFBgAAAAAG&#10;AAYAWQEAAIUFAAAAAA==&#10;">
                <v:fill on="f" focussize="0,0"/>
                <v:stroke weight="0.5pt" color="#F72942 [3204]" miterlimit="8" joinstyle="miter"/>
                <v:imagedata o:title=""/>
                <o:lock v:ext="edit" aspectratio="f"/>
              </v:line>
            </w:pict>
          </mc:Fallback>
        </mc:AlternateContent>
      </w:r>
      <w:r>
        <w:drawing>
          <wp:inline distT="0" distB="0" distL="114300" distR="114300">
            <wp:extent cx="8480425" cy="4710430"/>
            <wp:effectExtent l="0" t="0" r="15875" b="13970"/>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jc w:val="center"/>
        <w:rPr>
          <w:sz w:val="28"/>
          <w:szCs w:val="28"/>
        </w:rPr>
      </w:pPr>
      <w:r>
        <w:rPr>
          <w:rFonts w:hint="eastAsia" w:ascii="黑体" w:hAnsi="黑体" w:eastAsia="黑体"/>
          <w:color w:val="1C1C1C"/>
          <w:sz w:val="28"/>
          <w:szCs w:val="28"/>
        </w:rPr>
        <w:t>图17 2018-2022年70个连续调查城市满意度得分</w:t>
      </w:r>
    </w:p>
    <w:p>
      <w:pPr>
        <w:jc w:val="center"/>
        <w:rPr>
          <w:sz w:val="28"/>
          <w:szCs w:val="28"/>
        </w:rPr>
        <w:sectPr>
          <w:pgSz w:w="16838" w:h="11906" w:orient="landscape"/>
          <w:pgMar w:top="1588" w:right="1531" w:bottom="1474" w:left="1531" w:header="851" w:footer="992" w:gutter="0"/>
          <w:pgNumType w:fmt="numberInDash"/>
          <w:cols w:space="720" w:num="1"/>
          <w:docGrid w:type="linesAndChars" w:linePitch="312" w:charSpace="0"/>
        </w:sectPr>
      </w:pP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4.100个城市连续参与了2019-2022年4年的调查，针对这4年来的消费者满意度得分变化分析如下：</w:t>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根据调查结果，100个城市中，14个城市满意度得分持续上升，除上述连续5年参与测评且得分上升的11个城市外，分别为：佛山市、宜昌市、盐城市。53个城市满意度得分呈现较为显著的先上升后下降的弓形变化，分别为：拉萨市、保定市、上饶市、济南市、玉溪市、天水市、西宁市、海口市、吉林市、鞍山市、石家庄市、海西蒙古族藏族自治州、衡阳市、渭南市、合肥市、儋州市、长沙市、大庆市、山南市、福州市、绵阳市、日喀则市、郑州市、包头市、大连市、常州市、赣州市、桂林市、吴忠市、临沂市、庆阳市、宝鸡市、淄博市、海东市、芜湖市、重庆市、曲靖市、汕头市、西安市、南阳市、运城市、哈密市、兰州市、石嘴山市、松原市、克拉玛依市、唐山市、鄂尔多斯市、三亚市、柳州市、阜阳市、乌鲁木齐市、呼和浩特市。其他33个城市得分虽有一定波动，但整体呈上升趋势。</w:t>
      </w:r>
    </w:p>
    <w:p>
      <w:pPr>
        <w:pStyle w:val="26"/>
        <w:ind w:firstLine="640"/>
        <w:jc w:val="both"/>
        <w:rPr>
          <w:rFonts w:ascii="仿宋" w:hAnsi="仿宋" w:eastAsia="仿宋" w:cs="仿宋"/>
          <w:color w:val="1C1C1C"/>
          <w:sz w:val="32"/>
          <w:szCs w:val="32"/>
        </w:rPr>
      </w:pPr>
    </w:p>
    <w:p>
      <w:pPr>
        <w:pStyle w:val="26"/>
        <w:ind w:firstLine="640"/>
        <w:jc w:val="both"/>
        <w:rPr>
          <w:rFonts w:ascii="仿宋" w:hAnsi="仿宋" w:eastAsia="仿宋" w:cs="仿宋"/>
          <w:color w:val="1C1C1C"/>
          <w:sz w:val="32"/>
          <w:szCs w:val="32"/>
        </w:rPr>
      </w:pPr>
    </w:p>
    <w:p>
      <w:pPr>
        <w:pStyle w:val="26"/>
        <w:ind w:firstLine="640"/>
        <w:jc w:val="both"/>
        <w:rPr>
          <w:rFonts w:ascii="仿宋" w:hAnsi="仿宋" w:eastAsia="仿宋" w:cs="仿宋"/>
          <w:color w:val="1C1C1C"/>
          <w:sz w:val="32"/>
          <w:szCs w:val="32"/>
        </w:rPr>
        <w:sectPr>
          <w:pgSz w:w="11906" w:h="16838"/>
          <w:pgMar w:top="1531" w:right="1474" w:bottom="1531" w:left="1588" w:header="851" w:footer="992" w:gutter="0"/>
          <w:pgNumType w:fmt="numberInDash"/>
          <w:cols w:space="720" w:num="1"/>
          <w:docGrid w:type="linesAndChars" w:linePitch="312" w:charSpace="0"/>
        </w:sectPr>
      </w:pPr>
    </w:p>
    <w:p/>
    <w:p>
      <w:r>
        <mc:AlternateContent>
          <mc:Choice Requires="wps">
            <w:drawing>
              <wp:anchor distT="0" distB="0" distL="114300" distR="114300" simplePos="0" relativeHeight="251671552" behindDoc="0" locked="0" layoutInCell="1" allowOverlap="1">
                <wp:simplePos x="0" y="0"/>
                <wp:positionH relativeFrom="column">
                  <wp:posOffset>5214620</wp:posOffset>
                </wp:positionH>
                <wp:positionV relativeFrom="paragraph">
                  <wp:posOffset>2907030</wp:posOffset>
                </wp:positionV>
                <wp:extent cx="1719580" cy="48768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弓形变化区域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0.6pt;margin-top:228.9pt;height:38.4pt;width:135.4pt;z-index:251671552;mso-width-relative:page;mso-height-relative:page;" filled="f" stroked="f" coordsize="21600,21600" o:gfxdata="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&#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dZMZt0AAAAMAQAADwAAAAAAAAABACAAAAAiAAAA&#10;ZHJzL2Rvd25yZXYueG1sUEsBAhQAFAAAAAgAh07iQPPgu547AgAAZgQAAA4AAAAAAAAAAQAgAAAA&#10;LAEAAGRycy9lMm9Eb2MueG1sUEsFBgAAAAAGAAYAWQEAANkFA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弓形变化区域</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2006600</wp:posOffset>
                </wp:positionH>
                <wp:positionV relativeFrom="paragraph">
                  <wp:posOffset>2907030</wp:posOffset>
                </wp:positionV>
                <wp:extent cx="1221740" cy="4876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22174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波动上升区域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pt;margin-top:228.9pt;height:38.4pt;width:96.2pt;z-index:251669504;mso-width-relative:page;mso-height-relative:page;" filled="f" stroked="f" coordsize="21600,21600" o:gfxdata="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gNf7ncAAAACwEAAA8AAAAAAAAAAQAgAAAAIgAAAGRy&#10;cy9kb3ducmV2LnhtbFBLAQIUABQAAAAIAIdO4kDHEf5VOgIAAGgEAAAOAAAAAAAAAAEAIAAAACsB&#10;AABkcnMvZTJvRG9jLnhtbFBLBQYAAAAABgAGAFkBAADXBQ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波动上升区域</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-14605</wp:posOffset>
                </wp:positionH>
                <wp:positionV relativeFrom="paragraph">
                  <wp:posOffset>2907030</wp:posOffset>
                </wp:positionV>
                <wp:extent cx="1719580" cy="4876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71958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rPr>
                            </w:pPr>
                            <w:r>
                              <w:rPr>
                                <w:rFonts w:hint="eastAsia" w:ascii="黑体" w:hAnsi="黑体" w:eastAsia="黑体" w:cs="黑体"/>
                              </w:rPr>
                              <w:t>持续上升区域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228.9pt;height:38.4pt;width:135.4pt;z-index:251670528;mso-width-relative:page;mso-height-relative:page;" filled="f" stroked="f" coordsize="21600,21600" o:gfxdata="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Sv4k3AAAAAoBAAAPAAAAAAAAAAEAIAAAACIAAABk&#10;cnMvZG93bnJldi54bWxQSwECFAAUAAAACACHTuJAepLSlTsCAABoBAAADgAAAAAAAAABACAAAAAr&#10;AQAAZHJzL2Uyb0RvYy54bWxQSwUGAAAAAAYABgBZAQAA2AUAAAAA&#10;">
                <v:fill on="f" focussize="0,0"/>
                <v:stroke on="f" weight="0.5pt"/>
                <v:imagedata o:title=""/>
                <o:lock v:ext="edit" aspectratio="f"/>
                <v:textbox>
                  <w:txbxContent>
                    <w:p>
                      <w:pPr>
                        <w:jc w:val="center"/>
                        <w:rPr>
                          <w:rFonts w:ascii="黑体" w:hAnsi="黑体" w:eastAsia="黑体" w:cs="黑体"/>
                        </w:rPr>
                      </w:pPr>
                      <w:r>
                        <w:rPr>
                          <w:rFonts w:hint="eastAsia" w:ascii="黑体" w:hAnsi="黑体" w:eastAsia="黑体" w:cs="黑体"/>
                        </w:rPr>
                        <w:t>持续上升区域</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3969385</wp:posOffset>
                </wp:positionH>
                <wp:positionV relativeFrom="paragraph">
                  <wp:posOffset>139700</wp:posOffset>
                </wp:positionV>
                <wp:extent cx="635" cy="3535045"/>
                <wp:effectExtent l="4445" t="0" r="13970" b="8255"/>
                <wp:wrapNone/>
                <wp:docPr id="13" name="直接连接符 13"/>
                <wp:cNvGraphicFramePr/>
                <a:graphic xmlns:a="http://schemas.openxmlformats.org/drawingml/2006/main">
                  <a:graphicData uri="http://schemas.microsoft.com/office/word/2010/wordprocessingShape">
                    <wps:wsp>
                      <wps:cNvCnPr/>
                      <wps:spPr>
                        <a:xfrm>
                          <a:off x="0" y="0"/>
                          <a:ext cx="635" cy="353504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2.55pt;margin-top:11pt;height:278.35pt;width:0.05pt;z-index:251673600;mso-width-relative:page;mso-height-relative:page;" filled="f" stroked="t" coordsize="21600,21600" o:gfxdata="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MoeP2QAAAAoBAAAPAAAAAAAAAAEAIAAAACIAAABkcnMvZG93bnJldi54bWxQSwECFAAUAAAACACH&#10;TuJASenRuOoBAAC1AwAADgAAAAAAAAABACAAAAAoAQAAZHJzL2Uyb0RvYy54bWxQSwUGAAAAAAYA&#10;BgBZAQAAhAUAAAAA&#10;">
                <v:fill on="f" focussize="0,0"/>
                <v:stroke weight="0.5pt" color="#F72942 [3204]" miterlimit="8" joinstyle="miter"/>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1388110</wp:posOffset>
                </wp:positionH>
                <wp:positionV relativeFrom="paragraph">
                  <wp:posOffset>146050</wp:posOffset>
                </wp:positionV>
                <wp:extent cx="635" cy="3535045"/>
                <wp:effectExtent l="4445" t="0" r="13970" b="8255"/>
                <wp:wrapNone/>
                <wp:docPr id="14" name="直接连接符 14"/>
                <wp:cNvGraphicFramePr/>
                <a:graphic xmlns:a="http://schemas.openxmlformats.org/drawingml/2006/main">
                  <a:graphicData uri="http://schemas.microsoft.com/office/word/2010/wordprocessingShape">
                    <wps:wsp>
                      <wps:cNvCnPr/>
                      <wps:spPr>
                        <a:xfrm>
                          <a:off x="0" y="0"/>
                          <a:ext cx="635" cy="3535045"/>
                        </a:xfrm>
                        <a:prstGeom prst="line">
                          <a:avLst/>
                        </a:prstGeom>
                        <a:ln>
                          <a:solidFill>
                            <a:srgbClr val="F729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9.3pt;margin-top:11.5pt;height:278.35pt;width:0.05pt;z-index:251672576;mso-width-relative:page;mso-height-relative:page;" filled="f" stroked="t" coordsize="21600,21600" o:gfxdata="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F39B9oAAAAKAQAADwAAAAAAAAABACAAAAAiAAAAZHJzL2Rvd25yZXYueG1sUEsBAhQAFAAAAAgA&#10;h07iQGsH3efqAQAAtQMAAA4AAAAAAAAAAQAgAAAAKQEAAGRycy9lMm9Eb2MueG1sUEsFBgAAAAAG&#10;AAYAWQEAAIUFAAAAAA==&#10;">
                <v:fill on="f" focussize="0,0"/>
                <v:stroke weight="0.5pt" color="#F72942 [3204]" miterlimit="8" joinstyle="miter"/>
                <v:imagedata o:title=""/>
                <o:lock v:ext="edit" aspectratio="f"/>
              </v:line>
            </w:pict>
          </mc:Fallback>
        </mc:AlternateContent>
      </w:r>
      <w:r>
        <w:drawing>
          <wp:inline distT="0" distB="0" distL="114300" distR="114300">
            <wp:extent cx="8480425" cy="4710430"/>
            <wp:effectExtent l="0" t="0" r="15875" b="13970"/>
            <wp:docPr id="88"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jc w:val="center"/>
        <w:rPr>
          <w:sz w:val="28"/>
          <w:szCs w:val="28"/>
        </w:rPr>
      </w:pPr>
      <w:r>
        <w:rPr>
          <w:rFonts w:hint="eastAsia" w:ascii="黑体" w:hAnsi="黑体" w:eastAsia="黑体"/>
          <w:color w:val="1C1C1C"/>
          <w:sz w:val="28"/>
          <w:szCs w:val="28"/>
        </w:rPr>
        <w:t>图18 2019-2022年100个连续调查城市满意度得分</w:t>
      </w:r>
    </w:p>
    <w:p>
      <w:pPr>
        <w:jc w:val="center"/>
        <w:rPr>
          <w:sz w:val="28"/>
          <w:szCs w:val="28"/>
        </w:rPr>
        <w:sectPr>
          <w:pgSz w:w="16838" w:h="11906" w:orient="landscape"/>
          <w:pgMar w:top="1588" w:right="1531" w:bottom="1474" w:left="1531" w:header="851" w:footer="992" w:gutter="0"/>
          <w:pgNumType w:fmt="numberInDash"/>
          <w:cols w:space="720" w:num="1"/>
          <w:docGrid w:type="linesAndChars" w:linePitch="312" w:charSpace="0"/>
        </w:sectPr>
      </w:pPr>
    </w:p>
    <w:p>
      <w:pPr>
        <w:pStyle w:val="3"/>
        <w:ind w:firstLine="640" w:firstLineChars="200"/>
        <w:rPr>
          <w:rFonts w:ascii="黑体" w:hAnsi="黑体" w:eastAsia="黑体" w:cs="黑体"/>
          <w:b w:val="0"/>
          <w:bCs/>
          <w:i w:val="0"/>
          <w:iCs/>
          <w:sz w:val="32"/>
          <w:szCs w:val="32"/>
        </w:rPr>
      </w:pPr>
      <w:bookmarkStart w:id="66" w:name="_Toc21348"/>
      <w:r>
        <w:rPr>
          <w:rFonts w:hint="eastAsia" w:ascii="黑体" w:hAnsi="黑体" w:eastAsia="黑体" w:cs="黑体"/>
          <w:b w:val="0"/>
          <w:bCs/>
          <w:i w:val="0"/>
          <w:iCs/>
          <w:sz w:val="32"/>
          <w:szCs w:val="32"/>
        </w:rPr>
        <w:t>五、100个城市消费信心情况对比</w:t>
      </w:r>
      <w:bookmarkEnd w:id="65"/>
      <w:bookmarkEnd w:id="66"/>
      <w:r>
        <w:rPr>
          <w:rFonts w:hint="eastAsia" w:ascii="黑体" w:hAnsi="黑体" w:eastAsia="黑体" w:cs="黑体"/>
          <w:b w:val="0"/>
          <w:bCs/>
          <w:i w:val="0"/>
          <w:iCs/>
          <w:sz w:val="32"/>
          <w:szCs w:val="32"/>
        </w:rPr>
        <w:t xml:space="preserve"> </w:t>
      </w:r>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为了具体掌握消费者在未来一年的消费信心及预期情况，本次调查从“对于日常消费支出的预期”“对于经济形势的预期”及“消费信心打分”三个角度对各城市消费者信心加以调查。（只做数据分析呈现，未纳入满意度综合算分）</w:t>
      </w:r>
    </w:p>
    <w:p>
      <w:pPr>
        <w:pStyle w:val="4"/>
        <w:ind w:firstLine="640" w:firstLineChars="200"/>
        <w:rPr>
          <w:rFonts w:ascii="仿宋" w:hAnsi="仿宋" w:eastAsia="仿宋" w:cs="仿宋"/>
          <w:sz w:val="32"/>
          <w:szCs w:val="32"/>
        </w:rPr>
      </w:pPr>
      <w:bookmarkStart w:id="67" w:name="_Toc28265"/>
      <w:bookmarkStart w:id="68" w:name="_Toc62721776"/>
      <w:r>
        <w:rPr>
          <w:rFonts w:hint="eastAsia" w:ascii="仿宋" w:hAnsi="仿宋" w:eastAsia="仿宋" w:cs="仿宋"/>
          <w:sz w:val="32"/>
          <w:szCs w:val="32"/>
        </w:rPr>
        <w:t>（一）消费者对于未来一年的支出计划</w:t>
      </w:r>
      <w:bookmarkEnd w:id="67"/>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当问及未来一年是否计划增加在日常消费方面的支出时，48.1%的消费者表示计划支出“与今年持平”，30.9%的消费者计划“增加支出”，21.0%的消费者计划“减少支出”。与2021年相比，计划“减少支出”和“与今年持平”的消费者分别增多6.7和3.7个百分点，计划“增加支出”的消费者减少6.1个百分点。总体来看，消费者未来一年的消费支出计划趋于保守。</w:t>
      </w:r>
    </w:p>
    <w:p>
      <w:pPr>
        <w:jc w:val="center"/>
        <w:rPr>
          <w:rFonts w:ascii="仿宋" w:hAnsi="仿宋" w:eastAsia="仿宋" w:cs="仿宋"/>
          <w:color w:val="1C1C1C"/>
          <w:sz w:val="32"/>
          <w:szCs w:val="32"/>
        </w:rPr>
      </w:pPr>
      <w:r>
        <w:rPr>
          <w:rFonts w:hint="eastAsia" w:ascii="仿宋" w:hAnsi="仿宋" w:eastAsia="仿宋" w:cs="仿宋"/>
          <w:color w:val="1C1C1C"/>
          <w:sz w:val="32"/>
          <w:szCs w:val="32"/>
        </w:rPr>
        <w:drawing>
          <wp:inline distT="0" distB="0" distL="114300" distR="114300">
            <wp:extent cx="4727575" cy="2476500"/>
            <wp:effectExtent l="0" t="0" r="9525"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jc w:val="center"/>
        <w:rPr>
          <w:rFonts w:ascii="黑体" w:hAnsi="黑体" w:eastAsia="黑体" w:cs="黑体"/>
          <w:color w:val="1C1C1C"/>
          <w:sz w:val="28"/>
          <w:szCs w:val="28"/>
        </w:rPr>
      </w:pPr>
      <w:r>
        <w:rPr>
          <w:rFonts w:hint="eastAsia" w:ascii="黑体" w:hAnsi="黑体" w:eastAsia="黑体" w:cs="黑体"/>
          <w:color w:val="1C1C1C"/>
          <w:sz w:val="28"/>
          <w:szCs w:val="28"/>
        </w:rPr>
        <w:t>图19 未来一年是否计划增加在日常消费方面的支出</w:t>
      </w:r>
    </w:p>
    <w:p>
      <w:pPr>
        <w:ind w:firstLine="640" w:firstLineChars="200"/>
        <w:jc w:val="both"/>
        <w:rPr>
          <w:rFonts w:ascii="仿宋" w:hAnsi="仿宋" w:eastAsia="仿宋" w:cs="仿宋"/>
          <w:color w:val="1C1C1C"/>
          <w:sz w:val="32"/>
          <w:szCs w:val="32"/>
        </w:rPr>
      </w:pPr>
    </w:p>
    <w:p>
      <w:pPr>
        <w:pStyle w:val="4"/>
        <w:ind w:firstLine="640" w:firstLineChars="200"/>
        <w:rPr>
          <w:rFonts w:ascii="仿宋" w:hAnsi="仿宋" w:eastAsia="仿宋" w:cs="仿宋"/>
          <w:sz w:val="32"/>
          <w:szCs w:val="32"/>
        </w:rPr>
      </w:pPr>
      <w:bookmarkStart w:id="69" w:name="_Toc25726"/>
      <w:r>
        <w:rPr>
          <w:rFonts w:hint="eastAsia" w:ascii="仿宋" w:hAnsi="仿宋" w:eastAsia="仿宋" w:cs="仿宋"/>
          <w:sz w:val="32"/>
          <w:szCs w:val="32"/>
        </w:rPr>
        <w:t>（二）消费者对于未来一年经济形势的预期</w:t>
      </w:r>
      <w:bookmarkEnd w:id="68"/>
      <w:bookmarkEnd w:id="69"/>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调查结果显示，38.9%的消费者对未来一年经济形势的预期持“比较乐观”态度，21.5%的消费者持“非常乐观”态度，总体占比超过六成，但比2021年降低10.4个百分点。</w:t>
      </w:r>
    </w:p>
    <w:p>
      <w:pPr>
        <w:ind w:firstLine="640" w:firstLineChars="200"/>
        <w:jc w:val="both"/>
        <w:rPr>
          <w:rFonts w:ascii="仿宋" w:hAnsi="仿宋" w:eastAsia="仿宋" w:cs="仿宋"/>
          <w:color w:val="1C1C1C"/>
          <w:sz w:val="32"/>
          <w:szCs w:val="32"/>
        </w:rPr>
      </w:pPr>
      <w:r>
        <w:rPr>
          <w:rFonts w:hint="eastAsia" w:ascii="仿宋" w:hAnsi="仿宋" w:eastAsia="仿宋" w:cs="仿宋"/>
          <w:color w:val="1C1C1C"/>
          <w:sz w:val="32"/>
          <w:szCs w:val="32"/>
        </w:rPr>
        <w:t>23.4</w:t>
      </w:r>
      <w:r>
        <w:rPr>
          <w:rFonts w:ascii="仿宋" w:hAnsi="仿宋" w:eastAsia="仿宋" w:cs="仿宋"/>
          <w:color w:val="1C1C1C"/>
          <w:sz w:val="32"/>
          <w:szCs w:val="32"/>
        </w:rPr>
        <w:t>%的受访消费者表示预期“一般”，比202</w:t>
      </w:r>
      <w:r>
        <w:rPr>
          <w:rFonts w:hint="eastAsia" w:ascii="仿宋" w:hAnsi="仿宋" w:eastAsia="仿宋" w:cs="仿宋"/>
          <w:color w:val="1C1C1C"/>
          <w:sz w:val="32"/>
          <w:szCs w:val="32"/>
        </w:rPr>
        <w:t>1</w:t>
      </w:r>
      <w:r>
        <w:rPr>
          <w:rFonts w:ascii="仿宋" w:hAnsi="仿宋" w:eastAsia="仿宋" w:cs="仿宋"/>
          <w:color w:val="1C1C1C"/>
          <w:sz w:val="32"/>
          <w:szCs w:val="32"/>
        </w:rPr>
        <w:t>年增加</w:t>
      </w:r>
      <w:r>
        <w:rPr>
          <w:rFonts w:hint="eastAsia" w:ascii="仿宋" w:hAnsi="仿宋" w:eastAsia="仿宋" w:cs="仿宋"/>
          <w:color w:val="1C1C1C"/>
          <w:sz w:val="32"/>
          <w:szCs w:val="32"/>
        </w:rPr>
        <w:t>5.3</w:t>
      </w:r>
      <w:r>
        <w:rPr>
          <w:rFonts w:ascii="仿宋" w:hAnsi="仿宋" w:eastAsia="仿宋" w:cs="仿宋"/>
          <w:color w:val="1C1C1C"/>
          <w:sz w:val="32"/>
          <w:szCs w:val="32"/>
        </w:rPr>
        <w:t>个百分点。</w:t>
      </w:r>
      <w:r>
        <w:rPr>
          <w:rFonts w:hint="eastAsia" w:ascii="仿宋" w:hAnsi="仿宋" w:eastAsia="仿宋" w:cs="仿宋"/>
          <w:color w:val="1C1C1C"/>
          <w:sz w:val="32"/>
          <w:szCs w:val="32"/>
        </w:rPr>
        <w:t>合计16.3%的消费者表示可能“不太乐观”或“非常不乐观”，较2021年增加6.2个百分点。</w:t>
      </w:r>
    </w:p>
    <w:p>
      <w:pPr>
        <w:jc w:val="center"/>
        <w:rPr>
          <w:rFonts w:ascii="仿宋" w:hAnsi="仿宋" w:eastAsia="仿宋" w:cs="仿宋"/>
          <w:color w:val="1C1C1C"/>
          <w:sz w:val="32"/>
          <w:szCs w:val="32"/>
        </w:rPr>
      </w:pPr>
      <w:r>
        <w:rPr>
          <w:rFonts w:hint="eastAsia" w:ascii="仿宋" w:hAnsi="仿宋" w:eastAsia="仿宋" w:cs="仿宋"/>
          <w:color w:val="1C1C1C"/>
          <w:sz w:val="32"/>
          <w:szCs w:val="32"/>
        </w:rPr>
        <w:drawing>
          <wp:inline distT="0" distB="0" distL="114300" distR="114300">
            <wp:extent cx="4727575" cy="2835275"/>
            <wp:effectExtent l="0" t="0" r="9525" b="952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jc w:val="center"/>
        <w:rPr>
          <w:rFonts w:ascii="黑体" w:hAnsi="黑体" w:eastAsia="黑体" w:cs="黑体"/>
          <w:color w:val="1C1C1C"/>
          <w:sz w:val="28"/>
          <w:szCs w:val="28"/>
        </w:rPr>
      </w:pPr>
      <w:r>
        <w:rPr>
          <w:rFonts w:hint="eastAsia" w:ascii="黑体" w:hAnsi="黑体" w:eastAsia="黑体" w:cs="黑体"/>
          <w:color w:val="1C1C1C"/>
          <w:sz w:val="28"/>
          <w:szCs w:val="28"/>
        </w:rPr>
        <w:t>图20 消费者对于未来一年经济形势的预期</w:t>
      </w:r>
    </w:p>
    <w:p>
      <w:pPr>
        <w:pStyle w:val="4"/>
        <w:ind w:firstLine="640" w:firstLineChars="200"/>
        <w:rPr>
          <w:rFonts w:ascii="仿宋" w:hAnsi="仿宋" w:eastAsia="仿宋" w:cs="仿宋"/>
          <w:sz w:val="32"/>
          <w:szCs w:val="32"/>
        </w:rPr>
      </w:pPr>
      <w:bookmarkStart w:id="70" w:name="_Toc11583"/>
      <w:bookmarkStart w:id="71" w:name="_Toc62721778"/>
      <w:r>
        <w:rPr>
          <w:rFonts w:hint="eastAsia" w:ascii="仿宋" w:hAnsi="仿宋" w:eastAsia="仿宋" w:cs="仿宋"/>
          <w:sz w:val="32"/>
          <w:szCs w:val="32"/>
        </w:rPr>
        <w:t>（三）消费者对于未来一年的消费信心</w:t>
      </w:r>
      <w:bookmarkEnd w:id="70"/>
      <w:bookmarkEnd w:id="71"/>
    </w:p>
    <w:p>
      <w:pPr>
        <w:ind w:firstLine="640" w:firstLineChars="200"/>
        <w:jc w:val="both"/>
        <w:rPr>
          <w:rFonts w:ascii="方正小标宋简体" w:hAnsi="华文中宋" w:eastAsia="方正小标宋简体" w:cs="华文中宋"/>
          <w:b/>
          <w:bCs/>
          <w:sz w:val="28"/>
          <w:szCs w:val="28"/>
        </w:rPr>
      </w:pPr>
      <w:r>
        <w:rPr>
          <w:rFonts w:hint="eastAsia" w:ascii="仿宋" w:hAnsi="仿宋" w:eastAsia="仿宋" w:cs="仿宋"/>
          <w:sz w:val="32"/>
          <w:szCs w:val="32"/>
        </w:rPr>
        <w:t>从信心预期来看，百分制下全国100个城市消费者信心得分为76.49分，相比于前一年下降了6.38分。参照2022年度消费者满意度综合得分，变化趋势保持一致，反映出消费信心受到了一定冲击，但这种波动在正常范围内，消费者仍呈现出较为积极的消费态度。</w:t>
      </w:r>
      <w:r>
        <w:rPr>
          <w:rFonts w:ascii="方正小标宋简体" w:hAnsi="华文中宋" w:eastAsia="方正小标宋简体" w:cs="华文中宋"/>
          <w:b/>
          <w:bCs/>
          <w:sz w:val="28"/>
          <w:szCs w:val="28"/>
        </w:rPr>
        <w:br w:type="page"/>
      </w:r>
    </w:p>
    <w:p>
      <w:pPr>
        <w:spacing w:line="400" w:lineRule="exact"/>
        <w:rPr>
          <w:rFonts w:ascii="方正小标宋简体" w:hAnsi="华文中宋" w:eastAsia="方正小标宋简体" w:cs="华文中宋"/>
          <w:b/>
          <w:bCs/>
          <w:sz w:val="28"/>
          <w:szCs w:val="28"/>
        </w:rPr>
      </w:pPr>
    </w:p>
    <w:p>
      <w:pPr>
        <w:pStyle w:val="2"/>
        <w:spacing w:before="312" w:beforeLines="100" w:after="312" w:afterLines="100"/>
        <w:jc w:val="center"/>
        <w:rPr>
          <w:rFonts w:ascii="方正小标宋简体" w:hAnsi="华文中宋" w:eastAsia="方正小标宋简体" w:cs="华文中宋"/>
          <w:b w:val="0"/>
          <w:bCs/>
          <w:sz w:val="40"/>
          <w:szCs w:val="28"/>
        </w:rPr>
      </w:pPr>
      <w:bookmarkStart w:id="72" w:name="_Toc62721779"/>
      <w:bookmarkStart w:id="73" w:name="_Toc4269"/>
      <w:r>
        <w:rPr>
          <w:rFonts w:hint="eastAsia" w:ascii="方正小标宋简体" w:hAnsi="华文中宋" w:eastAsia="方正小标宋简体" w:cs="华文中宋"/>
          <w:b w:val="0"/>
          <w:bCs/>
          <w:sz w:val="40"/>
          <w:szCs w:val="28"/>
        </w:rPr>
        <w:t>第五部分  关于提高消费者满意度的建议</w:t>
      </w:r>
      <w:bookmarkEnd w:id="72"/>
      <w:bookmarkEnd w:id="73"/>
    </w:p>
    <w:p>
      <w:pPr>
        <w:pStyle w:val="26"/>
        <w:ind w:firstLine="640"/>
        <w:jc w:val="both"/>
        <w:rPr>
          <w:rFonts w:hint="eastAsia" w:ascii="仿宋" w:hAnsi="仿宋" w:eastAsia="仿宋" w:cs="仿宋"/>
          <w:color w:val="292929"/>
          <w:sz w:val="32"/>
          <w:szCs w:val="32"/>
          <w:lang w:eastAsia="zh-CN"/>
        </w:rPr>
      </w:pPr>
      <w:r>
        <w:rPr>
          <w:rFonts w:hint="eastAsia" w:ascii="仿宋" w:hAnsi="仿宋" w:eastAsia="仿宋" w:cs="仿宋"/>
          <w:color w:val="292929"/>
          <w:sz w:val="32"/>
          <w:szCs w:val="32"/>
        </w:rPr>
        <w:t>2022年，国内经济运行受到多重超预期因素冲击，包括国内疫情散发多发、国际政治局势动荡不安、世界经济下行风险加大等</w:t>
      </w:r>
      <w:r>
        <w:rPr>
          <w:rFonts w:hint="eastAsia" w:ascii="仿宋" w:hAnsi="仿宋" w:eastAsia="仿宋" w:cs="仿宋"/>
          <w:color w:val="292929"/>
          <w:sz w:val="32"/>
          <w:szCs w:val="32"/>
          <w:lang w:eastAsia="zh-CN"/>
        </w:rPr>
        <w:t>。</w:t>
      </w:r>
      <w:r>
        <w:rPr>
          <w:rFonts w:hint="eastAsia" w:ascii="仿宋" w:hAnsi="仿宋" w:eastAsia="仿宋" w:cs="仿宋"/>
          <w:color w:val="292929"/>
          <w:sz w:val="32"/>
          <w:szCs w:val="32"/>
        </w:rPr>
        <w:t>目前，我国经济正在恢复阶段，消费市场恢复稳定快速发展仍面临挑战。从2022年100个城市消费者满意度测评结果来看</w:t>
      </w:r>
      <w:r>
        <w:rPr>
          <w:rFonts w:hint="eastAsia" w:ascii="仿宋" w:hAnsi="仿宋" w:eastAsia="仿宋" w:cs="仿宋"/>
          <w:color w:val="292929"/>
          <w:sz w:val="32"/>
          <w:szCs w:val="32"/>
          <w:lang w:eastAsia="zh-CN"/>
        </w:rPr>
        <w:t>，尽管受到疫情冲击影响，2022年度100个城市消费者满意度综合得分为78.81分，整体</w:t>
      </w:r>
      <w:r>
        <w:rPr>
          <w:rFonts w:hint="eastAsia" w:ascii="仿宋" w:hAnsi="仿宋" w:eastAsia="仿宋" w:cs="仿宋"/>
          <w:color w:val="292929"/>
          <w:sz w:val="32"/>
          <w:szCs w:val="32"/>
          <w:lang w:val="en-US" w:eastAsia="zh-CN"/>
        </w:rPr>
        <w:t>仍保持在</w:t>
      </w:r>
      <w:r>
        <w:rPr>
          <w:rFonts w:hint="eastAsia" w:ascii="仿宋" w:hAnsi="仿宋" w:eastAsia="仿宋" w:cs="仿宋"/>
          <w:color w:val="292929"/>
          <w:sz w:val="32"/>
          <w:szCs w:val="32"/>
          <w:lang w:eastAsia="zh-CN"/>
        </w:rPr>
        <w:t>良好水平，</w:t>
      </w:r>
      <w:r>
        <w:rPr>
          <w:rFonts w:hint="eastAsia" w:ascii="仿宋" w:hAnsi="仿宋" w:eastAsia="仿宋" w:cs="仿宋"/>
          <w:color w:val="292929"/>
          <w:sz w:val="32"/>
          <w:szCs w:val="32"/>
          <w:lang w:val="en-US" w:eastAsia="zh-CN"/>
        </w:rPr>
        <w:t>实属不易。对照2017年度至2021年度的71.75分、73.68分、77.02分、79.32分、80.59分得分，2022年度百城市消费者满意度得分比2020年、2021年有所回落，但仍优于疫情发生前的三年，说明各地抗疫保质稳价和消费维权工作得到了广大消费者的认可</w:t>
      </w:r>
      <w:r>
        <w:rPr>
          <w:rFonts w:hint="eastAsia" w:ascii="仿宋" w:hAnsi="仿宋" w:eastAsia="仿宋" w:cs="仿宋"/>
          <w:color w:val="292929"/>
          <w:sz w:val="32"/>
          <w:szCs w:val="32"/>
          <w:lang w:eastAsia="zh-CN"/>
        </w:rPr>
        <w:t>。</w:t>
      </w:r>
    </w:p>
    <w:p>
      <w:pPr>
        <w:pStyle w:val="26"/>
        <w:ind w:firstLine="640"/>
        <w:jc w:val="both"/>
        <w:rPr>
          <w:rFonts w:ascii="仿宋" w:hAnsi="仿宋" w:eastAsia="仿宋" w:cs="仿宋"/>
          <w:color w:val="1C1C1C"/>
          <w:sz w:val="32"/>
          <w:szCs w:val="32"/>
        </w:rPr>
      </w:pPr>
      <w:r>
        <w:rPr>
          <w:rFonts w:hint="eastAsia" w:ascii="仿宋" w:hAnsi="仿宋" w:eastAsia="仿宋" w:cs="仿宋"/>
          <w:color w:val="292929"/>
          <w:sz w:val="32"/>
          <w:szCs w:val="32"/>
        </w:rPr>
        <w:t>在党中央坚强领导下，疫情防控优化调整措施进一步落实，扩大内需战略深入实施，各地区各部门推动促消费政策显效发力，消费市场呈现</w:t>
      </w:r>
      <w:r>
        <w:rPr>
          <w:rFonts w:hint="eastAsia" w:ascii="仿宋" w:hAnsi="仿宋" w:eastAsia="仿宋" w:cs="仿宋"/>
          <w:color w:val="292929"/>
          <w:sz w:val="32"/>
          <w:szCs w:val="32"/>
          <w:lang w:val="en-US" w:eastAsia="zh-CN"/>
        </w:rPr>
        <w:t>逐步</w:t>
      </w:r>
      <w:r>
        <w:rPr>
          <w:rFonts w:hint="eastAsia" w:ascii="仿宋" w:hAnsi="仿宋" w:eastAsia="仿宋" w:cs="仿宋"/>
          <w:color w:val="292929"/>
          <w:sz w:val="32"/>
          <w:szCs w:val="32"/>
        </w:rPr>
        <w:t>恢复</w:t>
      </w:r>
      <w:r>
        <w:rPr>
          <w:rFonts w:hint="eastAsia" w:ascii="仿宋" w:hAnsi="仿宋" w:eastAsia="仿宋" w:cs="仿宋"/>
          <w:color w:val="292929"/>
          <w:sz w:val="32"/>
          <w:szCs w:val="32"/>
          <w:lang w:val="en-US" w:eastAsia="zh-CN"/>
        </w:rPr>
        <w:t>和回暖</w:t>
      </w:r>
      <w:r>
        <w:rPr>
          <w:rFonts w:hint="eastAsia" w:ascii="仿宋" w:hAnsi="仿宋" w:eastAsia="仿宋" w:cs="仿宋"/>
          <w:color w:val="292929"/>
          <w:sz w:val="32"/>
          <w:szCs w:val="32"/>
        </w:rPr>
        <w:t>态势，测评结果显示，各城市排名情况相对稳定</w:t>
      </w:r>
      <w:r>
        <w:rPr>
          <w:rFonts w:hint="eastAsia" w:ascii="仿宋" w:hAnsi="仿宋" w:eastAsia="仿宋" w:cs="仿宋"/>
          <w:color w:val="292929"/>
          <w:sz w:val="32"/>
          <w:szCs w:val="32"/>
          <w:lang w:eastAsia="zh-CN"/>
        </w:rPr>
        <w:t>，</w:t>
      </w:r>
      <w:r>
        <w:rPr>
          <w:rFonts w:hint="eastAsia" w:ascii="仿宋" w:hAnsi="仿宋" w:eastAsia="仿宋" w:cs="仿宋"/>
          <w:color w:val="292929"/>
          <w:sz w:val="32"/>
          <w:szCs w:val="32"/>
          <w:lang w:val="en-US" w:eastAsia="zh-CN"/>
        </w:rPr>
        <w:t>消费供给、消费环境、消费维权三个一级指标得分</w:t>
      </w:r>
      <w:r>
        <w:rPr>
          <w:rFonts w:hint="eastAsia" w:ascii="仿宋" w:hAnsi="仿宋" w:eastAsia="仿宋" w:cs="仿宋"/>
          <w:color w:val="292929"/>
          <w:sz w:val="32"/>
          <w:szCs w:val="32"/>
          <w:lang w:eastAsia="zh-CN"/>
        </w:rPr>
        <w:t>与往年得分趋势保持一致，消费市场韧性强、潜力足的特点没有发生变化。</w:t>
      </w:r>
      <w:r>
        <w:rPr>
          <w:rFonts w:hint="eastAsia" w:ascii="仿宋" w:hAnsi="仿宋" w:eastAsia="仿宋" w:cs="仿宋"/>
          <w:color w:val="292929"/>
          <w:sz w:val="32"/>
          <w:szCs w:val="32"/>
          <w:lang w:val="en-US" w:eastAsia="zh-CN"/>
        </w:rPr>
        <w:t>当然，</w:t>
      </w:r>
      <w:r>
        <w:rPr>
          <w:rFonts w:hint="eastAsia" w:ascii="仿宋" w:hAnsi="仿宋" w:eastAsia="仿宋" w:cs="仿宋"/>
          <w:color w:val="292929"/>
          <w:sz w:val="32"/>
          <w:szCs w:val="32"/>
          <w:lang w:eastAsia="zh-CN"/>
        </w:rPr>
        <w:t>2022年测评得分比2021年下降1.78分，</w:t>
      </w:r>
      <w:r>
        <w:rPr>
          <w:rFonts w:hint="eastAsia" w:ascii="仿宋" w:hAnsi="仿宋" w:eastAsia="仿宋" w:cs="仿宋"/>
          <w:color w:val="292929"/>
          <w:sz w:val="32"/>
          <w:szCs w:val="32"/>
        </w:rPr>
        <w:t>消费者满意度综合得分首次出现</w:t>
      </w:r>
      <w:r>
        <w:rPr>
          <w:rFonts w:hint="eastAsia" w:ascii="仿宋" w:hAnsi="仿宋" w:eastAsia="仿宋" w:cs="仿宋"/>
          <w:color w:val="292929"/>
          <w:sz w:val="32"/>
          <w:szCs w:val="32"/>
          <w:lang w:val="en-US" w:eastAsia="zh-CN"/>
        </w:rPr>
        <w:t>下滑</w:t>
      </w:r>
      <w:r>
        <w:rPr>
          <w:rFonts w:hint="eastAsia" w:ascii="仿宋" w:hAnsi="仿宋" w:eastAsia="仿宋" w:cs="仿宋"/>
          <w:color w:val="292929"/>
          <w:sz w:val="32"/>
          <w:szCs w:val="32"/>
          <w:lang w:eastAsia="zh-CN"/>
        </w:rPr>
        <w:t>，部分指标得分有所</w:t>
      </w:r>
      <w:r>
        <w:rPr>
          <w:rFonts w:hint="eastAsia" w:ascii="仿宋" w:hAnsi="仿宋" w:eastAsia="仿宋" w:cs="仿宋"/>
          <w:color w:val="292929"/>
          <w:sz w:val="32"/>
          <w:szCs w:val="32"/>
          <w:lang w:val="en-US" w:eastAsia="zh-CN"/>
        </w:rPr>
        <w:t>回落</w:t>
      </w:r>
      <w:r>
        <w:rPr>
          <w:rFonts w:hint="eastAsia" w:ascii="仿宋" w:hAnsi="仿宋" w:eastAsia="仿宋" w:cs="仿宋"/>
          <w:color w:val="292929"/>
          <w:sz w:val="32"/>
          <w:szCs w:val="32"/>
          <w:lang w:eastAsia="zh-CN"/>
        </w:rPr>
        <w:t>，要重视消费者满意度测评结果反映出来的民生诉求，着力补齐影响消费的短板</w:t>
      </w:r>
      <w:r>
        <w:rPr>
          <w:rFonts w:hint="eastAsia" w:ascii="仿宋" w:hAnsi="仿宋" w:eastAsia="仿宋" w:cs="仿宋"/>
          <w:color w:val="292929"/>
          <w:sz w:val="32"/>
          <w:szCs w:val="32"/>
        </w:rPr>
        <w:t>。为充分发挥消费者满意度测评工作效能，筑牢消费市场稳定恢复的基础，助力构建以国内大循环为主体、国内国际双循环相互促进的新发展格局，结合连续六年满意度测评结果，中国消费者协会提出如下意见建议：</w:t>
      </w:r>
      <w:bookmarkStart w:id="74" w:name="_Toc62721780"/>
    </w:p>
    <w:p>
      <w:pPr>
        <w:pStyle w:val="3"/>
        <w:ind w:firstLine="640" w:firstLineChars="200"/>
        <w:rPr>
          <w:rFonts w:ascii="黑体" w:hAnsi="黑体" w:eastAsia="黑体" w:cs="黑体"/>
          <w:b w:val="0"/>
          <w:bCs/>
          <w:i w:val="0"/>
          <w:iCs/>
          <w:sz w:val="32"/>
          <w:szCs w:val="32"/>
        </w:rPr>
      </w:pPr>
      <w:bookmarkStart w:id="75" w:name="_Toc12611"/>
      <w:r>
        <w:rPr>
          <w:rFonts w:hint="eastAsia" w:ascii="黑体" w:hAnsi="黑体" w:eastAsia="黑体" w:cs="黑体"/>
          <w:b w:val="0"/>
          <w:bCs/>
          <w:i w:val="0"/>
          <w:iCs/>
          <w:sz w:val="32"/>
          <w:szCs w:val="32"/>
        </w:rPr>
        <w:t>一、</w:t>
      </w:r>
      <w:r>
        <w:rPr>
          <w:rFonts w:hint="eastAsia" w:ascii="黑体" w:hAnsi="黑体" w:eastAsia="黑体" w:cs="黑体"/>
          <w:b w:val="0"/>
          <w:bCs/>
          <w:i w:val="0"/>
          <w:iCs/>
          <w:sz w:val="32"/>
          <w:szCs w:val="32"/>
          <w:lang w:val="en-US" w:eastAsia="zh-CN"/>
        </w:rPr>
        <w:t>积极</w:t>
      </w:r>
      <w:r>
        <w:rPr>
          <w:rFonts w:hint="eastAsia" w:ascii="黑体" w:hAnsi="黑体" w:eastAsia="黑体" w:cs="黑体"/>
          <w:b w:val="0"/>
          <w:bCs/>
          <w:i w:val="0"/>
          <w:iCs/>
          <w:sz w:val="32"/>
          <w:szCs w:val="32"/>
        </w:rPr>
        <w:t>恢复</w:t>
      </w:r>
      <w:r>
        <w:rPr>
          <w:rFonts w:hint="eastAsia" w:ascii="黑体" w:hAnsi="黑体" w:eastAsia="黑体" w:cs="黑体"/>
          <w:b w:val="0"/>
          <w:bCs/>
          <w:i w:val="0"/>
          <w:iCs/>
          <w:sz w:val="32"/>
          <w:szCs w:val="32"/>
          <w:lang w:val="en-US" w:eastAsia="zh-CN"/>
        </w:rPr>
        <w:t>和扩大</w:t>
      </w:r>
      <w:r>
        <w:rPr>
          <w:rFonts w:hint="eastAsia" w:ascii="黑体" w:hAnsi="黑体" w:eastAsia="黑体" w:cs="黑体"/>
          <w:b w:val="0"/>
          <w:bCs/>
          <w:i w:val="0"/>
          <w:iCs/>
          <w:sz w:val="32"/>
          <w:szCs w:val="32"/>
        </w:rPr>
        <w:t>消费供给，助力消费</w:t>
      </w:r>
      <w:r>
        <w:rPr>
          <w:rFonts w:hint="eastAsia" w:ascii="黑体" w:hAnsi="黑体" w:eastAsia="黑体" w:cs="黑体"/>
          <w:b w:val="0"/>
          <w:bCs/>
          <w:i w:val="0"/>
          <w:iCs/>
          <w:sz w:val="32"/>
          <w:szCs w:val="32"/>
          <w:lang w:val="en-US" w:eastAsia="zh-CN"/>
        </w:rPr>
        <w:t>提质</w:t>
      </w:r>
      <w:r>
        <w:rPr>
          <w:rFonts w:hint="eastAsia" w:ascii="黑体" w:hAnsi="黑体" w:eastAsia="黑体" w:cs="黑体"/>
          <w:b w:val="0"/>
          <w:bCs/>
          <w:i w:val="0"/>
          <w:iCs/>
          <w:sz w:val="32"/>
          <w:szCs w:val="32"/>
        </w:rPr>
        <w:t>升级</w:t>
      </w:r>
      <w:bookmarkEnd w:id="75"/>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2022年，疫情散发多发对消费供给扰动较大，消费品生产、供应均面临较大压力。但是，由于超大规模国内市场优势明显，消费市场韧性犹在，消费发展长期向好基本面和消费升级趋势没有改变。</w:t>
      </w:r>
      <w:r>
        <w:rPr>
          <w:rFonts w:ascii="仿宋" w:hAnsi="仿宋" w:eastAsia="仿宋" w:cs="仿宋"/>
          <w:color w:val="1C1C1C"/>
          <w:sz w:val="32"/>
          <w:szCs w:val="32"/>
        </w:rPr>
        <w:t>2022</w:t>
      </w:r>
      <w:r>
        <w:rPr>
          <w:rFonts w:hint="eastAsia" w:ascii="仿宋" w:hAnsi="仿宋" w:eastAsia="仿宋" w:cs="仿宋"/>
          <w:color w:val="1C1C1C"/>
          <w:sz w:val="32"/>
          <w:szCs w:val="32"/>
        </w:rPr>
        <w:t>年，我国社会消费品零售总额稳定在44万亿元左右，仍是全球第二大消费市场。从本次测评结果看，供给便利性和供给丰富性相关指标排名显著提升，消费者评价相对较高，反映出消费供给的恢复初见成效，而供给创新性相关指标的得分、排名均有下降，可以看到居民品质化需求持续增加，消费场景、消费产品需创新拓展，消费结构需持续优化升级。</w:t>
      </w:r>
    </w:p>
    <w:p>
      <w:pPr>
        <w:pStyle w:val="26"/>
        <w:ind w:firstLine="640"/>
        <w:jc w:val="both"/>
        <w:rPr>
          <w:rFonts w:ascii="仿宋" w:hAnsi="仿宋" w:eastAsia="微软雅黑" w:cs="仿宋"/>
          <w:color w:val="1C1C1C"/>
          <w:sz w:val="32"/>
          <w:szCs w:val="32"/>
        </w:rPr>
      </w:pPr>
      <w:r>
        <w:rPr>
          <w:rFonts w:hint="eastAsia" w:ascii="仿宋" w:hAnsi="仿宋" w:eastAsia="仿宋" w:cs="仿宋"/>
          <w:color w:val="1C1C1C"/>
          <w:sz w:val="32"/>
          <w:szCs w:val="32"/>
        </w:rPr>
        <w:t>建议如下：</w:t>
      </w:r>
      <w:r>
        <w:rPr>
          <w:rFonts w:hint="eastAsia" w:ascii="仿宋" w:hAnsi="仿宋" w:eastAsia="仿宋" w:cs="仿宋"/>
          <w:b/>
          <w:bCs/>
          <w:color w:val="1C1C1C"/>
          <w:sz w:val="32"/>
          <w:szCs w:val="32"/>
        </w:rPr>
        <w:t>一是</w:t>
      </w:r>
      <w:r>
        <w:rPr>
          <w:rFonts w:hint="eastAsia" w:ascii="仿宋" w:hAnsi="仿宋" w:eastAsia="仿宋" w:cs="仿宋"/>
          <w:color w:val="1C1C1C"/>
          <w:sz w:val="32"/>
          <w:szCs w:val="32"/>
        </w:rPr>
        <w:t>牢牢把握扩大内需战略基点，提升城市首位度，</w:t>
      </w:r>
      <w:r>
        <w:rPr>
          <w:rFonts w:hint="eastAsia" w:ascii="仿宋" w:hAnsi="仿宋" w:eastAsia="仿宋" w:cs="仿宋"/>
          <w:color w:val="1C1C1C"/>
          <w:sz w:val="32"/>
          <w:szCs w:val="32"/>
          <w:lang w:val="en-US" w:eastAsia="zh-CN"/>
        </w:rPr>
        <w:t>围绕超大城市治理，立足“最小单元”管理，</w:t>
      </w:r>
      <w:r>
        <w:rPr>
          <w:rFonts w:hint="eastAsia" w:ascii="仿宋" w:hAnsi="仿宋" w:eastAsia="仿宋" w:cs="仿宋"/>
          <w:color w:val="1C1C1C"/>
          <w:sz w:val="32"/>
          <w:szCs w:val="32"/>
        </w:rPr>
        <w:t>巩固与民生息息相关的粮食、能源等重要</w:t>
      </w:r>
      <w:r>
        <w:rPr>
          <w:rFonts w:hint="eastAsia" w:ascii="仿宋" w:hAnsi="仿宋" w:eastAsia="仿宋" w:cs="仿宋"/>
          <w:color w:val="1C1C1C"/>
          <w:sz w:val="32"/>
          <w:szCs w:val="32"/>
          <w:lang w:val="en-US" w:eastAsia="zh-CN"/>
        </w:rPr>
        <w:t>商品供应能力</w:t>
      </w:r>
      <w:r>
        <w:rPr>
          <w:rFonts w:hint="eastAsia" w:ascii="仿宋" w:hAnsi="仿宋" w:eastAsia="仿宋" w:cs="仿宋"/>
          <w:color w:val="1C1C1C"/>
          <w:sz w:val="32"/>
          <w:szCs w:val="32"/>
        </w:rPr>
        <w:t>，</w:t>
      </w:r>
      <w:r>
        <w:rPr>
          <w:rFonts w:hint="eastAsia" w:ascii="仿宋" w:hAnsi="仿宋" w:eastAsia="仿宋" w:cs="仿宋"/>
          <w:color w:val="1C1C1C"/>
          <w:sz w:val="32"/>
          <w:szCs w:val="32"/>
          <w:lang w:val="en-US" w:eastAsia="zh-CN"/>
        </w:rPr>
        <w:t>提升</w:t>
      </w:r>
      <w:r>
        <w:rPr>
          <w:rFonts w:hint="eastAsia" w:ascii="仿宋" w:hAnsi="仿宋" w:eastAsia="仿宋" w:cs="仿宋"/>
          <w:color w:val="1C1C1C"/>
          <w:sz w:val="32"/>
          <w:szCs w:val="32"/>
        </w:rPr>
        <w:t>抗超预期因素冲击能力；</w:t>
      </w:r>
      <w:r>
        <w:rPr>
          <w:rFonts w:hint="eastAsia" w:ascii="仿宋" w:hAnsi="仿宋" w:eastAsia="仿宋" w:cs="仿宋"/>
          <w:b/>
          <w:bCs/>
          <w:color w:val="1C1C1C"/>
          <w:sz w:val="32"/>
          <w:szCs w:val="32"/>
        </w:rPr>
        <w:t>二是</w:t>
      </w:r>
      <w:r>
        <w:rPr>
          <w:rFonts w:hint="eastAsia" w:ascii="仿宋" w:hAnsi="仿宋" w:eastAsia="仿宋" w:cs="仿宋"/>
          <w:color w:val="1C1C1C"/>
          <w:sz w:val="32"/>
          <w:szCs w:val="32"/>
        </w:rPr>
        <w:t>大力支持消费</w:t>
      </w:r>
      <w:r>
        <w:rPr>
          <w:rFonts w:hint="eastAsia" w:ascii="仿宋" w:hAnsi="仿宋" w:eastAsia="仿宋" w:cs="仿宋"/>
          <w:color w:val="1C1C1C"/>
          <w:sz w:val="32"/>
          <w:szCs w:val="32"/>
          <w:lang w:val="en-US" w:eastAsia="zh-CN"/>
        </w:rPr>
        <w:t>加速回暖复苏</w:t>
      </w:r>
      <w:r>
        <w:rPr>
          <w:rFonts w:hint="eastAsia" w:ascii="仿宋" w:hAnsi="仿宋" w:eastAsia="仿宋" w:cs="仿宋"/>
          <w:color w:val="1C1C1C"/>
          <w:sz w:val="32"/>
          <w:szCs w:val="32"/>
        </w:rPr>
        <w:t>，以</w:t>
      </w:r>
      <w:r>
        <w:rPr>
          <w:rFonts w:hint="eastAsia" w:ascii="仿宋" w:hAnsi="仿宋" w:eastAsia="仿宋" w:cs="仿宋"/>
          <w:color w:val="1C1C1C"/>
          <w:sz w:val="32"/>
          <w:szCs w:val="32"/>
          <w:lang w:val="en-US" w:eastAsia="zh-CN"/>
        </w:rPr>
        <w:t>深化供给侧结构性</w:t>
      </w:r>
      <w:r>
        <w:rPr>
          <w:rFonts w:hint="eastAsia" w:ascii="仿宋" w:hAnsi="仿宋" w:eastAsia="仿宋" w:cs="仿宋"/>
          <w:color w:val="1C1C1C"/>
          <w:sz w:val="32"/>
          <w:szCs w:val="32"/>
        </w:rPr>
        <w:t>改革为引领，加强政策支持</w:t>
      </w:r>
      <w:r>
        <w:rPr>
          <w:rFonts w:hint="eastAsia" w:ascii="仿宋" w:hAnsi="仿宋" w:eastAsia="仿宋" w:cs="仿宋"/>
          <w:color w:val="1C1C1C"/>
          <w:sz w:val="32"/>
          <w:szCs w:val="32"/>
          <w:lang w:val="en-US" w:eastAsia="zh-CN"/>
        </w:rPr>
        <w:t>帮扶力度</w:t>
      </w:r>
      <w:r>
        <w:rPr>
          <w:rFonts w:hint="eastAsia" w:ascii="仿宋" w:hAnsi="仿宋" w:eastAsia="仿宋" w:cs="仿宋"/>
          <w:color w:val="1C1C1C"/>
          <w:sz w:val="32"/>
          <w:szCs w:val="32"/>
        </w:rPr>
        <w:t>，不断</w:t>
      </w:r>
      <w:r>
        <w:rPr>
          <w:rFonts w:hint="eastAsia" w:ascii="仿宋" w:hAnsi="仿宋" w:eastAsia="仿宋" w:cs="仿宋"/>
          <w:color w:val="1C1C1C"/>
          <w:sz w:val="32"/>
          <w:szCs w:val="32"/>
          <w:lang w:val="en-US" w:eastAsia="zh-CN"/>
        </w:rPr>
        <w:t>优化</w:t>
      </w:r>
      <w:r>
        <w:rPr>
          <w:rFonts w:hint="eastAsia" w:ascii="仿宋" w:hAnsi="仿宋" w:eastAsia="仿宋" w:cs="仿宋"/>
          <w:color w:val="1C1C1C"/>
          <w:sz w:val="32"/>
          <w:szCs w:val="32"/>
        </w:rPr>
        <w:t>营商环境，畅通资金循环</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lang w:val="en-US" w:eastAsia="zh-CN"/>
        </w:rPr>
        <w:t>延长产业链、完善供应链、提升价值链</w:t>
      </w:r>
      <w:r>
        <w:rPr>
          <w:rFonts w:hint="eastAsia" w:ascii="仿宋" w:hAnsi="仿宋" w:eastAsia="仿宋" w:cs="仿宋"/>
          <w:color w:val="1C1C1C"/>
          <w:sz w:val="32"/>
          <w:szCs w:val="32"/>
        </w:rPr>
        <w:t>，推动消费市场稳健发展；</w:t>
      </w:r>
      <w:r>
        <w:rPr>
          <w:rFonts w:hint="eastAsia" w:ascii="仿宋" w:hAnsi="仿宋" w:eastAsia="仿宋" w:cs="仿宋"/>
          <w:b/>
          <w:bCs/>
          <w:color w:val="1C1C1C"/>
          <w:sz w:val="32"/>
          <w:szCs w:val="32"/>
        </w:rPr>
        <w:t>三是</w:t>
      </w:r>
      <w:r>
        <w:rPr>
          <w:rFonts w:hint="eastAsia" w:ascii="仿宋" w:hAnsi="仿宋" w:eastAsia="仿宋" w:cs="仿宋"/>
          <w:color w:val="1C1C1C"/>
          <w:sz w:val="32"/>
          <w:szCs w:val="32"/>
        </w:rPr>
        <w:t>持续推动消费供给结构优化升级，加快培育新型消费，注重服务消费和绿色消费发展，集聚消费供给资源，创新消费场景，满足居民升级化消费需求，增强消费新动能支撑作用。</w:t>
      </w:r>
    </w:p>
    <w:p>
      <w:pPr>
        <w:pStyle w:val="3"/>
        <w:ind w:firstLine="640" w:firstLineChars="200"/>
        <w:rPr>
          <w:rFonts w:ascii="黑体" w:hAnsi="黑体" w:eastAsia="黑体" w:cs="黑体"/>
          <w:b w:val="0"/>
          <w:bCs/>
          <w:i w:val="0"/>
          <w:iCs/>
          <w:sz w:val="32"/>
          <w:szCs w:val="32"/>
        </w:rPr>
      </w:pPr>
      <w:bookmarkStart w:id="76" w:name="_Toc8979"/>
      <w:r>
        <w:rPr>
          <w:rFonts w:hint="eastAsia" w:ascii="黑体" w:hAnsi="黑体" w:eastAsia="黑体" w:cs="黑体"/>
          <w:b w:val="0"/>
          <w:bCs/>
          <w:i w:val="0"/>
          <w:iCs/>
          <w:sz w:val="32"/>
          <w:szCs w:val="32"/>
        </w:rPr>
        <w:t>二、着力优化消费环境，</w:t>
      </w:r>
      <w:r>
        <w:rPr>
          <w:rFonts w:hint="eastAsia" w:ascii="黑体" w:hAnsi="黑体" w:eastAsia="黑体" w:cs="黑体"/>
          <w:b w:val="0"/>
          <w:bCs/>
          <w:i w:val="0"/>
          <w:iCs/>
          <w:sz w:val="32"/>
          <w:szCs w:val="32"/>
          <w:lang w:val="en-US" w:eastAsia="zh-CN"/>
        </w:rPr>
        <w:t>切实</w:t>
      </w:r>
      <w:r>
        <w:rPr>
          <w:rFonts w:hint="eastAsia" w:ascii="黑体" w:hAnsi="黑体" w:eastAsia="黑体" w:cs="黑体"/>
          <w:b w:val="0"/>
          <w:bCs/>
          <w:i w:val="0"/>
          <w:iCs/>
          <w:sz w:val="32"/>
          <w:szCs w:val="32"/>
        </w:rPr>
        <w:t>发挥消费基础</w:t>
      </w:r>
      <w:r>
        <w:rPr>
          <w:rFonts w:hint="eastAsia" w:ascii="黑体" w:hAnsi="黑体" w:eastAsia="黑体" w:cs="黑体"/>
          <w:b w:val="0"/>
          <w:bCs/>
          <w:i w:val="0"/>
          <w:iCs/>
          <w:sz w:val="32"/>
          <w:szCs w:val="32"/>
          <w:lang w:val="en-US" w:eastAsia="zh-CN"/>
        </w:rPr>
        <w:t>性</w:t>
      </w:r>
      <w:r>
        <w:rPr>
          <w:rFonts w:hint="eastAsia" w:ascii="黑体" w:hAnsi="黑体" w:eastAsia="黑体" w:cs="黑体"/>
          <w:b w:val="0"/>
          <w:bCs/>
          <w:i w:val="0"/>
          <w:iCs/>
          <w:sz w:val="32"/>
          <w:szCs w:val="32"/>
        </w:rPr>
        <w:t>作用</w:t>
      </w:r>
      <w:bookmarkEnd w:id="76"/>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打造更加安全放心的消费环境，涵盖质量、价格、交易、安全、售后等多方面内容，始终是促进消费、发挥消费基础性作用的工作重点</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消费者对于价格</w:t>
      </w:r>
      <w:r>
        <w:rPr>
          <w:rFonts w:hint="eastAsia" w:ascii="仿宋" w:hAnsi="仿宋" w:eastAsia="仿宋" w:cs="仿宋"/>
          <w:color w:val="1C1C1C"/>
          <w:sz w:val="32"/>
          <w:szCs w:val="32"/>
          <w:lang w:val="en-US" w:eastAsia="zh-CN"/>
        </w:rPr>
        <w:t>尤为</w:t>
      </w:r>
      <w:r>
        <w:rPr>
          <w:rFonts w:hint="eastAsia" w:ascii="仿宋" w:hAnsi="仿宋" w:eastAsia="仿宋" w:cs="仿宋"/>
          <w:color w:val="1C1C1C"/>
          <w:sz w:val="32"/>
          <w:szCs w:val="32"/>
        </w:rPr>
        <w:t>敏感。根据国家统计局数据，</w:t>
      </w:r>
      <w:r>
        <w:rPr>
          <w:rFonts w:ascii="仿宋" w:hAnsi="仿宋" w:eastAsia="仿宋" w:cs="仿宋"/>
          <w:color w:val="1C1C1C"/>
          <w:sz w:val="32"/>
          <w:szCs w:val="32"/>
        </w:rPr>
        <w:t>2022</w:t>
      </w:r>
      <w:r>
        <w:rPr>
          <w:rFonts w:hint="eastAsia" w:ascii="仿宋" w:hAnsi="仿宋" w:eastAsia="仿宋" w:cs="仿宋"/>
          <w:color w:val="1C1C1C"/>
          <w:sz w:val="32"/>
          <w:szCs w:val="32"/>
        </w:rPr>
        <w:t>年全国</w:t>
      </w:r>
      <w:r>
        <w:rPr>
          <w:rFonts w:ascii="仿宋" w:hAnsi="仿宋" w:eastAsia="仿宋" w:cs="仿宋"/>
          <w:color w:val="1C1C1C"/>
          <w:sz w:val="32"/>
          <w:szCs w:val="32"/>
        </w:rPr>
        <w:t>CPI</w:t>
      </w:r>
      <w:r>
        <w:rPr>
          <w:rFonts w:hint="eastAsia" w:ascii="仿宋" w:hAnsi="仿宋" w:eastAsia="仿宋" w:cs="仿宋"/>
          <w:color w:val="1C1C1C"/>
          <w:sz w:val="32"/>
          <w:szCs w:val="32"/>
        </w:rPr>
        <w:t>上涨</w:t>
      </w:r>
      <w:r>
        <w:rPr>
          <w:rFonts w:ascii="仿宋" w:hAnsi="仿宋" w:eastAsia="仿宋" w:cs="仿宋"/>
          <w:color w:val="1C1C1C"/>
          <w:sz w:val="32"/>
          <w:szCs w:val="32"/>
        </w:rPr>
        <w:t>2.0%</w:t>
      </w:r>
      <w:r>
        <w:rPr>
          <w:rFonts w:hint="eastAsia" w:ascii="仿宋" w:hAnsi="仿宋" w:eastAsia="仿宋" w:cs="仿宋"/>
          <w:color w:val="1C1C1C"/>
          <w:sz w:val="32"/>
          <w:szCs w:val="32"/>
        </w:rPr>
        <w:t>，涨幅比</w:t>
      </w:r>
      <w:r>
        <w:rPr>
          <w:rFonts w:ascii="仿宋" w:hAnsi="仿宋" w:eastAsia="仿宋" w:cs="仿宋"/>
          <w:color w:val="1C1C1C"/>
          <w:sz w:val="32"/>
          <w:szCs w:val="32"/>
        </w:rPr>
        <w:t>2021</w:t>
      </w:r>
      <w:r>
        <w:rPr>
          <w:rFonts w:hint="eastAsia" w:ascii="仿宋" w:hAnsi="仿宋" w:eastAsia="仿宋" w:cs="仿宋"/>
          <w:color w:val="1C1C1C"/>
          <w:sz w:val="32"/>
          <w:szCs w:val="32"/>
        </w:rPr>
        <w:t>年扩大</w:t>
      </w:r>
      <w:r>
        <w:rPr>
          <w:rFonts w:ascii="仿宋" w:hAnsi="仿宋" w:eastAsia="仿宋" w:cs="仿宋"/>
          <w:color w:val="1C1C1C"/>
          <w:sz w:val="32"/>
          <w:szCs w:val="32"/>
        </w:rPr>
        <w:t>1.1</w:t>
      </w:r>
      <w:r>
        <w:rPr>
          <w:rFonts w:hint="eastAsia" w:ascii="仿宋" w:hAnsi="仿宋" w:eastAsia="仿宋" w:cs="仿宋"/>
          <w:color w:val="1C1C1C"/>
          <w:sz w:val="32"/>
          <w:szCs w:val="32"/>
        </w:rPr>
        <w:t>个百分点，其中民生重点商品的物价涨幅较大，食品价格由</w:t>
      </w:r>
      <w:r>
        <w:rPr>
          <w:rFonts w:ascii="仿宋" w:hAnsi="仿宋" w:eastAsia="仿宋" w:cs="仿宋"/>
          <w:color w:val="1C1C1C"/>
          <w:sz w:val="32"/>
          <w:szCs w:val="32"/>
        </w:rPr>
        <w:t>2021</w:t>
      </w:r>
      <w:r>
        <w:rPr>
          <w:rFonts w:hint="eastAsia" w:ascii="仿宋" w:hAnsi="仿宋" w:eastAsia="仿宋" w:cs="仿宋"/>
          <w:color w:val="1C1C1C"/>
          <w:sz w:val="32"/>
          <w:szCs w:val="32"/>
        </w:rPr>
        <w:t>年下降</w:t>
      </w:r>
      <w:r>
        <w:rPr>
          <w:rFonts w:ascii="仿宋" w:hAnsi="仿宋" w:eastAsia="仿宋" w:cs="仿宋"/>
          <w:color w:val="1C1C1C"/>
          <w:sz w:val="32"/>
          <w:szCs w:val="32"/>
        </w:rPr>
        <w:t>1.4%</w:t>
      </w:r>
      <w:r>
        <w:rPr>
          <w:rFonts w:hint="eastAsia" w:ascii="仿宋" w:hAnsi="仿宋" w:eastAsia="仿宋" w:cs="仿宋"/>
          <w:color w:val="1C1C1C"/>
          <w:sz w:val="32"/>
          <w:szCs w:val="32"/>
        </w:rPr>
        <w:t>转为上涨</w:t>
      </w:r>
      <w:r>
        <w:rPr>
          <w:rFonts w:ascii="仿宋" w:hAnsi="仿宋" w:eastAsia="仿宋" w:cs="仿宋"/>
          <w:color w:val="1C1C1C"/>
          <w:sz w:val="32"/>
          <w:szCs w:val="32"/>
        </w:rPr>
        <w:t>2.8%</w:t>
      </w:r>
      <w:r>
        <w:rPr>
          <w:rFonts w:hint="eastAsia" w:ascii="仿宋" w:hAnsi="仿宋" w:eastAsia="仿宋" w:cs="仿宋"/>
          <w:color w:val="1C1C1C"/>
          <w:sz w:val="32"/>
          <w:szCs w:val="32"/>
        </w:rPr>
        <w:t>，能源价格上涨</w:t>
      </w:r>
      <w:r>
        <w:rPr>
          <w:rFonts w:ascii="仿宋" w:hAnsi="仿宋" w:eastAsia="仿宋" w:cs="仿宋"/>
          <w:color w:val="1C1C1C"/>
          <w:sz w:val="32"/>
          <w:szCs w:val="32"/>
        </w:rPr>
        <w:t>11.2%</w:t>
      </w:r>
      <w:r>
        <w:rPr>
          <w:rFonts w:hint="eastAsia" w:ascii="仿宋" w:hAnsi="仿宋" w:eastAsia="仿宋" w:cs="仿宋"/>
          <w:color w:val="1C1C1C"/>
          <w:sz w:val="32"/>
          <w:szCs w:val="32"/>
        </w:rPr>
        <w:t>，涨幅比</w:t>
      </w:r>
      <w:r>
        <w:rPr>
          <w:rFonts w:ascii="仿宋" w:hAnsi="仿宋" w:eastAsia="仿宋" w:cs="仿宋"/>
          <w:color w:val="1C1C1C"/>
          <w:sz w:val="32"/>
          <w:szCs w:val="32"/>
        </w:rPr>
        <w:t>2021</w:t>
      </w:r>
      <w:r>
        <w:rPr>
          <w:rFonts w:hint="eastAsia" w:ascii="仿宋" w:hAnsi="仿宋" w:eastAsia="仿宋" w:cs="仿宋"/>
          <w:color w:val="1C1C1C"/>
          <w:sz w:val="32"/>
          <w:szCs w:val="32"/>
        </w:rPr>
        <w:t>年扩大</w:t>
      </w:r>
      <w:r>
        <w:rPr>
          <w:rFonts w:ascii="仿宋" w:hAnsi="仿宋" w:eastAsia="仿宋" w:cs="仿宋"/>
          <w:color w:val="1C1C1C"/>
          <w:sz w:val="32"/>
          <w:szCs w:val="32"/>
        </w:rPr>
        <w:t>2.9</w:t>
      </w:r>
      <w:r>
        <w:rPr>
          <w:rFonts w:hint="eastAsia" w:ascii="仿宋" w:hAnsi="仿宋" w:eastAsia="仿宋" w:cs="仿宋"/>
          <w:color w:val="1C1C1C"/>
          <w:sz w:val="32"/>
          <w:szCs w:val="32"/>
        </w:rPr>
        <w:t>个百分点</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本次</w:t>
      </w:r>
      <w:r>
        <w:rPr>
          <w:rFonts w:hint="eastAsia" w:ascii="仿宋" w:hAnsi="仿宋" w:eastAsia="仿宋" w:cs="仿宋"/>
          <w:color w:val="1C1C1C"/>
          <w:sz w:val="32"/>
          <w:szCs w:val="32"/>
          <w:lang w:val="en-US" w:eastAsia="zh-CN"/>
        </w:rPr>
        <w:t>百城市</w:t>
      </w:r>
      <w:r>
        <w:rPr>
          <w:rFonts w:hint="eastAsia" w:ascii="仿宋" w:hAnsi="仿宋" w:eastAsia="仿宋" w:cs="仿宋"/>
          <w:color w:val="1C1C1C"/>
          <w:sz w:val="32"/>
          <w:szCs w:val="32"/>
        </w:rPr>
        <w:t>消费者满意度</w:t>
      </w:r>
      <w:r>
        <w:rPr>
          <w:rFonts w:hint="eastAsia" w:ascii="仿宋" w:hAnsi="仿宋" w:eastAsia="仿宋" w:cs="仿宋"/>
          <w:color w:val="1C1C1C"/>
          <w:sz w:val="32"/>
          <w:szCs w:val="32"/>
          <w:lang w:val="en-US" w:eastAsia="zh-CN"/>
        </w:rPr>
        <w:t>测评结果显示</w:t>
      </w:r>
      <w:r>
        <w:rPr>
          <w:rFonts w:hint="eastAsia" w:ascii="仿宋" w:hAnsi="仿宋" w:eastAsia="仿宋" w:cs="仿宋"/>
          <w:color w:val="1C1C1C"/>
          <w:sz w:val="32"/>
          <w:szCs w:val="32"/>
        </w:rPr>
        <w:t>，价格合理等相关指标得分及排名</w:t>
      </w:r>
      <w:r>
        <w:rPr>
          <w:rFonts w:hint="eastAsia" w:ascii="仿宋" w:hAnsi="仿宋" w:eastAsia="仿宋" w:cs="仿宋"/>
          <w:color w:val="1C1C1C"/>
          <w:sz w:val="32"/>
          <w:szCs w:val="32"/>
          <w:lang w:val="en-US" w:eastAsia="zh-CN"/>
        </w:rPr>
        <w:t>有所</w:t>
      </w:r>
      <w:r>
        <w:rPr>
          <w:rFonts w:hint="eastAsia" w:ascii="仿宋" w:hAnsi="仿宋" w:eastAsia="仿宋" w:cs="仿宋"/>
          <w:color w:val="1C1C1C"/>
          <w:sz w:val="32"/>
          <w:szCs w:val="32"/>
        </w:rPr>
        <w:t>下降</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同时，填写了</w:t>
      </w:r>
      <w:r>
        <w:rPr>
          <w:rFonts w:hint="eastAsia" w:ascii="仿宋" w:hAnsi="仿宋" w:eastAsia="仿宋" w:cs="仿宋"/>
          <w:color w:val="1C1C1C"/>
          <w:sz w:val="32"/>
          <w:szCs w:val="32"/>
          <w:lang w:val="en-US" w:eastAsia="zh-CN"/>
        </w:rPr>
        <w:t>满意度提升</w:t>
      </w:r>
      <w:r>
        <w:rPr>
          <w:rFonts w:hint="eastAsia" w:ascii="仿宋" w:hAnsi="仿宋" w:eastAsia="仿宋" w:cs="仿宋"/>
          <w:color w:val="1C1C1C"/>
          <w:sz w:val="32"/>
          <w:szCs w:val="32"/>
        </w:rPr>
        <w:t>意见建议的消费者中，约15%提及物价问题。此外，消费者对于交易安全指标评价显著偏低，个人信息安全、资金安全等问题仍有发生，</w:t>
      </w:r>
      <w:r>
        <w:rPr>
          <w:rFonts w:hint="eastAsia" w:ascii="仿宋" w:hAnsi="仿宋" w:eastAsia="仿宋" w:cs="仿宋"/>
          <w:color w:val="1C1C1C"/>
          <w:sz w:val="32"/>
          <w:szCs w:val="32"/>
          <w:lang w:val="en-US" w:eastAsia="zh-CN"/>
        </w:rPr>
        <w:t>也是</w:t>
      </w:r>
      <w:r>
        <w:rPr>
          <w:rFonts w:hint="eastAsia" w:ascii="仿宋" w:hAnsi="仿宋" w:eastAsia="仿宋" w:cs="仿宋"/>
          <w:color w:val="1C1C1C"/>
          <w:sz w:val="32"/>
          <w:szCs w:val="32"/>
        </w:rPr>
        <w:t>影响消费者满意度的重要因素之一。</w:t>
      </w:r>
    </w:p>
    <w:p>
      <w:pPr>
        <w:pStyle w:val="26"/>
        <w:ind w:firstLine="640"/>
        <w:jc w:val="both"/>
        <w:rPr>
          <w:rFonts w:hint="eastAsia" w:ascii="仿宋" w:hAnsi="仿宋" w:eastAsia="仿宋" w:cs="仿宋"/>
          <w:color w:val="1C1C1C"/>
          <w:sz w:val="32"/>
          <w:szCs w:val="32"/>
          <w:lang w:val="en-US" w:eastAsia="zh-CN"/>
        </w:rPr>
      </w:pPr>
      <w:r>
        <w:rPr>
          <w:rFonts w:hint="eastAsia" w:ascii="仿宋" w:hAnsi="仿宋" w:eastAsia="仿宋" w:cs="仿宋"/>
          <w:color w:val="1C1C1C"/>
          <w:sz w:val="32"/>
          <w:szCs w:val="32"/>
          <w:lang w:val="en-US" w:eastAsia="zh-CN"/>
        </w:rPr>
        <w:t>放心消费，关键在“人”。</w:t>
      </w:r>
      <w:r>
        <w:rPr>
          <w:rFonts w:hint="eastAsia" w:ascii="仿宋" w:hAnsi="仿宋" w:eastAsia="仿宋" w:cs="仿宋"/>
          <w:color w:val="1C1C1C"/>
          <w:sz w:val="32"/>
          <w:szCs w:val="32"/>
        </w:rPr>
        <w:t>着力优化消费环境，</w:t>
      </w:r>
      <w:r>
        <w:rPr>
          <w:rFonts w:hint="eastAsia" w:ascii="仿宋" w:hAnsi="仿宋" w:eastAsia="仿宋" w:cs="仿宋"/>
          <w:color w:val="1C1C1C"/>
          <w:sz w:val="32"/>
          <w:szCs w:val="32"/>
          <w:lang w:val="en-US" w:eastAsia="zh-CN"/>
        </w:rPr>
        <w:t>就是要聚焦</w:t>
      </w:r>
      <w:r>
        <w:rPr>
          <w:rFonts w:hint="eastAsia" w:ascii="仿宋" w:hAnsi="仿宋" w:eastAsia="仿宋" w:cs="仿宋"/>
          <w:color w:val="1C1C1C"/>
          <w:sz w:val="32"/>
          <w:szCs w:val="32"/>
        </w:rPr>
        <w:t>消费者</w:t>
      </w:r>
      <w:r>
        <w:rPr>
          <w:rFonts w:hint="eastAsia" w:ascii="仿宋" w:hAnsi="仿宋" w:eastAsia="仿宋" w:cs="仿宋"/>
          <w:color w:val="1C1C1C"/>
          <w:sz w:val="32"/>
          <w:szCs w:val="32"/>
          <w:lang w:val="en-US" w:eastAsia="zh-CN"/>
        </w:rPr>
        <w:t>日常消费频率高、关注度高、敏感度高但满意度不高的</w:t>
      </w:r>
      <w:r>
        <w:rPr>
          <w:rFonts w:hint="eastAsia" w:ascii="仿宋" w:hAnsi="仿宋" w:eastAsia="仿宋" w:cs="仿宋"/>
          <w:color w:val="1C1C1C"/>
          <w:sz w:val="32"/>
          <w:szCs w:val="32"/>
        </w:rPr>
        <w:t>问题</w:t>
      </w:r>
      <w:r>
        <w:rPr>
          <w:rFonts w:hint="eastAsia" w:ascii="仿宋" w:hAnsi="仿宋" w:eastAsia="仿宋" w:cs="仿宋"/>
          <w:color w:val="1C1C1C"/>
          <w:sz w:val="32"/>
          <w:szCs w:val="32"/>
          <w:lang w:val="en-US" w:eastAsia="zh-CN"/>
        </w:rPr>
        <w:t>，推动各项治理走深走实</w:t>
      </w:r>
      <w:r>
        <w:rPr>
          <w:rFonts w:hint="eastAsia" w:ascii="仿宋" w:hAnsi="仿宋" w:eastAsia="仿宋" w:cs="仿宋"/>
          <w:color w:val="1C1C1C"/>
          <w:sz w:val="32"/>
          <w:szCs w:val="32"/>
        </w:rPr>
        <w:t>。</w:t>
      </w:r>
      <w:r>
        <w:rPr>
          <w:rFonts w:hint="eastAsia" w:ascii="仿宋" w:hAnsi="仿宋" w:eastAsia="仿宋" w:cs="仿宋"/>
          <w:b/>
          <w:bCs/>
          <w:color w:val="1C1C1C"/>
          <w:sz w:val="32"/>
          <w:szCs w:val="32"/>
        </w:rPr>
        <w:t>一方面</w:t>
      </w:r>
      <w:r>
        <w:rPr>
          <w:rFonts w:hint="eastAsia" w:ascii="仿宋" w:hAnsi="仿宋" w:eastAsia="仿宋" w:cs="仿宋"/>
          <w:color w:val="1C1C1C"/>
          <w:sz w:val="32"/>
          <w:szCs w:val="32"/>
        </w:rPr>
        <w:t>，</w:t>
      </w:r>
      <w:r>
        <w:rPr>
          <w:rFonts w:hint="eastAsia" w:ascii="仿宋" w:hAnsi="仿宋" w:eastAsia="仿宋" w:cs="仿宋"/>
          <w:color w:val="1C1C1C"/>
          <w:sz w:val="32"/>
          <w:szCs w:val="32"/>
          <w:lang w:val="en-US" w:eastAsia="zh-CN"/>
        </w:rPr>
        <w:t>聚焦</w:t>
      </w:r>
      <w:r>
        <w:rPr>
          <w:rFonts w:hint="eastAsia" w:ascii="仿宋" w:hAnsi="仿宋" w:eastAsia="仿宋" w:cs="仿宋"/>
          <w:color w:val="1C1C1C"/>
          <w:sz w:val="32"/>
          <w:szCs w:val="32"/>
        </w:rPr>
        <w:t>物价稳定性，</w:t>
      </w:r>
      <w:r>
        <w:rPr>
          <w:rFonts w:hint="eastAsia" w:ascii="仿宋" w:hAnsi="仿宋" w:eastAsia="仿宋" w:cs="仿宋"/>
          <w:color w:val="1C1C1C"/>
          <w:sz w:val="32"/>
          <w:szCs w:val="32"/>
          <w:lang w:val="en-US" w:eastAsia="zh-CN"/>
        </w:rPr>
        <w:t>统筹</w:t>
      </w:r>
      <w:r>
        <w:rPr>
          <w:rFonts w:hint="eastAsia" w:ascii="仿宋" w:hAnsi="仿宋" w:eastAsia="仿宋" w:cs="仿宋"/>
          <w:color w:val="1C1C1C"/>
          <w:sz w:val="32"/>
          <w:szCs w:val="32"/>
        </w:rPr>
        <w:t>发挥</w:t>
      </w:r>
      <w:r>
        <w:rPr>
          <w:rFonts w:hint="eastAsia" w:ascii="仿宋" w:hAnsi="仿宋" w:eastAsia="仿宋" w:cs="仿宋"/>
          <w:color w:val="1C1C1C"/>
          <w:sz w:val="32"/>
          <w:szCs w:val="32"/>
          <w:lang w:val="en-US" w:eastAsia="zh-CN"/>
        </w:rPr>
        <w:t>好</w:t>
      </w:r>
      <w:r>
        <w:rPr>
          <w:rFonts w:hint="eastAsia" w:ascii="仿宋" w:hAnsi="仿宋" w:eastAsia="仿宋" w:cs="仿宋"/>
          <w:color w:val="1C1C1C"/>
          <w:sz w:val="32"/>
          <w:szCs w:val="32"/>
        </w:rPr>
        <w:t>市场调节</w:t>
      </w:r>
      <w:r>
        <w:rPr>
          <w:rFonts w:hint="eastAsia" w:ascii="仿宋" w:hAnsi="仿宋" w:eastAsia="仿宋" w:cs="仿宋"/>
          <w:color w:val="1C1C1C"/>
          <w:sz w:val="32"/>
          <w:szCs w:val="32"/>
          <w:lang w:val="en-US" w:eastAsia="zh-CN"/>
        </w:rPr>
        <w:t>作用和行政监管作用</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促进市场供需平稳，</w:t>
      </w:r>
      <w:r>
        <w:rPr>
          <w:rFonts w:hint="eastAsia" w:ascii="仿宋" w:hAnsi="仿宋" w:eastAsia="仿宋" w:cs="仿宋"/>
          <w:color w:val="1C1C1C"/>
          <w:sz w:val="32"/>
          <w:szCs w:val="32"/>
          <w:lang w:val="en-US" w:eastAsia="zh-CN"/>
        </w:rPr>
        <w:t>巩固完善良好创业创新环境和</w:t>
      </w:r>
      <w:r>
        <w:rPr>
          <w:rFonts w:hint="eastAsia" w:ascii="仿宋" w:hAnsi="仿宋" w:eastAsia="仿宋" w:cs="仿宋"/>
          <w:color w:val="1C1C1C"/>
          <w:sz w:val="32"/>
          <w:szCs w:val="32"/>
        </w:rPr>
        <w:t>良性</w:t>
      </w:r>
      <w:r>
        <w:rPr>
          <w:rFonts w:hint="eastAsia" w:ascii="仿宋" w:hAnsi="仿宋" w:eastAsia="仿宋" w:cs="仿宋"/>
          <w:color w:val="1C1C1C"/>
          <w:sz w:val="32"/>
          <w:szCs w:val="32"/>
          <w:lang w:val="en-US" w:eastAsia="zh-CN"/>
        </w:rPr>
        <w:t>发展</w:t>
      </w:r>
      <w:r>
        <w:rPr>
          <w:rFonts w:hint="eastAsia" w:ascii="仿宋" w:hAnsi="仿宋" w:eastAsia="仿宋" w:cs="仿宋"/>
          <w:color w:val="1C1C1C"/>
          <w:sz w:val="32"/>
          <w:szCs w:val="32"/>
        </w:rPr>
        <w:t>竞争环境，打击垄断和不正当竞争行为</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提升物价调控精细化水平，区分调控民生重点商品和其他商品，完善价格监测与披露机制，谨防“价格刺客”“价格屠夫”</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优化预期管理</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让消费者放心消费</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lang w:val="en-US" w:eastAsia="zh-CN"/>
        </w:rPr>
        <w:t>舒心消费</w:t>
      </w:r>
      <w:r>
        <w:rPr>
          <w:rFonts w:hint="eastAsia" w:ascii="仿宋" w:hAnsi="仿宋" w:eastAsia="仿宋" w:cs="仿宋"/>
          <w:color w:val="1C1C1C"/>
          <w:sz w:val="32"/>
          <w:szCs w:val="32"/>
        </w:rPr>
        <w:t>。</w:t>
      </w:r>
      <w:r>
        <w:rPr>
          <w:rFonts w:hint="eastAsia" w:ascii="仿宋" w:hAnsi="仿宋" w:eastAsia="仿宋" w:cs="仿宋"/>
          <w:b/>
          <w:bCs/>
          <w:color w:val="1C1C1C"/>
          <w:sz w:val="32"/>
          <w:szCs w:val="32"/>
        </w:rPr>
        <w:t>另一方面</w:t>
      </w:r>
      <w:r>
        <w:rPr>
          <w:rFonts w:hint="eastAsia" w:ascii="仿宋" w:hAnsi="仿宋" w:eastAsia="仿宋" w:cs="仿宋"/>
          <w:color w:val="1C1C1C"/>
          <w:sz w:val="32"/>
          <w:szCs w:val="32"/>
        </w:rPr>
        <w:t>，</w:t>
      </w:r>
      <w:r>
        <w:rPr>
          <w:rFonts w:hint="eastAsia" w:ascii="仿宋" w:hAnsi="仿宋" w:eastAsia="仿宋" w:cs="仿宋"/>
          <w:color w:val="1C1C1C"/>
          <w:sz w:val="32"/>
          <w:szCs w:val="32"/>
          <w:lang w:val="en-US" w:eastAsia="zh-CN"/>
        </w:rPr>
        <w:t>聚焦消费安全，坚持问题导向、目标导向和责任导向相结合</w:t>
      </w:r>
      <w:r>
        <w:rPr>
          <w:rFonts w:hint="eastAsia" w:ascii="仿宋" w:hAnsi="仿宋" w:eastAsia="仿宋" w:cs="仿宋"/>
          <w:color w:val="1C1C1C"/>
          <w:sz w:val="32"/>
          <w:szCs w:val="32"/>
        </w:rPr>
        <w:t>，全方位守护消费安全，持续完善相关法律法规，不断优化落地执行机制</w:t>
      </w:r>
      <w:r>
        <w:rPr>
          <w:rFonts w:hint="eastAsia" w:ascii="仿宋" w:hAnsi="仿宋" w:eastAsia="仿宋" w:cs="仿宋"/>
          <w:color w:val="1C1C1C"/>
          <w:sz w:val="32"/>
          <w:szCs w:val="32"/>
          <w:lang w:val="en-US" w:eastAsia="zh-CN"/>
        </w:rPr>
        <w:t>和部门协作机制</w:t>
      </w:r>
      <w:r>
        <w:rPr>
          <w:rFonts w:hint="eastAsia" w:ascii="仿宋" w:hAnsi="仿宋" w:eastAsia="仿宋" w:cs="仿宋"/>
          <w:color w:val="1C1C1C"/>
          <w:sz w:val="32"/>
          <w:szCs w:val="32"/>
        </w:rPr>
        <w:t>，围绕个人信息泄露、预付式消费</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lang w:val="en-US" w:eastAsia="zh-CN"/>
        </w:rPr>
        <w:t>食品消费和医疗卫生</w:t>
      </w:r>
      <w:r>
        <w:rPr>
          <w:rFonts w:hint="eastAsia" w:ascii="仿宋" w:hAnsi="仿宋" w:eastAsia="仿宋" w:cs="仿宋"/>
          <w:color w:val="1C1C1C"/>
          <w:sz w:val="32"/>
          <w:szCs w:val="32"/>
        </w:rPr>
        <w:t>等重点安全</w:t>
      </w:r>
      <w:r>
        <w:rPr>
          <w:rFonts w:hint="eastAsia" w:ascii="仿宋" w:hAnsi="仿宋" w:eastAsia="仿宋" w:cs="仿宋"/>
          <w:color w:val="1C1C1C"/>
          <w:sz w:val="32"/>
          <w:szCs w:val="32"/>
          <w:lang w:val="en-US" w:eastAsia="zh-CN"/>
        </w:rPr>
        <w:t>议题</w:t>
      </w:r>
      <w:r>
        <w:rPr>
          <w:rFonts w:hint="eastAsia" w:ascii="仿宋" w:hAnsi="仿宋" w:eastAsia="仿宋" w:cs="仿宋"/>
          <w:color w:val="1C1C1C"/>
          <w:sz w:val="32"/>
          <w:szCs w:val="32"/>
        </w:rPr>
        <w:t>，做好事先防范</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lang w:val="en-US" w:eastAsia="zh-CN"/>
        </w:rPr>
        <w:t>事中介入</w:t>
      </w:r>
      <w:r>
        <w:rPr>
          <w:rFonts w:hint="eastAsia" w:ascii="仿宋" w:hAnsi="仿宋" w:eastAsia="仿宋" w:cs="仿宋"/>
          <w:color w:val="1C1C1C"/>
          <w:sz w:val="32"/>
          <w:szCs w:val="32"/>
        </w:rPr>
        <w:t>及事后处置，建立健全消费领域信用评价</w:t>
      </w:r>
      <w:r>
        <w:rPr>
          <w:rFonts w:hint="eastAsia" w:ascii="仿宋" w:hAnsi="仿宋" w:eastAsia="仿宋" w:cs="仿宋"/>
          <w:color w:val="1C1C1C"/>
          <w:sz w:val="32"/>
          <w:szCs w:val="32"/>
          <w:lang w:val="en-US" w:eastAsia="zh-CN"/>
        </w:rPr>
        <w:t>体系，完善</w:t>
      </w:r>
      <w:r>
        <w:rPr>
          <w:rFonts w:hint="eastAsia" w:ascii="仿宋" w:hAnsi="仿宋" w:eastAsia="仿宋" w:cs="仿宋"/>
          <w:color w:val="1C1C1C"/>
          <w:sz w:val="32"/>
          <w:szCs w:val="32"/>
        </w:rPr>
        <w:t>监管机制</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评估机制</w:t>
      </w:r>
      <w:r>
        <w:rPr>
          <w:rFonts w:hint="eastAsia" w:ascii="仿宋" w:hAnsi="仿宋" w:eastAsia="仿宋" w:cs="仿宋"/>
          <w:color w:val="1C1C1C"/>
          <w:sz w:val="32"/>
          <w:szCs w:val="32"/>
          <w:lang w:val="en-US" w:eastAsia="zh-CN"/>
        </w:rPr>
        <w:t>和修复机制</w:t>
      </w:r>
      <w:r>
        <w:rPr>
          <w:rFonts w:hint="eastAsia" w:ascii="仿宋" w:hAnsi="仿宋" w:eastAsia="仿宋" w:cs="仿宋"/>
          <w:color w:val="1C1C1C"/>
          <w:sz w:val="32"/>
          <w:szCs w:val="32"/>
        </w:rPr>
        <w:t>，严厉打击危害消费安全的违法违规行为</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lang w:val="en-US" w:eastAsia="zh-CN"/>
        </w:rPr>
        <w:t>为消费者能消费、敢消费、愿消费扫清障碍、消除隐患</w:t>
      </w:r>
      <w:r>
        <w:rPr>
          <w:rFonts w:hint="eastAsia" w:ascii="仿宋" w:hAnsi="仿宋" w:eastAsia="仿宋" w:cs="仿宋"/>
          <w:color w:val="1C1C1C"/>
          <w:sz w:val="32"/>
          <w:szCs w:val="32"/>
        </w:rPr>
        <w:t>。</w:t>
      </w:r>
    </w:p>
    <w:p>
      <w:pPr>
        <w:pStyle w:val="3"/>
        <w:ind w:firstLine="640" w:firstLineChars="200"/>
        <w:rPr>
          <w:rFonts w:ascii="黑体" w:hAnsi="黑体" w:eastAsia="黑体" w:cs="黑体"/>
          <w:b w:val="0"/>
          <w:bCs/>
          <w:i w:val="0"/>
          <w:iCs/>
          <w:sz w:val="32"/>
          <w:szCs w:val="32"/>
        </w:rPr>
      </w:pPr>
      <w:bookmarkStart w:id="77" w:name="_Toc30301"/>
      <w:r>
        <w:rPr>
          <w:rFonts w:hint="eastAsia" w:ascii="黑体" w:hAnsi="黑体" w:eastAsia="黑体" w:cs="黑体"/>
          <w:b w:val="0"/>
          <w:bCs/>
          <w:i w:val="0"/>
          <w:iCs/>
          <w:sz w:val="32"/>
          <w:szCs w:val="32"/>
        </w:rPr>
        <w:t>三、统筹强化消费维权，巩固权益保护屏障</w:t>
      </w:r>
      <w:bookmarkEnd w:id="77"/>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十四五”市场监管现代化规划》明确将“强化消费者权益保护”列为重点任务之一。在过去几年中，依托持续拓宽维权渠道、扩大维权宣传引导、加强维权力量供给等措施，消费者权益保护体系不断完善，消费者满意度逐步提升，消费维权满意度得分进步尤为显著。根据2022年的满意度测评结果，消费者对于消费维权的评价有所下降，反映出消费维权的工作成果仍不稳固，获得感有待增强。随着消费市场的创新迭代，新的消费产品、消费模式和消费场景进一步涌现，一些新问题有所暴露，一些新情况有待厘清，消费者对于自身权益保护的认识、需求和标准都将进一步升级。</w:t>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为此建议：</w:t>
      </w:r>
      <w:r>
        <w:rPr>
          <w:rFonts w:hint="eastAsia" w:ascii="仿宋" w:hAnsi="仿宋" w:eastAsia="仿宋" w:cs="仿宋"/>
          <w:b/>
          <w:bCs/>
          <w:color w:val="1C1C1C"/>
          <w:sz w:val="32"/>
          <w:szCs w:val="32"/>
        </w:rPr>
        <w:t>一是</w:t>
      </w:r>
      <w:r>
        <w:rPr>
          <w:rFonts w:hint="eastAsia" w:ascii="仿宋" w:hAnsi="仿宋" w:eastAsia="仿宋" w:cs="仿宋"/>
          <w:b w:val="0"/>
          <w:bCs w:val="0"/>
          <w:color w:val="1C1C1C"/>
          <w:sz w:val="32"/>
          <w:szCs w:val="32"/>
          <w:lang w:val="en-US" w:eastAsia="zh-CN"/>
        </w:rPr>
        <w:t>凝聚合力，</w:t>
      </w:r>
      <w:r>
        <w:rPr>
          <w:rFonts w:hint="eastAsia" w:ascii="仿宋" w:hAnsi="仿宋" w:eastAsia="仿宋" w:cs="仿宋"/>
          <w:b w:val="0"/>
          <w:bCs w:val="0"/>
          <w:color w:val="1C1C1C"/>
          <w:sz w:val="32"/>
          <w:szCs w:val="32"/>
        </w:rPr>
        <w:t>不断构建</w:t>
      </w:r>
      <w:r>
        <w:rPr>
          <w:rFonts w:hint="eastAsia" w:ascii="仿宋" w:hAnsi="仿宋" w:eastAsia="仿宋" w:cs="仿宋"/>
          <w:b w:val="0"/>
          <w:bCs w:val="0"/>
          <w:color w:val="1C1C1C"/>
          <w:sz w:val="32"/>
          <w:szCs w:val="32"/>
          <w:lang w:val="en-US" w:eastAsia="zh-CN"/>
        </w:rPr>
        <w:t>并</w:t>
      </w:r>
      <w:r>
        <w:rPr>
          <w:rFonts w:hint="eastAsia" w:ascii="仿宋" w:hAnsi="仿宋" w:eastAsia="仿宋" w:cs="仿宋"/>
          <w:color w:val="1C1C1C"/>
          <w:sz w:val="32"/>
          <w:szCs w:val="32"/>
          <w:lang w:val="en-US" w:eastAsia="zh-CN"/>
        </w:rPr>
        <w:t>优化</w:t>
      </w:r>
      <w:r>
        <w:rPr>
          <w:rFonts w:hint="eastAsia" w:ascii="仿宋" w:hAnsi="仿宋" w:eastAsia="仿宋" w:cs="仿宋"/>
          <w:color w:val="1C1C1C"/>
          <w:sz w:val="32"/>
          <w:szCs w:val="32"/>
        </w:rPr>
        <w:t>更加立体、高效的维权体系，坚持</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消费者优先</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，立足消费者诉求，剖析现有维权体系中不完备、不细致、不坚固的问题点，扩宽维权渠道、提高维权效率，强化维权信心，针对新型消费场景，如预付消费、直播电商、大数据</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杀熟</w:t>
      </w:r>
      <w:r>
        <w:rPr>
          <w:rFonts w:hint="eastAsia" w:ascii="仿宋" w:hAnsi="仿宋" w:eastAsia="仿宋" w:cs="仿宋"/>
          <w:color w:val="1C1C1C"/>
          <w:sz w:val="32"/>
          <w:szCs w:val="32"/>
          <w:lang w:eastAsia="zh-CN"/>
        </w:rPr>
        <w:t>”</w:t>
      </w:r>
      <w:r>
        <w:rPr>
          <w:rFonts w:hint="eastAsia" w:ascii="仿宋" w:hAnsi="仿宋" w:eastAsia="仿宋" w:cs="仿宋"/>
          <w:color w:val="1C1C1C"/>
          <w:sz w:val="32"/>
          <w:szCs w:val="32"/>
        </w:rPr>
        <w:t>等，通过备案管理制度、畅通维权路径、强化信息公开机制等方式持续促进提升；</w:t>
      </w:r>
      <w:r>
        <w:rPr>
          <w:rFonts w:hint="eastAsia" w:ascii="仿宋" w:hAnsi="仿宋" w:eastAsia="仿宋" w:cs="仿宋"/>
          <w:b/>
          <w:bCs/>
          <w:color w:val="1C1C1C"/>
          <w:sz w:val="32"/>
          <w:szCs w:val="32"/>
        </w:rPr>
        <w:t>二是</w:t>
      </w:r>
      <w:r>
        <w:rPr>
          <w:rFonts w:hint="eastAsia" w:ascii="仿宋" w:hAnsi="仿宋" w:eastAsia="仿宋" w:cs="仿宋"/>
          <w:color w:val="1C1C1C"/>
          <w:sz w:val="32"/>
          <w:szCs w:val="32"/>
        </w:rPr>
        <w:t>凝聚共识，多维度加强消费维权宣传引导，创新消费教育方式，强化消费警示提示和正向引导，增强消费者科学消费和理性维权能力，同时增进消费者对于自我权益保护和社会公益保护的认知，有效提升对于有关部门和机构的信任度；</w:t>
      </w:r>
      <w:r>
        <w:rPr>
          <w:rFonts w:hint="eastAsia" w:ascii="仿宋" w:hAnsi="仿宋" w:eastAsia="仿宋" w:cs="仿宋"/>
          <w:b/>
          <w:bCs/>
          <w:color w:val="1C1C1C"/>
          <w:sz w:val="32"/>
          <w:szCs w:val="32"/>
        </w:rPr>
        <w:t>三是</w:t>
      </w:r>
      <w:r>
        <w:rPr>
          <w:rFonts w:hint="eastAsia" w:ascii="仿宋" w:hAnsi="仿宋" w:eastAsia="仿宋" w:cs="仿宋"/>
          <w:b w:val="0"/>
          <w:bCs w:val="0"/>
          <w:color w:val="1C1C1C"/>
          <w:sz w:val="32"/>
          <w:szCs w:val="32"/>
          <w:lang w:val="en-US" w:eastAsia="zh-CN"/>
        </w:rPr>
        <w:t>凝聚智慧，</w:t>
      </w:r>
      <w:r>
        <w:rPr>
          <w:rFonts w:hint="eastAsia" w:ascii="仿宋" w:hAnsi="仿宋" w:eastAsia="仿宋" w:cs="仿宋"/>
          <w:b w:val="0"/>
          <w:bCs w:val="0"/>
          <w:color w:val="1C1C1C"/>
          <w:sz w:val="32"/>
          <w:szCs w:val="32"/>
        </w:rPr>
        <w:t>持续提升</w:t>
      </w:r>
      <w:r>
        <w:rPr>
          <w:rFonts w:hint="eastAsia" w:ascii="仿宋" w:hAnsi="仿宋" w:eastAsia="仿宋" w:cs="仿宋"/>
          <w:b w:val="0"/>
          <w:bCs w:val="0"/>
          <w:color w:val="1C1C1C"/>
          <w:sz w:val="32"/>
          <w:szCs w:val="32"/>
          <w:lang w:val="en-US" w:eastAsia="zh-CN"/>
        </w:rPr>
        <w:t>消费维权</w:t>
      </w:r>
      <w:r>
        <w:rPr>
          <w:rFonts w:hint="eastAsia" w:ascii="仿宋" w:hAnsi="仿宋" w:eastAsia="仿宋" w:cs="仿宋"/>
          <w:b w:val="0"/>
          <w:bCs w:val="0"/>
          <w:color w:val="1C1C1C"/>
          <w:sz w:val="32"/>
          <w:szCs w:val="32"/>
        </w:rPr>
        <w:t>工作效能</w:t>
      </w:r>
      <w:r>
        <w:rPr>
          <w:rFonts w:hint="eastAsia" w:ascii="仿宋" w:hAnsi="仿宋" w:eastAsia="仿宋" w:cs="仿宋"/>
          <w:b w:val="0"/>
          <w:bCs w:val="0"/>
          <w:color w:val="1C1C1C"/>
          <w:sz w:val="32"/>
          <w:szCs w:val="32"/>
          <w:lang w:val="en-US" w:eastAsia="zh-CN"/>
        </w:rPr>
        <w:t>，围绕群众咨询和投诉诉求</w:t>
      </w:r>
      <w:r>
        <w:rPr>
          <w:rFonts w:hint="eastAsia" w:ascii="仿宋" w:hAnsi="仿宋" w:eastAsia="仿宋" w:cs="仿宋"/>
          <w:color w:val="1C1C1C"/>
          <w:sz w:val="32"/>
          <w:szCs w:val="32"/>
          <w:lang w:val="en-US" w:eastAsia="zh-CN"/>
        </w:rPr>
        <w:t>，</w:t>
      </w:r>
      <w:r>
        <w:rPr>
          <w:rFonts w:hint="eastAsia" w:ascii="仿宋" w:hAnsi="仿宋" w:eastAsia="仿宋" w:cs="仿宋"/>
          <w:color w:val="1C1C1C"/>
          <w:sz w:val="32"/>
          <w:szCs w:val="32"/>
        </w:rPr>
        <w:t>加大投诉受理</w:t>
      </w:r>
      <w:r>
        <w:rPr>
          <w:rFonts w:hint="eastAsia" w:ascii="仿宋" w:hAnsi="仿宋" w:eastAsia="仿宋" w:cs="仿宋"/>
          <w:color w:val="1C1C1C"/>
          <w:sz w:val="32"/>
          <w:szCs w:val="32"/>
          <w:lang w:val="en-US" w:eastAsia="zh-CN"/>
        </w:rPr>
        <w:t>和办结</w:t>
      </w:r>
      <w:r>
        <w:rPr>
          <w:rFonts w:hint="eastAsia" w:ascii="仿宋" w:hAnsi="仿宋" w:eastAsia="仿宋" w:cs="仿宋"/>
          <w:color w:val="1C1C1C"/>
          <w:sz w:val="32"/>
          <w:szCs w:val="32"/>
        </w:rPr>
        <w:t>力度，</w:t>
      </w:r>
      <w:r>
        <w:rPr>
          <w:rFonts w:hint="eastAsia" w:ascii="仿宋" w:hAnsi="仿宋" w:eastAsia="仿宋" w:cs="仿宋"/>
          <w:color w:val="1C1C1C"/>
          <w:sz w:val="32"/>
          <w:szCs w:val="32"/>
          <w:lang w:val="en-US" w:eastAsia="zh-CN"/>
        </w:rPr>
        <w:t>通过大数据、信息化等手段提升工作响应及时性和</w:t>
      </w:r>
      <w:r>
        <w:rPr>
          <w:rFonts w:hint="eastAsia" w:ascii="仿宋" w:hAnsi="仿宋" w:eastAsia="仿宋" w:cs="仿宋"/>
          <w:color w:val="1C1C1C"/>
          <w:sz w:val="32"/>
          <w:szCs w:val="32"/>
        </w:rPr>
        <w:t>便利化</w:t>
      </w:r>
      <w:r>
        <w:rPr>
          <w:rFonts w:hint="eastAsia" w:ascii="仿宋" w:hAnsi="仿宋" w:eastAsia="仿宋" w:cs="仿宋"/>
          <w:color w:val="1C1C1C"/>
          <w:sz w:val="32"/>
          <w:szCs w:val="32"/>
          <w:lang w:val="en-US" w:eastAsia="zh-CN"/>
        </w:rPr>
        <w:t>程度；</w:t>
      </w:r>
      <w:r>
        <w:rPr>
          <w:rFonts w:hint="eastAsia" w:ascii="仿宋" w:hAnsi="仿宋" w:eastAsia="仿宋" w:cs="仿宋"/>
          <w:color w:val="1C1C1C"/>
          <w:sz w:val="32"/>
          <w:szCs w:val="32"/>
        </w:rPr>
        <w:t>围绕</w:t>
      </w:r>
      <w:r>
        <w:rPr>
          <w:rFonts w:hint="eastAsia" w:ascii="仿宋" w:hAnsi="仿宋" w:eastAsia="仿宋" w:cs="仿宋"/>
          <w:color w:val="1C1C1C"/>
          <w:sz w:val="32"/>
          <w:szCs w:val="32"/>
          <w:lang w:val="en-US" w:eastAsia="zh-CN"/>
        </w:rPr>
        <w:t>群众“关键小事”和</w:t>
      </w:r>
      <w:r>
        <w:rPr>
          <w:rFonts w:hint="eastAsia" w:ascii="仿宋" w:hAnsi="仿宋" w:eastAsia="仿宋" w:cs="仿宋"/>
          <w:color w:val="1C1C1C"/>
          <w:sz w:val="32"/>
          <w:szCs w:val="32"/>
        </w:rPr>
        <w:t>“急难愁盼”</w:t>
      </w:r>
      <w:r>
        <w:rPr>
          <w:rFonts w:hint="eastAsia" w:ascii="仿宋" w:hAnsi="仿宋" w:eastAsia="仿宋" w:cs="仿宋"/>
          <w:color w:val="1C1C1C"/>
          <w:sz w:val="32"/>
          <w:szCs w:val="32"/>
          <w:lang w:val="en-US" w:eastAsia="zh-CN"/>
        </w:rPr>
        <w:t>问题</w:t>
      </w:r>
      <w:r>
        <w:rPr>
          <w:rFonts w:hint="eastAsia" w:ascii="仿宋" w:hAnsi="仿宋" w:eastAsia="仿宋" w:cs="仿宋"/>
          <w:color w:val="1C1C1C"/>
          <w:sz w:val="32"/>
          <w:szCs w:val="32"/>
        </w:rPr>
        <w:t>，</w:t>
      </w:r>
      <w:r>
        <w:rPr>
          <w:rFonts w:hint="eastAsia" w:ascii="仿宋" w:hAnsi="仿宋" w:eastAsia="仿宋" w:cs="仿宋"/>
          <w:color w:val="1C1C1C"/>
          <w:sz w:val="32"/>
          <w:szCs w:val="32"/>
          <w:lang w:val="en-US" w:eastAsia="zh-CN"/>
        </w:rPr>
        <w:t>着力打通</w:t>
      </w:r>
      <w:r>
        <w:rPr>
          <w:rFonts w:hint="eastAsia" w:ascii="仿宋" w:hAnsi="仿宋" w:eastAsia="仿宋" w:cs="仿宋"/>
          <w:color w:val="1C1C1C"/>
          <w:sz w:val="32"/>
          <w:szCs w:val="32"/>
        </w:rPr>
        <w:t>消费堵点</w:t>
      </w:r>
      <w:r>
        <w:rPr>
          <w:rFonts w:hint="eastAsia" w:ascii="仿宋" w:hAnsi="仿宋" w:eastAsia="仿宋" w:cs="仿宋"/>
          <w:color w:val="1C1C1C"/>
          <w:sz w:val="32"/>
          <w:szCs w:val="32"/>
          <w:lang w:val="en-US" w:eastAsia="zh-CN"/>
        </w:rPr>
        <w:t>和维权难点；围绕消费民生疑难杂症问题和</w:t>
      </w:r>
      <w:r>
        <w:rPr>
          <w:rFonts w:hint="eastAsia" w:ascii="仿宋" w:hAnsi="仿宋" w:eastAsia="仿宋" w:cs="仿宋"/>
          <w:color w:val="1C1C1C"/>
          <w:sz w:val="32"/>
          <w:szCs w:val="32"/>
        </w:rPr>
        <w:t>重大典型</w:t>
      </w:r>
      <w:r>
        <w:rPr>
          <w:rFonts w:hint="eastAsia" w:ascii="仿宋" w:hAnsi="仿宋" w:eastAsia="仿宋" w:cs="仿宋"/>
          <w:color w:val="1C1C1C"/>
          <w:sz w:val="32"/>
          <w:szCs w:val="32"/>
          <w:lang w:val="en-US" w:eastAsia="zh-CN"/>
        </w:rPr>
        <w:t>事件，建立完善舆情研判、风险预警和通报会商、信息共享机制</w:t>
      </w:r>
      <w:r>
        <w:rPr>
          <w:rFonts w:hint="eastAsia" w:ascii="仿宋" w:hAnsi="仿宋" w:eastAsia="仿宋" w:cs="仿宋"/>
          <w:color w:val="1C1C1C"/>
          <w:sz w:val="32"/>
          <w:szCs w:val="32"/>
        </w:rPr>
        <w:t>，</w:t>
      </w:r>
      <w:r>
        <w:rPr>
          <w:rFonts w:hint="eastAsia" w:ascii="仿宋" w:hAnsi="仿宋" w:eastAsia="仿宋" w:cs="仿宋"/>
          <w:color w:val="1C1C1C"/>
          <w:sz w:val="32"/>
          <w:szCs w:val="32"/>
          <w:lang w:val="en-US" w:eastAsia="zh-CN"/>
        </w:rPr>
        <w:t>让有关行政部门、</w:t>
      </w:r>
      <w:r>
        <w:rPr>
          <w:rFonts w:hint="eastAsia" w:ascii="仿宋" w:hAnsi="仿宋" w:eastAsia="仿宋" w:cs="仿宋"/>
          <w:color w:val="1C1C1C"/>
          <w:sz w:val="32"/>
          <w:szCs w:val="32"/>
        </w:rPr>
        <w:t>消协</w:t>
      </w:r>
      <w:r>
        <w:rPr>
          <w:rFonts w:hint="eastAsia" w:ascii="仿宋" w:hAnsi="仿宋" w:eastAsia="仿宋" w:cs="仿宋"/>
          <w:color w:val="1C1C1C"/>
          <w:sz w:val="32"/>
          <w:szCs w:val="32"/>
          <w:lang w:val="en-US" w:eastAsia="zh-CN"/>
        </w:rPr>
        <w:t>等社会</w:t>
      </w:r>
      <w:r>
        <w:rPr>
          <w:rFonts w:hint="eastAsia" w:ascii="仿宋" w:hAnsi="仿宋" w:eastAsia="仿宋" w:cs="仿宋"/>
          <w:color w:val="1C1C1C"/>
          <w:sz w:val="32"/>
          <w:szCs w:val="32"/>
        </w:rPr>
        <w:t>组织、经营者、消费者</w:t>
      </w:r>
      <w:r>
        <w:rPr>
          <w:rFonts w:hint="eastAsia" w:ascii="仿宋" w:hAnsi="仿宋" w:eastAsia="仿宋" w:cs="仿宋"/>
          <w:color w:val="1C1C1C"/>
          <w:sz w:val="32"/>
          <w:szCs w:val="32"/>
          <w:lang w:val="en-US" w:eastAsia="zh-CN"/>
        </w:rPr>
        <w:t>各方广泛互动、有效联动，不断增进理解和互信，从而提升消费者最终的满意度、获得感</w:t>
      </w:r>
      <w:r>
        <w:rPr>
          <w:rFonts w:hint="eastAsia" w:ascii="仿宋" w:hAnsi="仿宋" w:eastAsia="仿宋" w:cs="仿宋"/>
          <w:color w:val="1C1C1C"/>
          <w:sz w:val="32"/>
          <w:szCs w:val="32"/>
        </w:rPr>
        <w:t>。</w:t>
      </w:r>
    </w:p>
    <w:p>
      <w:pPr>
        <w:pStyle w:val="3"/>
        <w:ind w:firstLine="640" w:firstLineChars="200"/>
        <w:rPr>
          <w:rFonts w:ascii="黑体" w:hAnsi="黑体" w:eastAsia="黑体" w:cs="黑体"/>
          <w:b w:val="0"/>
          <w:bCs/>
          <w:i w:val="0"/>
          <w:iCs/>
          <w:sz w:val="32"/>
          <w:szCs w:val="32"/>
        </w:rPr>
      </w:pPr>
      <w:bookmarkStart w:id="78" w:name="_Toc22528"/>
      <w:r>
        <w:rPr>
          <w:rFonts w:hint="eastAsia" w:ascii="黑体" w:hAnsi="黑体" w:eastAsia="黑体" w:cs="黑体"/>
          <w:b w:val="0"/>
          <w:bCs/>
          <w:i w:val="0"/>
          <w:iCs/>
          <w:sz w:val="32"/>
          <w:szCs w:val="32"/>
        </w:rPr>
        <w:t>四、</w:t>
      </w:r>
      <w:r>
        <w:rPr>
          <w:rFonts w:hint="eastAsia" w:ascii="黑体" w:hAnsi="黑体" w:eastAsia="黑体" w:cs="黑体"/>
          <w:b w:val="0"/>
          <w:bCs/>
          <w:i w:val="0"/>
          <w:iCs/>
          <w:sz w:val="32"/>
          <w:szCs w:val="32"/>
          <w:lang w:val="en-US" w:eastAsia="zh-CN"/>
        </w:rPr>
        <w:t>大力</w:t>
      </w:r>
      <w:r>
        <w:rPr>
          <w:rFonts w:hint="eastAsia" w:ascii="黑体" w:hAnsi="黑体" w:eastAsia="黑体" w:cs="黑体"/>
          <w:b w:val="0"/>
          <w:bCs/>
          <w:i w:val="0"/>
          <w:iCs/>
          <w:sz w:val="32"/>
          <w:szCs w:val="32"/>
        </w:rPr>
        <w:t>提振消费信心，激发消费市场活力</w:t>
      </w:r>
      <w:bookmarkEnd w:id="78"/>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在中央经济工作会议中，习近平总书记强调，要从改善社会心理预期、提振发展信心入手，抓住重大关键环节，纲举目张做好工作。对于消费市场，提振消费信心是缓解需求收缩、供给冲击、预期转弱等多重压力的必要手段。根据2022年度消费者满意度测评结果，消费信心评</w:t>
      </w:r>
      <w:bookmarkStart w:id="102" w:name="_GoBack"/>
      <w:bookmarkEnd w:id="102"/>
      <w:r>
        <w:rPr>
          <w:rFonts w:hint="eastAsia" w:ascii="仿宋" w:hAnsi="仿宋" w:eastAsia="仿宋" w:cs="仿宋"/>
          <w:color w:val="1C1C1C"/>
          <w:sz w:val="32"/>
          <w:szCs w:val="32"/>
        </w:rPr>
        <w:t>分较上一年度有所下降，消费者对于经济形势的预期、对于未来日常消费支出的预期均趋于保守。我国消费市场韧性强、潜力大，长期向好的基本面没有改变，当务之急是全面提振消费信心，充分激发市场活力，积极发挥消费拉动作用，为我国建设更加强大的国内市场、促进经济平稳健康可持续发展提供助力。</w:t>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建议如下：</w:t>
      </w:r>
      <w:r>
        <w:rPr>
          <w:rFonts w:hint="eastAsia" w:ascii="仿宋" w:hAnsi="仿宋" w:eastAsia="仿宋" w:cs="仿宋"/>
          <w:b/>
          <w:bCs/>
          <w:color w:val="1C1C1C"/>
          <w:sz w:val="32"/>
          <w:szCs w:val="32"/>
        </w:rPr>
        <w:t>一是</w:t>
      </w:r>
      <w:r>
        <w:rPr>
          <w:rFonts w:hint="eastAsia" w:ascii="仿宋" w:hAnsi="仿宋" w:eastAsia="仿宋" w:cs="仿宋"/>
          <w:color w:val="1C1C1C"/>
          <w:sz w:val="32"/>
          <w:szCs w:val="32"/>
        </w:rPr>
        <w:t>稳定</w:t>
      </w:r>
      <w:r>
        <w:rPr>
          <w:rFonts w:hint="eastAsia" w:ascii="仿宋" w:hAnsi="仿宋" w:eastAsia="仿宋" w:cs="仿宋"/>
          <w:color w:val="1C1C1C"/>
          <w:sz w:val="32"/>
          <w:szCs w:val="32"/>
          <w:lang w:val="en-US" w:eastAsia="zh-CN"/>
        </w:rPr>
        <w:t>线上线下消费市场，</w:t>
      </w:r>
      <w:r>
        <w:rPr>
          <w:rFonts w:hint="eastAsia" w:ascii="仿宋" w:hAnsi="仿宋" w:eastAsia="仿宋" w:cs="仿宋"/>
          <w:color w:val="1C1C1C"/>
          <w:sz w:val="32"/>
          <w:szCs w:val="32"/>
        </w:rPr>
        <w:t>多方拓宽就业渠道，</w:t>
      </w:r>
      <w:r>
        <w:rPr>
          <w:rFonts w:hint="eastAsia" w:ascii="仿宋" w:hAnsi="仿宋" w:eastAsia="仿宋" w:cs="仿宋"/>
          <w:color w:val="1C1C1C"/>
          <w:sz w:val="32"/>
          <w:szCs w:val="32"/>
          <w:lang w:val="en-US" w:eastAsia="zh-CN"/>
        </w:rPr>
        <w:t>稳定</w:t>
      </w:r>
      <w:r>
        <w:rPr>
          <w:rFonts w:hint="eastAsia" w:ascii="仿宋" w:hAnsi="仿宋" w:eastAsia="仿宋" w:cs="仿宋"/>
          <w:color w:val="1C1C1C"/>
          <w:sz w:val="32"/>
          <w:szCs w:val="32"/>
        </w:rPr>
        <w:t>居民就业预期，通过税费减免、补贴等措施鼓励企业吸纳就业，进一步释放平台企业创造就业能力，提升就业服务质量</w:t>
      </w:r>
      <w:r>
        <w:rPr>
          <w:rFonts w:hint="eastAsia" w:ascii="仿宋" w:hAnsi="仿宋" w:eastAsia="仿宋" w:cs="仿宋"/>
          <w:color w:val="1C1C1C"/>
          <w:sz w:val="32"/>
          <w:szCs w:val="32"/>
          <w:lang w:val="en-US" w:eastAsia="zh-CN"/>
        </w:rPr>
        <w:t>和</w:t>
      </w:r>
      <w:r>
        <w:rPr>
          <w:rFonts w:hint="eastAsia" w:ascii="仿宋" w:hAnsi="仿宋" w:eastAsia="仿宋" w:cs="仿宋"/>
          <w:color w:val="1C1C1C"/>
          <w:sz w:val="32"/>
          <w:szCs w:val="32"/>
        </w:rPr>
        <w:t>市场匹配效率，着力稳定高校毕业生、农民工等群体就业；</w:t>
      </w:r>
      <w:r>
        <w:rPr>
          <w:rFonts w:hint="eastAsia" w:ascii="仿宋" w:hAnsi="仿宋" w:eastAsia="仿宋" w:cs="仿宋"/>
          <w:b/>
          <w:bCs/>
          <w:color w:val="1C1C1C"/>
          <w:sz w:val="32"/>
          <w:szCs w:val="32"/>
        </w:rPr>
        <w:t>二是</w:t>
      </w:r>
      <w:r>
        <w:rPr>
          <w:rFonts w:hint="eastAsia" w:ascii="仿宋" w:hAnsi="仿宋" w:eastAsia="仿宋" w:cs="仿宋"/>
          <w:color w:val="1C1C1C"/>
          <w:sz w:val="32"/>
          <w:szCs w:val="32"/>
        </w:rPr>
        <w:t>切实增强居民消费能力，拓宽居民财产性收入渠道，增强税收政策的再分配效能，在增产增收的同时有效降低居民负担</w:t>
      </w:r>
      <w:r>
        <w:rPr>
          <w:rFonts w:hint="eastAsia" w:ascii="仿宋" w:hAnsi="仿宋" w:eastAsia="仿宋" w:cs="仿宋"/>
          <w:color w:val="1C1C1C"/>
          <w:sz w:val="32"/>
          <w:szCs w:val="32"/>
          <w:lang w:val="en-US" w:eastAsia="zh-CN"/>
        </w:rPr>
        <w:t>和消费成本</w:t>
      </w:r>
      <w:r>
        <w:rPr>
          <w:rFonts w:hint="eastAsia" w:ascii="仿宋" w:hAnsi="仿宋" w:eastAsia="仿宋" w:cs="仿宋"/>
          <w:color w:val="1C1C1C"/>
          <w:sz w:val="32"/>
          <w:szCs w:val="32"/>
        </w:rPr>
        <w:t>，完善多层次社会保障体系和公共服务</w:t>
      </w:r>
      <w:r>
        <w:rPr>
          <w:rFonts w:hint="eastAsia" w:ascii="仿宋" w:hAnsi="仿宋" w:eastAsia="仿宋" w:cs="仿宋"/>
          <w:color w:val="1C1C1C"/>
          <w:sz w:val="32"/>
          <w:szCs w:val="32"/>
          <w:lang w:val="en-US" w:eastAsia="zh-CN"/>
        </w:rPr>
        <w:t>能力，缩小城乡差距和区域发展差距</w:t>
      </w:r>
      <w:r>
        <w:rPr>
          <w:rFonts w:hint="eastAsia" w:ascii="仿宋" w:hAnsi="仿宋" w:eastAsia="仿宋" w:cs="仿宋"/>
          <w:color w:val="1C1C1C"/>
          <w:sz w:val="32"/>
          <w:szCs w:val="32"/>
        </w:rPr>
        <w:t>，提升居民消费水平和保障能力；</w:t>
      </w:r>
      <w:r>
        <w:rPr>
          <w:rFonts w:hint="eastAsia" w:ascii="仿宋" w:hAnsi="仿宋" w:eastAsia="仿宋" w:cs="仿宋"/>
          <w:b/>
          <w:bCs/>
          <w:color w:val="1C1C1C"/>
          <w:sz w:val="32"/>
          <w:szCs w:val="32"/>
        </w:rPr>
        <w:t>三是</w:t>
      </w:r>
      <w:r>
        <w:rPr>
          <w:rFonts w:hint="eastAsia" w:ascii="仿宋" w:hAnsi="仿宋" w:eastAsia="仿宋" w:cs="仿宋"/>
          <w:color w:val="1C1C1C"/>
          <w:sz w:val="32"/>
          <w:szCs w:val="32"/>
        </w:rPr>
        <w:t>加强促消费政策研究与应用</w:t>
      </w:r>
      <w:r>
        <w:rPr>
          <w:rFonts w:hint="eastAsia" w:ascii="仿宋" w:hAnsi="仿宋" w:eastAsia="仿宋" w:cs="仿宋"/>
          <w:color w:val="1C1C1C"/>
          <w:sz w:val="32"/>
          <w:szCs w:val="32"/>
          <w:lang w:eastAsia="zh-CN"/>
        </w:rPr>
        <w:t>，建立和完善扩大居民消费的长效机制，</w:t>
      </w:r>
      <w:r>
        <w:rPr>
          <w:rFonts w:hint="eastAsia" w:ascii="仿宋" w:hAnsi="仿宋" w:eastAsia="仿宋" w:cs="仿宋"/>
          <w:color w:val="1C1C1C"/>
          <w:sz w:val="32"/>
          <w:szCs w:val="32"/>
        </w:rPr>
        <w:t>支持适应地区特征的多样化消费场景发展，适时举办</w:t>
      </w:r>
      <w:r>
        <w:rPr>
          <w:rFonts w:hint="eastAsia" w:ascii="仿宋" w:hAnsi="仿宋" w:eastAsia="仿宋" w:cs="仿宋"/>
          <w:color w:val="1C1C1C"/>
          <w:sz w:val="32"/>
          <w:szCs w:val="32"/>
          <w:lang w:val="en-US" w:eastAsia="zh-CN"/>
        </w:rPr>
        <w:t>类型多样、品类丰富</w:t>
      </w:r>
      <w:r>
        <w:rPr>
          <w:rFonts w:hint="eastAsia" w:ascii="仿宋" w:hAnsi="仿宋" w:eastAsia="仿宋" w:cs="仿宋"/>
          <w:color w:val="1C1C1C"/>
          <w:sz w:val="32"/>
          <w:szCs w:val="32"/>
        </w:rPr>
        <w:t>促消费活动，</w:t>
      </w:r>
      <w:r>
        <w:rPr>
          <w:rFonts w:hint="eastAsia" w:ascii="仿宋" w:hAnsi="仿宋" w:eastAsia="仿宋" w:cs="仿宋"/>
          <w:color w:val="1C1C1C"/>
          <w:sz w:val="32"/>
          <w:szCs w:val="32"/>
          <w:lang w:val="en-US" w:eastAsia="zh-CN"/>
        </w:rPr>
        <w:t>针对日常消费和</w:t>
      </w:r>
      <w:r>
        <w:rPr>
          <w:rFonts w:hint="eastAsia" w:ascii="仿宋" w:hAnsi="仿宋" w:eastAsia="仿宋" w:cs="仿宋"/>
          <w:color w:val="1C1C1C"/>
          <w:sz w:val="32"/>
          <w:szCs w:val="32"/>
        </w:rPr>
        <w:t>重点领域</w:t>
      </w:r>
      <w:r>
        <w:rPr>
          <w:rFonts w:ascii="仿宋" w:hAnsi="仿宋" w:eastAsia="仿宋" w:cs="仿宋"/>
          <w:color w:val="1C1C1C"/>
          <w:sz w:val="32"/>
          <w:szCs w:val="32"/>
        </w:rPr>
        <w:t>发放</w:t>
      </w:r>
      <w:r>
        <w:rPr>
          <w:rFonts w:hint="eastAsia" w:ascii="仿宋" w:hAnsi="仿宋" w:eastAsia="仿宋" w:cs="仿宋"/>
          <w:color w:val="1C1C1C"/>
          <w:sz w:val="32"/>
          <w:szCs w:val="32"/>
          <w:lang w:val="en-US" w:eastAsia="zh-CN"/>
        </w:rPr>
        <w:t>惠民</w:t>
      </w:r>
      <w:r>
        <w:rPr>
          <w:rFonts w:ascii="仿宋" w:hAnsi="仿宋" w:eastAsia="仿宋" w:cs="仿宋"/>
          <w:color w:val="1C1C1C"/>
          <w:sz w:val="32"/>
          <w:szCs w:val="32"/>
        </w:rPr>
        <w:t>消费券</w:t>
      </w:r>
      <w:r>
        <w:rPr>
          <w:rFonts w:hint="eastAsia" w:ascii="仿宋" w:hAnsi="仿宋" w:eastAsia="仿宋" w:cs="仿宋"/>
          <w:color w:val="1C1C1C"/>
          <w:sz w:val="32"/>
          <w:szCs w:val="32"/>
        </w:rPr>
        <w:t>，激发促进消费的乘数效应。</w:t>
      </w:r>
    </w:p>
    <w:p>
      <w:pPr>
        <w:pStyle w:val="26"/>
        <w:ind w:firstLine="640"/>
        <w:jc w:val="both"/>
        <w:rPr>
          <w:rFonts w:ascii="仿宋" w:hAnsi="仿宋" w:eastAsia="仿宋" w:cs="仿宋"/>
          <w:color w:val="1C1C1C"/>
          <w:kern w:val="0"/>
          <w:sz w:val="32"/>
          <w:szCs w:val="32"/>
        </w:rPr>
      </w:pPr>
    </w:p>
    <w:bookmarkEnd w:id="74"/>
    <w:p>
      <w:pPr>
        <w:rPr>
          <w:rFonts w:ascii="仿宋" w:hAnsi="仿宋" w:eastAsia="仿宋" w:cs="仿宋"/>
          <w:sz w:val="32"/>
          <w:szCs w:val="32"/>
        </w:rPr>
      </w:pPr>
      <w:r>
        <w:rPr>
          <w:rFonts w:ascii="仿宋" w:hAnsi="仿宋" w:eastAsia="仿宋" w:cs="仿宋"/>
          <w:sz w:val="32"/>
          <w:szCs w:val="32"/>
        </w:rPr>
        <w:br w:type="page"/>
      </w:r>
    </w:p>
    <w:p>
      <w:pPr>
        <w:pStyle w:val="2"/>
        <w:jc w:val="center"/>
        <w:rPr>
          <w:rFonts w:ascii="方正小标宋简体" w:hAnsi="华文中宋" w:eastAsia="方正小标宋简体" w:cs="华文中宋"/>
          <w:b w:val="0"/>
          <w:bCs/>
          <w:sz w:val="40"/>
          <w:szCs w:val="28"/>
        </w:rPr>
      </w:pPr>
      <w:bookmarkStart w:id="79" w:name="_Toc33719420"/>
      <w:bookmarkStart w:id="80" w:name="_Toc62721786"/>
      <w:bookmarkStart w:id="81" w:name="_Toc24446"/>
      <w:bookmarkStart w:id="82" w:name="_Toc1147522"/>
      <w:r>
        <w:rPr>
          <w:rFonts w:hint="eastAsia" w:ascii="方正小标宋简体" w:hAnsi="华文中宋" w:eastAsia="方正小标宋简体" w:cs="华文中宋"/>
          <w:b w:val="0"/>
          <w:bCs/>
          <w:sz w:val="40"/>
          <w:szCs w:val="28"/>
        </w:rPr>
        <w:t>附  录</w:t>
      </w:r>
      <w:bookmarkEnd w:id="79"/>
      <w:bookmarkEnd w:id="80"/>
      <w:bookmarkEnd w:id="81"/>
    </w:p>
    <w:p>
      <w:pPr>
        <w:pStyle w:val="3"/>
        <w:jc w:val="center"/>
        <w:rPr>
          <w:rFonts w:ascii="黑体" w:hAnsi="黑体" w:eastAsia="黑体" w:cs="黑体"/>
          <w:b w:val="0"/>
          <w:bCs/>
          <w:i w:val="0"/>
          <w:iCs/>
          <w:sz w:val="32"/>
          <w:szCs w:val="28"/>
        </w:rPr>
      </w:pPr>
      <w:bookmarkStart w:id="83" w:name="_Toc33719421"/>
      <w:bookmarkStart w:id="84" w:name="_Toc18175"/>
      <w:bookmarkStart w:id="85" w:name="_Toc62721787"/>
      <w:r>
        <w:rPr>
          <w:rFonts w:hint="eastAsia" w:ascii="黑体" w:hAnsi="黑体" w:eastAsia="黑体" w:cs="黑体"/>
          <w:b w:val="0"/>
          <w:bCs/>
          <w:i w:val="0"/>
          <w:iCs/>
          <w:sz w:val="32"/>
          <w:szCs w:val="28"/>
        </w:rPr>
        <w:t>附录1  100个城市常住人口及社会消费品零售总额</w:t>
      </w:r>
      <w:bookmarkEnd w:id="82"/>
      <w:bookmarkEnd w:id="83"/>
      <w:bookmarkEnd w:id="84"/>
      <w:bookmarkEnd w:id="85"/>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316"/>
        <w:gridCol w:w="1546"/>
        <w:gridCol w:w="1915"/>
        <w:gridCol w:w="2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blHeader/>
        </w:trPr>
        <w:tc>
          <w:tcPr>
            <w:tcW w:w="764" w:type="dxa"/>
            <w:shd w:val="clear" w:color="auto" w:fill="4472C4" w:themeFill="accent5"/>
            <w:noWrap/>
            <w:vAlign w:val="center"/>
          </w:tcPr>
          <w:p>
            <w:pPr>
              <w:jc w:val="center"/>
              <w:rPr>
                <w:rFonts w:ascii="黑体" w:hAnsi="黑体" w:eastAsia="黑体" w:cs="黑体"/>
                <w:bCs/>
                <w:color w:val="1C1C1C"/>
              </w:rPr>
            </w:pPr>
            <w:r>
              <w:rPr>
                <w:rFonts w:hint="eastAsia" w:ascii="黑体" w:hAnsi="黑体" w:eastAsia="黑体" w:cs="黑体"/>
                <w:bCs/>
                <w:color w:val="1C1C1C"/>
              </w:rPr>
              <w:t>序号</w:t>
            </w:r>
          </w:p>
        </w:tc>
        <w:tc>
          <w:tcPr>
            <w:tcW w:w="2316" w:type="dxa"/>
            <w:shd w:val="clear" w:color="auto" w:fill="4472C4" w:themeFill="accent5"/>
            <w:noWrap/>
            <w:vAlign w:val="center"/>
          </w:tcPr>
          <w:p>
            <w:pPr>
              <w:jc w:val="center"/>
              <w:rPr>
                <w:rFonts w:ascii="黑体" w:hAnsi="黑体" w:eastAsia="黑体" w:cs="黑体"/>
                <w:bCs/>
                <w:color w:val="1C1C1C"/>
              </w:rPr>
            </w:pPr>
            <w:r>
              <w:rPr>
                <w:rFonts w:hint="eastAsia" w:ascii="黑体" w:hAnsi="黑体" w:eastAsia="黑体" w:cs="黑体"/>
                <w:bCs/>
                <w:color w:val="1C1C1C"/>
              </w:rPr>
              <w:t>省份</w:t>
            </w:r>
          </w:p>
        </w:tc>
        <w:tc>
          <w:tcPr>
            <w:tcW w:w="1546" w:type="dxa"/>
            <w:shd w:val="clear" w:color="auto" w:fill="4472C4" w:themeFill="accent5"/>
            <w:noWrap/>
            <w:vAlign w:val="center"/>
          </w:tcPr>
          <w:p>
            <w:pPr>
              <w:jc w:val="center"/>
              <w:rPr>
                <w:rFonts w:ascii="黑体" w:hAnsi="黑体" w:eastAsia="黑体" w:cs="黑体"/>
                <w:bCs/>
                <w:color w:val="1C1C1C"/>
              </w:rPr>
            </w:pPr>
            <w:r>
              <w:rPr>
                <w:rFonts w:hint="eastAsia" w:ascii="黑体" w:hAnsi="黑体" w:eastAsia="黑体" w:cs="黑体"/>
                <w:bCs/>
                <w:color w:val="1C1C1C"/>
              </w:rPr>
              <w:t>城市</w:t>
            </w:r>
          </w:p>
        </w:tc>
        <w:tc>
          <w:tcPr>
            <w:tcW w:w="1915" w:type="dxa"/>
            <w:shd w:val="clear" w:color="auto" w:fill="4472C4" w:themeFill="accent5"/>
            <w:vAlign w:val="center"/>
          </w:tcPr>
          <w:p>
            <w:pPr>
              <w:jc w:val="center"/>
              <w:rPr>
                <w:rFonts w:ascii="黑体" w:hAnsi="黑体" w:eastAsia="黑体" w:cs="黑体"/>
                <w:bCs/>
                <w:color w:val="1C1C1C"/>
              </w:rPr>
            </w:pPr>
            <w:r>
              <w:rPr>
                <w:rFonts w:hint="eastAsia" w:ascii="黑体" w:hAnsi="黑体" w:eastAsia="黑体" w:cs="黑体"/>
                <w:bCs/>
                <w:color w:val="1C1C1C"/>
              </w:rPr>
              <w:t>常住人口（万人）</w:t>
            </w:r>
          </w:p>
        </w:tc>
        <w:tc>
          <w:tcPr>
            <w:tcW w:w="2502" w:type="dxa"/>
            <w:shd w:val="clear" w:color="auto" w:fill="4472C4" w:themeFill="accent5"/>
            <w:vAlign w:val="center"/>
          </w:tcPr>
          <w:p>
            <w:pPr>
              <w:jc w:val="center"/>
              <w:rPr>
                <w:rFonts w:ascii="黑体" w:hAnsi="黑体" w:eastAsia="黑体" w:cs="黑体"/>
                <w:bCs/>
                <w:color w:val="1C1C1C"/>
              </w:rPr>
            </w:pPr>
            <w:r>
              <w:rPr>
                <w:rFonts w:hint="eastAsia" w:ascii="黑体" w:hAnsi="黑体" w:eastAsia="黑体" w:cs="黑体"/>
                <w:bCs/>
                <w:color w:val="1C1C1C"/>
              </w:rPr>
              <w:t>社会消费品零售总额(亿元)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w:t>
            </w:r>
          </w:p>
        </w:tc>
        <w:tc>
          <w:tcPr>
            <w:tcW w:w="2316" w:type="dxa"/>
            <w:noWrap/>
            <w:vAlign w:val="center"/>
          </w:tcPr>
          <w:p>
            <w:pPr>
              <w:jc w:val="center"/>
              <w:rPr>
                <w:color w:val="1C1C1C"/>
              </w:rPr>
            </w:pPr>
            <w:r>
              <w:rPr>
                <w:rFonts w:hint="eastAsia"/>
                <w:color w:val="1C1C1C"/>
              </w:rPr>
              <w:t>北京市</w:t>
            </w:r>
          </w:p>
        </w:tc>
        <w:tc>
          <w:tcPr>
            <w:tcW w:w="1546" w:type="dxa"/>
            <w:noWrap/>
            <w:vAlign w:val="center"/>
          </w:tcPr>
          <w:p>
            <w:pPr>
              <w:jc w:val="center"/>
              <w:rPr>
                <w:color w:val="1C1C1C"/>
              </w:rPr>
            </w:pPr>
            <w:r>
              <w:rPr>
                <w:rFonts w:hint="eastAsia"/>
                <w:color w:val="1C1C1C"/>
              </w:rPr>
              <w:t>北京市</w:t>
            </w:r>
          </w:p>
        </w:tc>
        <w:tc>
          <w:tcPr>
            <w:tcW w:w="1915" w:type="dxa"/>
            <w:noWrap/>
            <w:vAlign w:val="center"/>
          </w:tcPr>
          <w:p>
            <w:pPr>
              <w:jc w:val="center"/>
              <w:textAlignment w:val="center"/>
              <w:rPr>
                <w:color w:val="1C1C1C"/>
                <w:lang w:bidi="ar"/>
              </w:rPr>
            </w:pPr>
            <w:r>
              <w:rPr>
                <w:rFonts w:hint="eastAsia"/>
                <w:color w:val="1C1C1C"/>
                <w:lang w:bidi="ar"/>
              </w:rPr>
              <w:t xml:space="preserve">2189 </w:t>
            </w:r>
          </w:p>
        </w:tc>
        <w:tc>
          <w:tcPr>
            <w:tcW w:w="2502" w:type="dxa"/>
            <w:noWrap/>
            <w:vAlign w:val="center"/>
          </w:tcPr>
          <w:p>
            <w:pPr>
              <w:jc w:val="center"/>
              <w:textAlignment w:val="center"/>
              <w:rPr>
                <w:color w:val="1C1C1C"/>
                <w:lang w:bidi="ar"/>
              </w:rPr>
            </w:pPr>
            <w:r>
              <w:rPr>
                <w:rFonts w:hint="eastAsia"/>
                <w:color w:val="1C1C1C"/>
                <w:lang w:bidi="ar"/>
              </w:rPr>
              <w:t xml:space="preserve">14867.7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w:t>
            </w:r>
          </w:p>
        </w:tc>
        <w:tc>
          <w:tcPr>
            <w:tcW w:w="2316" w:type="dxa"/>
            <w:noWrap/>
            <w:vAlign w:val="center"/>
          </w:tcPr>
          <w:p>
            <w:pPr>
              <w:jc w:val="center"/>
              <w:rPr>
                <w:color w:val="1C1C1C"/>
              </w:rPr>
            </w:pPr>
            <w:r>
              <w:rPr>
                <w:rFonts w:hint="eastAsia"/>
                <w:color w:val="1C1C1C"/>
              </w:rPr>
              <w:t>天津市</w:t>
            </w:r>
          </w:p>
        </w:tc>
        <w:tc>
          <w:tcPr>
            <w:tcW w:w="1546" w:type="dxa"/>
            <w:noWrap/>
            <w:vAlign w:val="center"/>
          </w:tcPr>
          <w:p>
            <w:pPr>
              <w:jc w:val="center"/>
              <w:rPr>
                <w:color w:val="1C1C1C"/>
              </w:rPr>
            </w:pPr>
            <w:r>
              <w:rPr>
                <w:rFonts w:hint="eastAsia"/>
                <w:color w:val="1C1C1C"/>
              </w:rPr>
              <w:t>天津市</w:t>
            </w:r>
          </w:p>
        </w:tc>
        <w:tc>
          <w:tcPr>
            <w:tcW w:w="1915" w:type="dxa"/>
            <w:noWrap/>
            <w:vAlign w:val="center"/>
          </w:tcPr>
          <w:p>
            <w:pPr>
              <w:jc w:val="center"/>
              <w:textAlignment w:val="center"/>
              <w:rPr>
                <w:color w:val="1C1C1C"/>
                <w:lang w:bidi="ar"/>
              </w:rPr>
            </w:pPr>
            <w:r>
              <w:rPr>
                <w:rFonts w:hint="eastAsia"/>
                <w:color w:val="1C1C1C"/>
                <w:lang w:bidi="ar"/>
              </w:rPr>
              <w:t xml:space="preserve">1373 </w:t>
            </w:r>
          </w:p>
        </w:tc>
        <w:tc>
          <w:tcPr>
            <w:tcW w:w="2502" w:type="dxa"/>
            <w:noWrap/>
            <w:vAlign w:val="center"/>
          </w:tcPr>
          <w:p>
            <w:pPr>
              <w:jc w:val="center"/>
              <w:textAlignment w:val="center"/>
              <w:rPr>
                <w:color w:val="1C1C1C"/>
                <w:lang w:bidi="ar"/>
              </w:rPr>
            </w:pPr>
            <w:r>
              <w:rPr>
                <w:rFonts w:hint="eastAsia"/>
                <w:color w:val="1C1C1C"/>
                <w:lang w:bidi="ar"/>
              </w:rPr>
              <w:t xml:space="preserve">3769.8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w:t>
            </w:r>
          </w:p>
        </w:tc>
        <w:tc>
          <w:tcPr>
            <w:tcW w:w="2316" w:type="dxa"/>
            <w:noWrap/>
            <w:vAlign w:val="center"/>
          </w:tcPr>
          <w:p>
            <w:pPr>
              <w:jc w:val="center"/>
              <w:rPr>
                <w:color w:val="1C1C1C"/>
              </w:rPr>
            </w:pPr>
            <w:r>
              <w:rPr>
                <w:rFonts w:hint="eastAsia"/>
                <w:color w:val="1C1C1C"/>
              </w:rPr>
              <w:t>河北省</w:t>
            </w:r>
          </w:p>
        </w:tc>
        <w:tc>
          <w:tcPr>
            <w:tcW w:w="1546" w:type="dxa"/>
            <w:noWrap/>
            <w:vAlign w:val="center"/>
          </w:tcPr>
          <w:p>
            <w:pPr>
              <w:jc w:val="center"/>
              <w:rPr>
                <w:color w:val="1C1C1C"/>
              </w:rPr>
            </w:pPr>
            <w:r>
              <w:rPr>
                <w:rFonts w:hint="eastAsia"/>
                <w:color w:val="1C1C1C"/>
              </w:rPr>
              <w:t>石家庄市</w:t>
            </w:r>
          </w:p>
        </w:tc>
        <w:tc>
          <w:tcPr>
            <w:tcW w:w="1915" w:type="dxa"/>
            <w:noWrap/>
            <w:vAlign w:val="center"/>
          </w:tcPr>
          <w:p>
            <w:pPr>
              <w:jc w:val="center"/>
              <w:textAlignment w:val="center"/>
              <w:rPr>
                <w:color w:val="1C1C1C"/>
                <w:lang w:bidi="ar"/>
              </w:rPr>
            </w:pPr>
            <w:r>
              <w:rPr>
                <w:rFonts w:hint="eastAsia"/>
                <w:color w:val="1C1C1C"/>
                <w:lang w:bidi="ar"/>
              </w:rPr>
              <w:t xml:space="preserve">1120 </w:t>
            </w:r>
          </w:p>
        </w:tc>
        <w:tc>
          <w:tcPr>
            <w:tcW w:w="2502" w:type="dxa"/>
            <w:noWrap/>
            <w:vAlign w:val="center"/>
          </w:tcPr>
          <w:p>
            <w:pPr>
              <w:jc w:val="center"/>
              <w:textAlignment w:val="center"/>
              <w:rPr>
                <w:color w:val="1C1C1C"/>
                <w:lang w:bidi="ar"/>
              </w:rPr>
            </w:pPr>
            <w:r>
              <w:rPr>
                <w:rFonts w:hint="eastAsia"/>
                <w:color w:val="1C1C1C"/>
                <w:lang w:bidi="ar"/>
              </w:rPr>
              <w:t xml:space="preserve">2392.5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w:t>
            </w:r>
          </w:p>
        </w:tc>
        <w:tc>
          <w:tcPr>
            <w:tcW w:w="2316" w:type="dxa"/>
            <w:noWrap/>
            <w:vAlign w:val="center"/>
          </w:tcPr>
          <w:p>
            <w:pPr>
              <w:jc w:val="center"/>
              <w:rPr>
                <w:color w:val="1C1C1C"/>
              </w:rPr>
            </w:pPr>
            <w:r>
              <w:rPr>
                <w:rFonts w:hint="eastAsia"/>
                <w:color w:val="1C1C1C"/>
              </w:rPr>
              <w:t>河北省</w:t>
            </w:r>
          </w:p>
        </w:tc>
        <w:tc>
          <w:tcPr>
            <w:tcW w:w="1546" w:type="dxa"/>
            <w:noWrap/>
            <w:vAlign w:val="center"/>
          </w:tcPr>
          <w:p>
            <w:pPr>
              <w:jc w:val="center"/>
              <w:rPr>
                <w:color w:val="1C1C1C"/>
              </w:rPr>
            </w:pPr>
            <w:r>
              <w:rPr>
                <w:rFonts w:hint="eastAsia"/>
                <w:color w:val="1C1C1C"/>
              </w:rPr>
              <w:t>唐山市</w:t>
            </w:r>
          </w:p>
        </w:tc>
        <w:tc>
          <w:tcPr>
            <w:tcW w:w="1915" w:type="dxa"/>
            <w:noWrap/>
            <w:vAlign w:val="center"/>
          </w:tcPr>
          <w:p>
            <w:pPr>
              <w:jc w:val="center"/>
              <w:textAlignment w:val="center"/>
              <w:rPr>
                <w:color w:val="1C1C1C"/>
                <w:lang w:bidi="ar"/>
              </w:rPr>
            </w:pPr>
            <w:r>
              <w:rPr>
                <w:rFonts w:hint="eastAsia"/>
                <w:color w:val="1C1C1C"/>
                <w:lang w:bidi="ar"/>
              </w:rPr>
              <w:t xml:space="preserve">770 </w:t>
            </w:r>
          </w:p>
        </w:tc>
        <w:tc>
          <w:tcPr>
            <w:tcW w:w="2502" w:type="dxa"/>
            <w:noWrap/>
            <w:vAlign w:val="center"/>
          </w:tcPr>
          <w:p>
            <w:pPr>
              <w:jc w:val="center"/>
              <w:textAlignment w:val="center"/>
              <w:rPr>
                <w:color w:val="1C1C1C"/>
                <w:lang w:bidi="ar"/>
              </w:rPr>
            </w:pPr>
            <w:r>
              <w:rPr>
                <w:rFonts w:hint="eastAsia"/>
                <w:color w:val="1C1C1C"/>
                <w:lang w:bidi="ar"/>
              </w:rPr>
              <w:t xml:space="preserve">2143.2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w:t>
            </w:r>
          </w:p>
        </w:tc>
        <w:tc>
          <w:tcPr>
            <w:tcW w:w="2316" w:type="dxa"/>
            <w:noWrap/>
            <w:vAlign w:val="center"/>
          </w:tcPr>
          <w:p>
            <w:pPr>
              <w:jc w:val="center"/>
              <w:rPr>
                <w:color w:val="1C1C1C"/>
              </w:rPr>
            </w:pPr>
            <w:r>
              <w:rPr>
                <w:rFonts w:hint="eastAsia"/>
                <w:color w:val="1C1C1C"/>
              </w:rPr>
              <w:t>河北省</w:t>
            </w:r>
          </w:p>
        </w:tc>
        <w:tc>
          <w:tcPr>
            <w:tcW w:w="1546" w:type="dxa"/>
            <w:noWrap/>
            <w:vAlign w:val="center"/>
          </w:tcPr>
          <w:p>
            <w:pPr>
              <w:jc w:val="center"/>
              <w:rPr>
                <w:color w:val="1C1C1C"/>
              </w:rPr>
            </w:pPr>
            <w:r>
              <w:rPr>
                <w:rFonts w:hint="eastAsia"/>
                <w:color w:val="1C1C1C"/>
              </w:rPr>
              <w:t>邯郸市</w:t>
            </w:r>
          </w:p>
        </w:tc>
        <w:tc>
          <w:tcPr>
            <w:tcW w:w="1915" w:type="dxa"/>
            <w:noWrap/>
            <w:vAlign w:val="center"/>
          </w:tcPr>
          <w:p>
            <w:pPr>
              <w:jc w:val="center"/>
              <w:textAlignment w:val="center"/>
              <w:rPr>
                <w:color w:val="1C1C1C"/>
                <w:lang w:bidi="ar"/>
              </w:rPr>
            </w:pPr>
            <w:r>
              <w:rPr>
                <w:rFonts w:hint="eastAsia"/>
                <w:color w:val="1C1C1C"/>
                <w:lang w:bidi="ar"/>
              </w:rPr>
              <w:t xml:space="preserve">941 </w:t>
            </w:r>
          </w:p>
        </w:tc>
        <w:tc>
          <w:tcPr>
            <w:tcW w:w="2502" w:type="dxa"/>
            <w:noWrap/>
            <w:vAlign w:val="center"/>
          </w:tcPr>
          <w:p>
            <w:pPr>
              <w:jc w:val="center"/>
              <w:textAlignment w:val="center"/>
              <w:rPr>
                <w:color w:val="1C1C1C"/>
                <w:lang w:bidi="ar"/>
              </w:rPr>
            </w:pPr>
            <w:r>
              <w:rPr>
                <w:rFonts w:hint="eastAsia"/>
                <w:color w:val="1C1C1C"/>
                <w:lang w:bidi="ar"/>
              </w:rPr>
              <w:t xml:space="preserve">1276.0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w:t>
            </w:r>
          </w:p>
        </w:tc>
        <w:tc>
          <w:tcPr>
            <w:tcW w:w="2316" w:type="dxa"/>
            <w:noWrap/>
            <w:vAlign w:val="center"/>
          </w:tcPr>
          <w:p>
            <w:pPr>
              <w:jc w:val="center"/>
              <w:rPr>
                <w:color w:val="1C1C1C"/>
              </w:rPr>
            </w:pPr>
            <w:r>
              <w:rPr>
                <w:rFonts w:hint="eastAsia"/>
                <w:color w:val="1C1C1C"/>
              </w:rPr>
              <w:t>河北省</w:t>
            </w:r>
          </w:p>
        </w:tc>
        <w:tc>
          <w:tcPr>
            <w:tcW w:w="1546" w:type="dxa"/>
            <w:noWrap/>
            <w:vAlign w:val="center"/>
          </w:tcPr>
          <w:p>
            <w:pPr>
              <w:jc w:val="center"/>
              <w:rPr>
                <w:color w:val="1C1C1C"/>
              </w:rPr>
            </w:pPr>
            <w:r>
              <w:rPr>
                <w:rFonts w:hint="eastAsia"/>
                <w:color w:val="1C1C1C"/>
              </w:rPr>
              <w:t>保定市</w:t>
            </w:r>
          </w:p>
        </w:tc>
        <w:tc>
          <w:tcPr>
            <w:tcW w:w="1915" w:type="dxa"/>
            <w:noWrap/>
            <w:vAlign w:val="center"/>
          </w:tcPr>
          <w:p>
            <w:pPr>
              <w:jc w:val="center"/>
              <w:textAlignment w:val="center"/>
              <w:rPr>
                <w:color w:val="1C1C1C"/>
                <w:lang w:bidi="ar"/>
              </w:rPr>
            </w:pPr>
            <w:r>
              <w:rPr>
                <w:rFonts w:hint="eastAsia"/>
                <w:color w:val="1C1C1C"/>
                <w:lang w:bidi="ar"/>
              </w:rPr>
              <w:t xml:space="preserve">920 </w:t>
            </w:r>
          </w:p>
        </w:tc>
        <w:tc>
          <w:tcPr>
            <w:tcW w:w="2502" w:type="dxa"/>
            <w:noWrap/>
            <w:vAlign w:val="center"/>
          </w:tcPr>
          <w:p>
            <w:pPr>
              <w:jc w:val="center"/>
              <w:textAlignment w:val="center"/>
              <w:rPr>
                <w:color w:val="1C1C1C"/>
                <w:lang w:bidi="ar"/>
              </w:rPr>
            </w:pPr>
            <w:r>
              <w:rPr>
                <w:rFonts w:hint="eastAsia"/>
                <w:color w:val="1C1C1C"/>
                <w:lang w:bidi="ar"/>
              </w:rPr>
              <w:t xml:space="preserve">1490.5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w:t>
            </w:r>
          </w:p>
        </w:tc>
        <w:tc>
          <w:tcPr>
            <w:tcW w:w="2316" w:type="dxa"/>
            <w:noWrap/>
            <w:vAlign w:val="center"/>
          </w:tcPr>
          <w:p>
            <w:pPr>
              <w:jc w:val="center"/>
              <w:rPr>
                <w:color w:val="1C1C1C"/>
              </w:rPr>
            </w:pPr>
            <w:r>
              <w:rPr>
                <w:rFonts w:hint="eastAsia"/>
                <w:color w:val="1C1C1C"/>
              </w:rPr>
              <w:t>山西省</w:t>
            </w:r>
          </w:p>
        </w:tc>
        <w:tc>
          <w:tcPr>
            <w:tcW w:w="1546" w:type="dxa"/>
            <w:noWrap/>
            <w:vAlign w:val="center"/>
          </w:tcPr>
          <w:p>
            <w:pPr>
              <w:jc w:val="center"/>
              <w:rPr>
                <w:color w:val="1C1C1C"/>
              </w:rPr>
            </w:pPr>
            <w:r>
              <w:rPr>
                <w:rFonts w:hint="eastAsia"/>
                <w:color w:val="1C1C1C"/>
              </w:rPr>
              <w:t>太原市</w:t>
            </w:r>
          </w:p>
        </w:tc>
        <w:tc>
          <w:tcPr>
            <w:tcW w:w="1915" w:type="dxa"/>
            <w:noWrap/>
            <w:vAlign w:val="center"/>
          </w:tcPr>
          <w:p>
            <w:pPr>
              <w:jc w:val="center"/>
              <w:textAlignment w:val="center"/>
              <w:rPr>
                <w:color w:val="1C1C1C"/>
                <w:lang w:bidi="ar"/>
              </w:rPr>
            </w:pPr>
            <w:r>
              <w:rPr>
                <w:rFonts w:hint="eastAsia"/>
                <w:color w:val="1C1C1C"/>
                <w:lang w:bidi="ar"/>
              </w:rPr>
              <w:t xml:space="preserve">539 </w:t>
            </w:r>
          </w:p>
        </w:tc>
        <w:tc>
          <w:tcPr>
            <w:tcW w:w="2502" w:type="dxa"/>
            <w:noWrap/>
            <w:vAlign w:val="center"/>
          </w:tcPr>
          <w:p>
            <w:pPr>
              <w:jc w:val="center"/>
              <w:textAlignment w:val="center"/>
              <w:rPr>
                <w:color w:val="1C1C1C"/>
                <w:lang w:bidi="ar"/>
              </w:rPr>
            </w:pPr>
            <w:r>
              <w:rPr>
                <w:rFonts w:hint="eastAsia"/>
                <w:color w:val="1C1C1C"/>
                <w:lang w:bidi="ar"/>
              </w:rPr>
              <w:t xml:space="preserve">1873.9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w:t>
            </w:r>
          </w:p>
        </w:tc>
        <w:tc>
          <w:tcPr>
            <w:tcW w:w="2316" w:type="dxa"/>
            <w:noWrap/>
            <w:vAlign w:val="center"/>
          </w:tcPr>
          <w:p>
            <w:pPr>
              <w:jc w:val="center"/>
              <w:rPr>
                <w:color w:val="1C1C1C"/>
              </w:rPr>
            </w:pPr>
            <w:r>
              <w:rPr>
                <w:rFonts w:hint="eastAsia"/>
                <w:color w:val="1C1C1C"/>
              </w:rPr>
              <w:t>山西省</w:t>
            </w:r>
          </w:p>
        </w:tc>
        <w:tc>
          <w:tcPr>
            <w:tcW w:w="1546" w:type="dxa"/>
            <w:noWrap/>
            <w:vAlign w:val="center"/>
          </w:tcPr>
          <w:p>
            <w:pPr>
              <w:jc w:val="center"/>
              <w:rPr>
                <w:color w:val="1C1C1C"/>
              </w:rPr>
            </w:pPr>
            <w:r>
              <w:rPr>
                <w:rFonts w:hint="eastAsia"/>
                <w:color w:val="1C1C1C"/>
              </w:rPr>
              <w:t>大同市</w:t>
            </w:r>
          </w:p>
        </w:tc>
        <w:tc>
          <w:tcPr>
            <w:tcW w:w="1915" w:type="dxa"/>
            <w:noWrap/>
            <w:vAlign w:val="center"/>
          </w:tcPr>
          <w:p>
            <w:pPr>
              <w:jc w:val="center"/>
              <w:textAlignment w:val="center"/>
              <w:rPr>
                <w:color w:val="1C1C1C"/>
                <w:lang w:bidi="ar"/>
              </w:rPr>
            </w:pPr>
            <w:r>
              <w:rPr>
                <w:rFonts w:hint="eastAsia"/>
                <w:color w:val="1C1C1C"/>
                <w:lang w:bidi="ar"/>
              </w:rPr>
              <w:t xml:space="preserve">310 </w:t>
            </w:r>
          </w:p>
        </w:tc>
        <w:tc>
          <w:tcPr>
            <w:tcW w:w="2502" w:type="dxa"/>
            <w:noWrap/>
            <w:vAlign w:val="center"/>
          </w:tcPr>
          <w:p>
            <w:pPr>
              <w:jc w:val="center"/>
              <w:textAlignment w:val="center"/>
              <w:rPr>
                <w:color w:val="1C1C1C"/>
                <w:lang w:bidi="ar"/>
              </w:rPr>
            </w:pPr>
            <w:r>
              <w:rPr>
                <w:rFonts w:hint="eastAsia"/>
                <w:color w:val="1C1C1C"/>
                <w:lang w:bidi="ar"/>
              </w:rPr>
              <w:t xml:space="preserve">760.9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w:t>
            </w:r>
          </w:p>
        </w:tc>
        <w:tc>
          <w:tcPr>
            <w:tcW w:w="2316" w:type="dxa"/>
            <w:noWrap/>
            <w:vAlign w:val="center"/>
          </w:tcPr>
          <w:p>
            <w:pPr>
              <w:jc w:val="center"/>
              <w:rPr>
                <w:color w:val="1C1C1C"/>
              </w:rPr>
            </w:pPr>
            <w:r>
              <w:rPr>
                <w:rFonts w:hint="eastAsia"/>
                <w:color w:val="1C1C1C"/>
              </w:rPr>
              <w:t>山西省</w:t>
            </w:r>
          </w:p>
        </w:tc>
        <w:tc>
          <w:tcPr>
            <w:tcW w:w="1546" w:type="dxa"/>
            <w:noWrap/>
            <w:vAlign w:val="center"/>
          </w:tcPr>
          <w:p>
            <w:pPr>
              <w:jc w:val="center"/>
              <w:rPr>
                <w:color w:val="1C1C1C"/>
              </w:rPr>
            </w:pPr>
            <w:r>
              <w:rPr>
                <w:rFonts w:hint="eastAsia"/>
                <w:color w:val="1C1C1C"/>
              </w:rPr>
              <w:t>运城市</w:t>
            </w:r>
          </w:p>
        </w:tc>
        <w:tc>
          <w:tcPr>
            <w:tcW w:w="1915" w:type="dxa"/>
            <w:noWrap/>
            <w:vAlign w:val="center"/>
          </w:tcPr>
          <w:p>
            <w:pPr>
              <w:jc w:val="center"/>
              <w:textAlignment w:val="center"/>
              <w:rPr>
                <w:color w:val="1C1C1C"/>
                <w:lang w:bidi="ar"/>
              </w:rPr>
            </w:pPr>
            <w:r>
              <w:rPr>
                <w:rFonts w:hint="eastAsia"/>
                <w:color w:val="1C1C1C"/>
                <w:lang w:bidi="ar"/>
              </w:rPr>
              <w:t xml:space="preserve">473 </w:t>
            </w:r>
          </w:p>
        </w:tc>
        <w:tc>
          <w:tcPr>
            <w:tcW w:w="2502" w:type="dxa"/>
            <w:noWrap/>
            <w:vAlign w:val="center"/>
          </w:tcPr>
          <w:p>
            <w:pPr>
              <w:jc w:val="center"/>
              <w:textAlignment w:val="center"/>
              <w:rPr>
                <w:color w:val="1C1C1C"/>
                <w:lang w:bidi="ar"/>
              </w:rPr>
            </w:pPr>
            <w:r>
              <w:rPr>
                <w:rFonts w:hint="eastAsia"/>
                <w:color w:val="1C1C1C"/>
                <w:lang w:bidi="ar"/>
              </w:rPr>
              <w:t xml:space="preserve">825.8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10</w:t>
            </w:r>
          </w:p>
        </w:tc>
        <w:tc>
          <w:tcPr>
            <w:tcW w:w="2316" w:type="dxa"/>
            <w:noWrap/>
            <w:vAlign w:val="center"/>
          </w:tcPr>
          <w:p>
            <w:pPr>
              <w:jc w:val="center"/>
              <w:rPr>
                <w:color w:val="1C1C1C"/>
              </w:rPr>
            </w:pPr>
            <w:r>
              <w:rPr>
                <w:rFonts w:hint="eastAsia"/>
                <w:color w:val="1C1C1C"/>
              </w:rPr>
              <w:t>内蒙古自治区</w:t>
            </w:r>
          </w:p>
        </w:tc>
        <w:tc>
          <w:tcPr>
            <w:tcW w:w="1546" w:type="dxa"/>
            <w:noWrap/>
            <w:vAlign w:val="center"/>
          </w:tcPr>
          <w:p>
            <w:pPr>
              <w:jc w:val="center"/>
              <w:rPr>
                <w:color w:val="1C1C1C"/>
              </w:rPr>
            </w:pPr>
            <w:r>
              <w:rPr>
                <w:rFonts w:hint="eastAsia"/>
                <w:color w:val="1C1C1C"/>
              </w:rPr>
              <w:t>呼和浩特市</w:t>
            </w:r>
          </w:p>
        </w:tc>
        <w:tc>
          <w:tcPr>
            <w:tcW w:w="1915" w:type="dxa"/>
            <w:noWrap/>
            <w:vAlign w:val="center"/>
          </w:tcPr>
          <w:p>
            <w:pPr>
              <w:jc w:val="center"/>
              <w:textAlignment w:val="center"/>
              <w:rPr>
                <w:color w:val="1C1C1C"/>
                <w:lang w:bidi="ar"/>
              </w:rPr>
            </w:pPr>
            <w:r>
              <w:rPr>
                <w:rFonts w:hint="eastAsia"/>
                <w:color w:val="1C1C1C"/>
                <w:lang w:bidi="ar"/>
              </w:rPr>
              <w:t xml:space="preserve">350 </w:t>
            </w:r>
          </w:p>
        </w:tc>
        <w:tc>
          <w:tcPr>
            <w:tcW w:w="2502" w:type="dxa"/>
            <w:noWrap/>
            <w:vAlign w:val="center"/>
          </w:tcPr>
          <w:p>
            <w:pPr>
              <w:jc w:val="center"/>
              <w:textAlignment w:val="center"/>
              <w:rPr>
                <w:color w:val="1C1C1C"/>
                <w:lang w:bidi="ar"/>
              </w:rPr>
            </w:pPr>
            <w:r>
              <w:rPr>
                <w:rFonts w:hint="eastAsia"/>
                <w:color w:val="1C1C1C"/>
                <w:lang w:bidi="ar"/>
              </w:rPr>
              <w:t xml:space="preserve">1104.7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11</w:t>
            </w:r>
          </w:p>
        </w:tc>
        <w:tc>
          <w:tcPr>
            <w:tcW w:w="2316" w:type="dxa"/>
            <w:noWrap/>
            <w:vAlign w:val="center"/>
          </w:tcPr>
          <w:p>
            <w:pPr>
              <w:jc w:val="center"/>
              <w:rPr>
                <w:color w:val="1C1C1C"/>
              </w:rPr>
            </w:pPr>
            <w:r>
              <w:rPr>
                <w:rFonts w:hint="eastAsia"/>
                <w:color w:val="1C1C1C"/>
              </w:rPr>
              <w:t>内蒙古自治区</w:t>
            </w:r>
          </w:p>
        </w:tc>
        <w:tc>
          <w:tcPr>
            <w:tcW w:w="1546" w:type="dxa"/>
            <w:noWrap/>
            <w:vAlign w:val="center"/>
          </w:tcPr>
          <w:p>
            <w:pPr>
              <w:jc w:val="center"/>
              <w:rPr>
                <w:color w:val="1C1C1C"/>
              </w:rPr>
            </w:pPr>
            <w:r>
              <w:rPr>
                <w:rFonts w:hint="eastAsia"/>
                <w:color w:val="1C1C1C"/>
              </w:rPr>
              <w:t>包头市</w:t>
            </w:r>
          </w:p>
        </w:tc>
        <w:tc>
          <w:tcPr>
            <w:tcW w:w="1915" w:type="dxa"/>
            <w:noWrap/>
            <w:vAlign w:val="center"/>
          </w:tcPr>
          <w:p>
            <w:pPr>
              <w:jc w:val="center"/>
              <w:textAlignment w:val="center"/>
              <w:rPr>
                <w:color w:val="1C1C1C"/>
                <w:lang w:bidi="ar"/>
              </w:rPr>
            </w:pPr>
            <w:r>
              <w:rPr>
                <w:rFonts w:hint="eastAsia"/>
                <w:color w:val="1C1C1C"/>
                <w:lang w:bidi="ar"/>
              </w:rPr>
              <w:t xml:space="preserve">272 </w:t>
            </w:r>
          </w:p>
        </w:tc>
        <w:tc>
          <w:tcPr>
            <w:tcW w:w="2502" w:type="dxa"/>
            <w:noWrap/>
            <w:vAlign w:val="center"/>
          </w:tcPr>
          <w:p>
            <w:pPr>
              <w:jc w:val="center"/>
              <w:textAlignment w:val="center"/>
              <w:rPr>
                <w:color w:val="1C1C1C"/>
                <w:lang w:bidi="ar"/>
              </w:rPr>
            </w:pPr>
            <w:r>
              <w:rPr>
                <w:rFonts w:hint="eastAsia"/>
                <w:color w:val="1C1C1C"/>
                <w:lang w:bidi="ar"/>
              </w:rPr>
              <w:t xml:space="preserve">1061.1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12</w:t>
            </w:r>
          </w:p>
        </w:tc>
        <w:tc>
          <w:tcPr>
            <w:tcW w:w="2316" w:type="dxa"/>
            <w:noWrap/>
            <w:vAlign w:val="center"/>
          </w:tcPr>
          <w:p>
            <w:pPr>
              <w:jc w:val="center"/>
              <w:rPr>
                <w:color w:val="1C1C1C"/>
              </w:rPr>
            </w:pPr>
            <w:r>
              <w:rPr>
                <w:rFonts w:hint="eastAsia"/>
                <w:color w:val="1C1C1C"/>
              </w:rPr>
              <w:t>内蒙古自治区</w:t>
            </w:r>
          </w:p>
        </w:tc>
        <w:tc>
          <w:tcPr>
            <w:tcW w:w="1546" w:type="dxa"/>
            <w:noWrap/>
            <w:vAlign w:val="center"/>
          </w:tcPr>
          <w:p>
            <w:pPr>
              <w:jc w:val="center"/>
              <w:rPr>
                <w:color w:val="1C1C1C"/>
              </w:rPr>
            </w:pPr>
            <w:r>
              <w:rPr>
                <w:rFonts w:hint="eastAsia"/>
                <w:color w:val="1C1C1C"/>
              </w:rPr>
              <w:t>鄂尔多斯市</w:t>
            </w:r>
          </w:p>
        </w:tc>
        <w:tc>
          <w:tcPr>
            <w:tcW w:w="1915" w:type="dxa"/>
            <w:noWrap/>
            <w:vAlign w:val="center"/>
          </w:tcPr>
          <w:p>
            <w:pPr>
              <w:jc w:val="center"/>
              <w:textAlignment w:val="center"/>
              <w:rPr>
                <w:color w:val="1C1C1C"/>
                <w:lang w:bidi="ar"/>
              </w:rPr>
            </w:pPr>
            <w:r>
              <w:rPr>
                <w:rFonts w:hint="eastAsia"/>
                <w:color w:val="1C1C1C"/>
                <w:lang w:bidi="ar"/>
              </w:rPr>
              <w:t xml:space="preserve">217 </w:t>
            </w:r>
          </w:p>
        </w:tc>
        <w:tc>
          <w:tcPr>
            <w:tcW w:w="2502" w:type="dxa"/>
            <w:noWrap/>
            <w:vAlign w:val="center"/>
          </w:tcPr>
          <w:p>
            <w:pPr>
              <w:jc w:val="center"/>
              <w:textAlignment w:val="center"/>
              <w:rPr>
                <w:color w:val="1C1C1C"/>
                <w:lang w:bidi="ar"/>
              </w:rPr>
            </w:pPr>
            <w:r>
              <w:rPr>
                <w:rFonts w:hint="eastAsia"/>
                <w:color w:val="1C1C1C"/>
                <w:lang w:bidi="ar"/>
              </w:rPr>
              <w:t xml:space="preserve">608.3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13</w:t>
            </w:r>
          </w:p>
        </w:tc>
        <w:tc>
          <w:tcPr>
            <w:tcW w:w="2316" w:type="dxa"/>
            <w:noWrap/>
            <w:vAlign w:val="center"/>
          </w:tcPr>
          <w:p>
            <w:pPr>
              <w:jc w:val="center"/>
              <w:rPr>
                <w:color w:val="1C1C1C"/>
              </w:rPr>
            </w:pPr>
            <w:r>
              <w:rPr>
                <w:rFonts w:hint="eastAsia"/>
                <w:color w:val="1C1C1C"/>
              </w:rPr>
              <w:t>辽宁省</w:t>
            </w:r>
          </w:p>
        </w:tc>
        <w:tc>
          <w:tcPr>
            <w:tcW w:w="1546" w:type="dxa"/>
            <w:noWrap/>
            <w:vAlign w:val="center"/>
          </w:tcPr>
          <w:p>
            <w:pPr>
              <w:jc w:val="center"/>
              <w:rPr>
                <w:color w:val="1C1C1C"/>
              </w:rPr>
            </w:pPr>
            <w:r>
              <w:rPr>
                <w:rFonts w:hint="eastAsia"/>
                <w:color w:val="1C1C1C"/>
              </w:rPr>
              <w:t>沈阳市</w:t>
            </w:r>
          </w:p>
        </w:tc>
        <w:tc>
          <w:tcPr>
            <w:tcW w:w="1915" w:type="dxa"/>
            <w:noWrap/>
            <w:vAlign w:val="center"/>
          </w:tcPr>
          <w:p>
            <w:pPr>
              <w:jc w:val="center"/>
              <w:textAlignment w:val="center"/>
              <w:rPr>
                <w:color w:val="1C1C1C"/>
                <w:lang w:bidi="ar"/>
              </w:rPr>
            </w:pPr>
            <w:r>
              <w:rPr>
                <w:rFonts w:hint="eastAsia"/>
                <w:color w:val="1C1C1C"/>
                <w:lang w:bidi="ar"/>
              </w:rPr>
              <w:t xml:space="preserve">912 </w:t>
            </w:r>
          </w:p>
        </w:tc>
        <w:tc>
          <w:tcPr>
            <w:tcW w:w="2502" w:type="dxa"/>
            <w:noWrap/>
            <w:vAlign w:val="center"/>
          </w:tcPr>
          <w:p>
            <w:pPr>
              <w:jc w:val="center"/>
              <w:textAlignment w:val="center"/>
              <w:rPr>
                <w:color w:val="1C1C1C"/>
                <w:lang w:bidi="ar"/>
              </w:rPr>
            </w:pPr>
            <w:r>
              <w:rPr>
                <w:rFonts w:hint="eastAsia"/>
                <w:color w:val="1C1C1C"/>
                <w:lang w:bidi="ar"/>
              </w:rPr>
              <w:t xml:space="preserve">3985.1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14</w:t>
            </w:r>
          </w:p>
        </w:tc>
        <w:tc>
          <w:tcPr>
            <w:tcW w:w="2316" w:type="dxa"/>
            <w:noWrap/>
            <w:vAlign w:val="center"/>
          </w:tcPr>
          <w:p>
            <w:pPr>
              <w:jc w:val="center"/>
              <w:rPr>
                <w:color w:val="1C1C1C"/>
              </w:rPr>
            </w:pPr>
            <w:r>
              <w:rPr>
                <w:rFonts w:hint="eastAsia"/>
                <w:color w:val="1C1C1C"/>
              </w:rPr>
              <w:t>辽宁省</w:t>
            </w:r>
          </w:p>
        </w:tc>
        <w:tc>
          <w:tcPr>
            <w:tcW w:w="1546" w:type="dxa"/>
            <w:noWrap/>
            <w:vAlign w:val="center"/>
          </w:tcPr>
          <w:p>
            <w:pPr>
              <w:jc w:val="center"/>
              <w:rPr>
                <w:color w:val="1C1C1C"/>
              </w:rPr>
            </w:pPr>
            <w:r>
              <w:rPr>
                <w:rFonts w:hint="eastAsia"/>
                <w:color w:val="1C1C1C"/>
              </w:rPr>
              <w:t>大连市</w:t>
            </w:r>
          </w:p>
        </w:tc>
        <w:tc>
          <w:tcPr>
            <w:tcW w:w="1915" w:type="dxa"/>
            <w:noWrap/>
            <w:vAlign w:val="center"/>
          </w:tcPr>
          <w:p>
            <w:pPr>
              <w:jc w:val="center"/>
              <w:textAlignment w:val="center"/>
              <w:rPr>
                <w:color w:val="1C1C1C"/>
                <w:lang w:bidi="ar"/>
              </w:rPr>
            </w:pPr>
            <w:r>
              <w:rPr>
                <w:rFonts w:hint="eastAsia"/>
                <w:color w:val="1C1C1C"/>
                <w:lang w:bidi="ar"/>
              </w:rPr>
              <w:t xml:space="preserve">743 </w:t>
            </w:r>
          </w:p>
        </w:tc>
        <w:tc>
          <w:tcPr>
            <w:tcW w:w="2502" w:type="dxa"/>
            <w:noWrap/>
            <w:vAlign w:val="center"/>
          </w:tcPr>
          <w:p>
            <w:pPr>
              <w:jc w:val="center"/>
              <w:textAlignment w:val="center"/>
              <w:rPr>
                <w:color w:val="1C1C1C"/>
                <w:lang w:bidi="ar"/>
              </w:rPr>
            </w:pPr>
            <w:r>
              <w:rPr>
                <w:rFonts w:hint="eastAsia"/>
                <w:color w:val="1C1C1C"/>
                <w:lang w:bidi="ar"/>
              </w:rPr>
              <w:t xml:space="preserve">1909.7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15</w:t>
            </w:r>
          </w:p>
        </w:tc>
        <w:tc>
          <w:tcPr>
            <w:tcW w:w="2316" w:type="dxa"/>
            <w:noWrap/>
            <w:vAlign w:val="center"/>
          </w:tcPr>
          <w:p>
            <w:pPr>
              <w:jc w:val="center"/>
              <w:rPr>
                <w:color w:val="1C1C1C"/>
              </w:rPr>
            </w:pPr>
            <w:r>
              <w:rPr>
                <w:rFonts w:hint="eastAsia"/>
                <w:color w:val="1C1C1C"/>
              </w:rPr>
              <w:t>辽宁省</w:t>
            </w:r>
          </w:p>
        </w:tc>
        <w:tc>
          <w:tcPr>
            <w:tcW w:w="1546" w:type="dxa"/>
            <w:noWrap/>
            <w:vAlign w:val="center"/>
          </w:tcPr>
          <w:p>
            <w:pPr>
              <w:jc w:val="center"/>
              <w:rPr>
                <w:color w:val="1C1C1C"/>
              </w:rPr>
            </w:pPr>
            <w:r>
              <w:rPr>
                <w:rFonts w:hint="eastAsia"/>
                <w:color w:val="1C1C1C"/>
              </w:rPr>
              <w:t>鞍山市</w:t>
            </w:r>
          </w:p>
        </w:tc>
        <w:tc>
          <w:tcPr>
            <w:tcW w:w="1915" w:type="dxa"/>
            <w:noWrap/>
            <w:vAlign w:val="center"/>
          </w:tcPr>
          <w:p>
            <w:pPr>
              <w:jc w:val="center"/>
              <w:textAlignment w:val="center"/>
              <w:rPr>
                <w:color w:val="1C1C1C"/>
                <w:lang w:bidi="ar"/>
              </w:rPr>
            </w:pPr>
            <w:r>
              <w:rPr>
                <w:rFonts w:hint="eastAsia"/>
                <w:color w:val="1C1C1C"/>
                <w:lang w:bidi="ar"/>
              </w:rPr>
              <w:t xml:space="preserve">333 </w:t>
            </w:r>
          </w:p>
        </w:tc>
        <w:tc>
          <w:tcPr>
            <w:tcW w:w="2502" w:type="dxa"/>
            <w:noWrap/>
            <w:vAlign w:val="center"/>
          </w:tcPr>
          <w:p>
            <w:pPr>
              <w:jc w:val="center"/>
              <w:textAlignment w:val="center"/>
              <w:rPr>
                <w:color w:val="1C1C1C"/>
                <w:lang w:bidi="ar"/>
              </w:rPr>
            </w:pPr>
            <w:r>
              <w:rPr>
                <w:rFonts w:hint="eastAsia"/>
                <w:color w:val="1C1C1C"/>
                <w:lang w:bidi="ar"/>
              </w:rPr>
              <w:t xml:space="preserve">774.7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16</w:t>
            </w:r>
          </w:p>
        </w:tc>
        <w:tc>
          <w:tcPr>
            <w:tcW w:w="2316" w:type="dxa"/>
            <w:noWrap/>
            <w:vAlign w:val="center"/>
          </w:tcPr>
          <w:p>
            <w:pPr>
              <w:jc w:val="center"/>
              <w:rPr>
                <w:color w:val="1C1C1C"/>
              </w:rPr>
            </w:pPr>
            <w:r>
              <w:rPr>
                <w:rFonts w:hint="eastAsia"/>
                <w:color w:val="1C1C1C"/>
              </w:rPr>
              <w:t>吉林省</w:t>
            </w:r>
          </w:p>
        </w:tc>
        <w:tc>
          <w:tcPr>
            <w:tcW w:w="1546" w:type="dxa"/>
            <w:noWrap/>
            <w:vAlign w:val="center"/>
          </w:tcPr>
          <w:p>
            <w:pPr>
              <w:jc w:val="center"/>
              <w:rPr>
                <w:color w:val="1C1C1C"/>
              </w:rPr>
            </w:pPr>
            <w:r>
              <w:rPr>
                <w:rFonts w:hint="eastAsia"/>
                <w:color w:val="1C1C1C"/>
              </w:rPr>
              <w:t>长春市</w:t>
            </w:r>
          </w:p>
        </w:tc>
        <w:tc>
          <w:tcPr>
            <w:tcW w:w="1915" w:type="dxa"/>
            <w:noWrap/>
            <w:vAlign w:val="center"/>
          </w:tcPr>
          <w:p>
            <w:pPr>
              <w:jc w:val="center"/>
              <w:textAlignment w:val="center"/>
              <w:rPr>
                <w:color w:val="1C1C1C"/>
                <w:lang w:bidi="ar"/>
              </w:rPr>
            </w:pPr>
            <w:r>
              <w:rPr>
                <w:rFonts w:hint="eastAsia"/>
                <w:color w:val="1C1C1C"/>
                <w:lang w:bidi="ar"/>
              </w:rPr>
              <w:t xml:space="preserve">909 </w:t>
            </w:r>
          </w:p>
        </w:tc>
        <w:tc>
          <w:tcPr>
            <w:tcW w:w="2502" w:type="dxa"/>
            <w:noWrap/>
            <w:vAlign w:val="center"/>
          </w:tcPr>
          <w:p>
            <w:pPr>
              <w:jc w:val="center"/>
              <w:textAlignment w:val="center"/>
              <w:rPr>
                <w:color w:val="1C1C1C"/>
                <w:lang w:bidi="ar"/>
              </w:rPr>
            </w:pPr>
            <w:r>
              <w:rPr>
                <w:rFonts w:hint="eastAsia"/>
                <w:color w:val="1C1C1C"/>
                <w:lang w:bidi="ar"/>
              </w:rPr>
              <w:t xml:space="preserve">2219.2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17</w:t>
            </w:r>
          </w:p>
        </w:tc>
        <w:tc>
          <w:tcPr>
            <w:tcW w:w="2316" w:type="dxa"/>
            <w:noWrap/>
            <w:vAlign w:val="center"/>
          </w:tcPr>
          <w:p>
            <w:pPr>
              <w:jc w:val="center"/>
              <w:rPr>
                <w:color w:val="1C1C1C"/>
              </w:rPr>
            </w:pPr>
            <w:r>
              <w:rPr>
                <w:rFonts w:hint="eastAsia"/>
                <w:color w:val="1C1C1C"/>
              </w:rPr>
              <w:t>吉林省</w:t>
            </w:r>
          </w:p>
        </w:tc>
        <w:tc>
          <w:tcPr>
            <w:tcW w:w="1546" w:type="dxa"/>
            <w:noWrap/>
            <w:vAlign w:val="center"/>
          </w:tcPr>
          <w:p>
            <w:pPr>
              <w:jc w:val="center"/>
              <w:rPr>
                <w:color w:val="1C1C1C"/>
              </w:rPr>
            </w:pPr>
            <w:r>
              <w:rPr>
                <w:rFonts w:hint="eastAsia"/>
                <w:color w:val="1C1C1C"/>
              </w:rPr>
              <w:t>吉林市</w:t>
            </w:r>
          </w:p>
        </w:tc>
        <w:tc>
          <w:tcPr>
            <w:tcW w:w="1915" w:type="dxa"/>
            <w:noWrap/>
            <w:vAlign w:val="center"/>
          </w:tcPr>
          <w:p>
            <w:pPr>
              <w:jc w:val="center"/>
              <w:textAlignment w:val="center"/>
              <w:rPr>
                <w:color w:val="1C1C1C"/>
                <w:lang w:bidi="ar"/>
              </w:rPr>
            </w:pPr>
            <w:r>
              <w:rPr>
                <w:rFonts w:hint="eastAsia"/>
                <w:color w:val="1C1C1C"/>
                <w:lang w:bidi="ar"/>
              </w:rPr>
              <w:t xml:space="preserve">355 </w:t>
            </w:r>
          </w:p>
        </w:tc>
        <w:tc>
          <w:tcPr>
            <w:tcW w:w="2502" w:type="dxa"/>
            <w:noWrap/>
            <w:vAlign w:val="center"/>
          </w:tcPr>
          <w:p>
            <w:pPr>
              <w:jc w:val="center"/>
              <w:textAlignment w:val="center"/>
              <w:rPr>
                <w:color w:val="1C1C1C"/>
                <w:lang w:bidi="ar"/>
              </w:rPr>
            </w:pPr>
            <w:r>
              <w:rPr>
                <w:rFonts w:hint="eastAsia"/>
                <w:color w:val="1C1C1C"/>
                <w:lang w:bidi="ar"/>
              </w:rPr>
              <w:t xml:space="preserve">527.8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18</w:t>
            </w:r>
          </w:p>
        </w:tc>
        <w:tc>
          <w:tcPr>
            <w:tcW w:w="2316" w:type="dxa"/>
            <w:noWrap/>
            <w:vAlign w:val="center"/>
          </w:tcPr>
          <w:p>
            <w:pPr>
              <w:jc w:val="center"/>
              <w:rPr>
                <w:color w:val="1C1C1C"/>
              </w:rPr>
            </w:pPr>
            <w:r>
              <w:rPr>
                <w:rFonts w:hint="eastAsia"/>
                <w:color w:val="1C1C1C"/>
              </w:rPr>
              <w:t>吉林省</w:t>
            </w:r>
          </w:p>
        </w:tc>
        <w:tc>
          <w:tcPr>
            <w:tcW w:w="1546" w:type="dxa"/>
            <w:noWrap/>
            <w:vAlign w:val="center"/>
          </w:tcPr>
          <w:p>
            <w:pPr>
              <w:jc w:val="center"/>
              <w:rPr>
                <w:color w:val="1C1C1C"/>
              </w:rPr>
            </w:pPr>
            <w:r>
              <w:rPr>
                <w:rFonts w:hint="eastAsia"/>
                <w:color w:val="1C1C1C"/>
              </w:rPr>
              <w:t>松原市</w:t>
            </w:r>
          </w:p>
        </w:tc>
        <w:tc>
          <w:tcPr>
            <w:tcW w:w="1915" w:type="dxa"/>
            <w:noWrap/>
            <w:vAlign w:val="center"/>
          </w:tcPr>
          <w:p>
            <w:pPr>
              <w:jc w:val="center"/>
              <w:textAlignment w:val="center"/>
              <w:rPr>
                <w:color w:val="1C1C1C"/>
                <w:lang w:bidi="ar"/>
              </w:rPr>
            </w:pPr>
            <w:r>
              <w:rPr>
                <w:rFonts w:hint="eastAsia"/>
                <w:color w:val="1C1C1C"/>
                <w:lang w:bidi="ar"/>
              </w:rPr>
              <w:t xml:space="preserve">219 </w:t>
            </w:r>
          </w:p>
        </w:tc>
        <w:tc>
          <w:tcPr>
            <w:tcW w:w="2502" w:type="dxa"/>
            <w:noWrap/>
            <w:vAlign w:val="center"/>
          </w:tcPr>
          <w:p>
            <w:pPr>
              <w:jc w:val="center"/>
              <w:textAlignment w:val="center"/>
              <w:rPr>
                <w:color w:val="1C1C1C"/>
                <w:lang w:bidi="ar"/>
              </w:rPr>
            </w:pPr>
            <w:r>
              <w:rPr>
                <w:rFonts w:hint="eastAsia"/>
                <w:color w:val="1C1C1C"/>
                <w:lang w:bidi="ar"/>
              </w:rPr>
              <w:t xml:space="preserve">241.8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19</w:t>
            </w:r>
          </w:p>
        </w:tc>
        <w:tc>
          <w:tcPr>
            <w:tcW w:w="2316" w:type="dxa"/>
            <w:noWrap/>
            <w:vAlign w:val="center"/>
          </w:tcPr>
          <w:p>
            <w:pPr>
              <w:jc w:val="center"/>
              <w:rPr>
                <w:color w:val="1C1C1C"/>
              </w:rPr>
            </w:pPr>
            <w:r>
              <w:rPr>
                <w:rFonts w:hint="eastAsia"/>
                <w:color w:val="1C1C1C"/>
              </w:rPr>
              <w:t>黑龙江省</w:t>
            </w:r>
          </w:p>
        </w:tc>
        <w:tc>
          <w:tcPr>
            <w:tcW w:w="1546" w:type="dxa"/>
            <w:noWrap/>
            <w:vAlign w:val="center"/>
          </w:tcPr>
          <w:p>
            <w:pPr>
              <w:jc w:val="center"/>
              <w:rPr>
                <w:color w:val="1C1C1C"/>
              </w:rPr>
            </w:pPr>
            <w:r>
              <w:rPr>
                <w:rFonts w:hint="eastAsia"/>
                <w:color w:val="1C1C1C"/>
              </w:rPr>
              <w:t>哈尔滨市</w:t>
            </w:r>
          </w:p>
        </w:tc>
        <w:tc>
          <w:tcPr>
            <w:tcW w:w="1915" w:type="dxa"/>
            <w:noWrap/>
            <w:vAlign w:val="center"/>
          </w:tcPr>
          <w:p>
            <w:pPr>
              <w:jc w:val="center"/>
              <w:textAlignment w:val="center"/>
              <w:rPr>
                <w:color w:val="1C1C1C"/>
                <w:lang w:bidi="ar"/>
              </w:rPr>
            </w:pPr>
            <w:r>
              <w:rPr>
                <w:rFonts w:hint="eastAsia"/>
                <w:color w:val="1C1C1C"/>
                <w:lang w:bidi="ar"/>
              </w:rPr>
              <w:t xml:space="preserve">989 </w:t>
            </w:r>
          </w:p>
        </w:tc>
        <w:tc>
          <w:tcPr>
            <w:tcW w:w="2502" w:type="dxa"/>
            <w:noWrap/>
            <w:vAlign w:val="center"/>
          </w:tcPr>
          <w:p>
            <w:pPr>
              <w:jc w:val="center"/>
              <w:textAlignment w:val="center"/>
              <w:rPr>
                <w:color w:val="1C1C1C"/>
                <w:lang w:bidi="ar"/>
              </w:rPr>
            </w:pPr>
            <w:r>
              <w:rPr>
                <w:rFonts w:hint="eastAsia"/>
                <w:color w:val="1C1C1C"/>
                <w:lang w:bidi="ar"/>
              </w:rPr>
              <w:t xml:space="preserve">2380.3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20</w:t>
            </w:r>
          </w:p>
        </w:tc>
        <w:tc>
          <w:tcPr>
            <w:tcW w:w="2316" w:type="dxa"/>
            <w:noWrap/>
            <w:vAlign w:val="center"/>
          </w:tcPr>
          <w:p>
            <w:pPr>
              <w:jc w:val="center"/>
              <w:rPr>
                <w:color w:val="1C1C1C"/>
              </w:rPr>
            </w:pPr>
            <w:r>
              <w:rPr>
                <w:rFonts w:hint="eastAsia"/>
                <w:color w:val="1C1C1C"/>
              </w:rPr>
              <w:t>黑龙江省</w:t>
            </w:r>
          </w:p>
        </w:tc>
        <w:tc>
          <w:tcPr>
            <w:tcW w:w="1546" w:type="dxa"/>
            <w:noWrap/>
            <w:vAlign w:val="center"/>
          </w:tcPr>
          <w:p>
            <w:pPr>
              <w:jc w:val="center"/>
              <w:rPr>
                <w:color w:val="1C1C1C"/>
              </w:rPr>
            </w:pPr>
            <w:r>
              <w:rPr>
                <w:rFonts w:hint="eastAsia"/>
                <w:color w:val="1C1C1C"/>
              </w:rPr>
              <w:t>齐齐哈尔市</w:t>
            </w:r>
          </w:p>
        </w:tc>
        <w:tc>
          <w:tcPr>
            <w:tcW w:w="1915" w:type="dxa"/>
            <w:noWrap/>
            <w:vAlign w:val="center"/>
          </w:tcPr>
          <w:p>
            <w:pPr>
              <w:jc w:val="center"/>
              <w:textAlignment w:val="center"/>
              <w:rPr>
                <w:color w:val="1C1C1C"/>
                <w:lang w:bidi="ar"/>
              </w:rPr>
            </w:pPr>
            <w:r>
              <w:rPr>
                <w:rFonts w:hint="eastAsia"/>
                <w:color w:val="1C1C1C"/>
                <w:lang w:bidi="ar"/>
              </w:rPr>
              <w:t xml:space="preserve">407 </w:t>
            </w:r>
          </w:p>
        </w:tc>
        <w:tc>
          <w:tcPr>
            <w:tcW w:w="2502" w:type="dxa"/>
            <w:noWrap/>
            <w:vAlign w:val="center"/>
          </w:tcPr>
          <w:p>
            <w:pPr>
              <w:jc w:val="center"/>
              <w:textAlignment w:val="center"/>
              <w:rPr>
                <w:color w:val="1C1C1C"/>
                <w:lang w:bidi="ar"/>
              </w:rPr>
            </w:pPr>
            <w:r>
              <w:rPr>
                <w:rFonts w:hint="eastAsia"/>
                <w:color w:val="1C1C1C"/>
                <w:lang w:bidi="ar"/>
              </w:rPr>
              <w:t xml:space="preserve">341.1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21</w:t>
            </w:r>
          </w:p>
        </w:tc>
        <w:tc>
          <w:tcPr>
            <w:tcW w:w="2316" w:type="dxa"/>
            <w:noWrap/>
            <w:vAlign w:val="center"/>
          </w:tcPr>
          <w:p>
            <w:pPr>
              <w:jc w:val="center"/>
              <w:rPr>
                <w:color w:val="1C1C1C"/>
              </w:rPr>
            </w:pPr>
            <w:r>
              <w:rPr>
                <w:rFonts w:hint="eastAsia"/>
                <w:color w:val="1C1C1C"/>
              </w:rPr>
              <w:t>黑龙江省</w:t>
            </w:r>
          </w:p>
        </w:tc>
        <w:tc>
          <w:tcPr>
            <w:tcW w:w="1546" w:type="dxa"/>
            <w:noWrap/>
            <w:vAlign w:val="center"/>
          </w:tcPr>
          <w:p>
            <w:pPr>
              <w:jc w:val="center"/>
              <w:rPr>
                <w:color w:val="1C1C1C"/>
              </w:rPr>
            </w:pPr>
            <w:r>
              <w:rPr>
                <w:rFonts w:hint="eastAsia"/>
                <w:color w:val="1C1C1C"/>
              </w:rPr>
              <w:t>大庆市</w:t>
            </w:r>
          </w:p>
        </w:tc>
        <w:tc>
          <w:tcPr>
            <w:tcW w:w="1915" w:type="dxa"/>
            <w:noWrap/>
            <w:vAlign w:val="center"/>
          </w:tcPr>
          <w:p>
            <w:pPr>
              <w:jc w:val="center"/>
              <w:textAlignment w:val="center"/>
              <w:rPr>
                <w:color w:val="1C1C1C"/>
                <w:lang w:bidi="ar"/>
              </w:rPr>
            </w:pPr>
            <w:r>
              <w:rPr>
                <w:rFonts w:hint="eastAsia"/>
                <w:color w:val="1C1C1C"/>
                <w:lang w:bidi="ar"/>
              </w:rPr>
              <w:t xml:space="preserve">275 </w:t>
            </w:r>
          </w:p>
        </w:tc>
        <w:tc>
          <w:tcPr>
            <w:tcW w:w="2502" w:type="dxa"/>
            <w:noWrap/>
            <w:vAlign w:val="center"/>
          </w:tcPr>
          <w:p>
            <w:pPr>
              <w:jc w:val="center"/>
              <w:textAlignment w:val="center"/>
              <w:rPr>
                <w:color w:val="1C1C1C"/>
                <w:lang w:bidi="ar"/>
              </w:rPr>
            </w:pPr>
            <w:r>
              <w:rPr>
                <w:rFonts w:hint="eastAsia"/>
                <w:color w:val="1C1C1C"/>
                <w:lang w:bidi="ar"/>
              </w:rPr>
              <w:t xml:space="preserve">742.6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22</w:t>
            </w:r>
          </w:p>
        </w:tc>
        <w:tc>
          <w:tcPr>
            <w:tcW w:w="2316" w:type="dxa"/>
            <w:noWrap/>
            <w:vAlign w:val="center"/>
          </w:tcPr>
          <w:p>
            <w:pPr>
              <w:jc w:val="center"/>
              <w:rPr>
                <w:color w:val="1C1C1C"/>
              </w:rPr>
            </w:pPr>
            <w:r>
              <w:rPr>
                <w:rFonts w:hint="eastAsia"/>
                <w:color w:val="1C1C1C"/>
              </w:rPr>
              <w:t>上海市</w:t>
            </w:r>
          </w:p>
        </w:tc>
        <w:tc>
          <w:tcPr>
            <w:tcW w:w="1546" w:type="dxa"/>
            <w:noWrap/>
            <w:vAlign w:val="center"/>
          </w:tcPr>
          <w:p>
            <w:pPr>
              <w:jc w:val="center"/>
              <w:rPr>
                <w:color w:val="1C1C1C"/>
              </w:rPr>
            </w:pPr>
            <w:r>
              <w:rPr>
                <w:rFonts w:hint="eastAsia"/>
                <w:color w:val="1C1C1C"/>
              </w:rPr>
              <w:t>上海市</w:t>
            </w:r>
          </w:p>
        </w:tc>
        <w:tc>
          <w:tcPr>
            <w:tcW w:w="1915" w:type="dxa"/>
            <w:noWrap/>
            <w:vAlign w:val="center"/>
          </w:tcPr>
          <w:p>
            <w:pPr>
              <w:jc w:val="center"/>
              <w:textAlignment w:val="center"/>
              <w:rPr>
                <w:color w:val="1C1C1C"/>
                <w:lang w:bidi="ar"/>
              </w:rPr>
            </w:pPr>
            <w:r>
              <w:rPr>
                <w:rFonts w:hint="eastAsia"/>
                <w:color w:val="1C1C1C"/>
                <w:lang w:bidi="ar"/>
              </w:rPr>
              <w:t xml:space="preserve">2489 </w:t>
            </w:r>
          </w:p>
        </w:tc>
        <w:tc>
          <w:tcPr>
            <w:tcW w:w="2502" w:type="dxa"/>
            <w:noWrap/>
            <w:vAlign w:val="center"/>
          </w:tcPr>
          <w:p>
            <w:pPr>
              <w:jc w:val="center"/>
              <w:textAlignment w:val="center"/>
              <w:rPr>
                <w:color w:val="1C1C1C"/>
                <w:lang w:bidi="ar"/>
              </w:rPr>
            </w:pPr>
            <w:r>
              <w:rPr>
                <w:rFonts w:hint="eastAsia"/>
                <w:color w:val="1C1C1C"/>
                <w:lang w:bidi="ar"/>
              </w:rPr>
              <w:t xml:space="preserve">18079.3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23</w:t>
            </w:r>
          </w:p>
        </w:tc>
        <w:tc>
          <w:tcPr>
            <w:tcW w:w="2316" w:type="dxa"/>
            <w:noWrap/>
            <w:vAlign w:val="center"/>
          </w:tcPr>
          <w:p>
            <w:pPr>
              <w:jc w:val="center"/>
              <w:rPr>
                <w:color w:val="1C1C1C"/>
              </w:rPr>
            </w:pPr>
            <w:r>
              <w:rPr>
                <w:rFonts w:hint="eastAsia"/>
                <w:color w:val="1C1C1C"/>
              </w:rPr>
              <w:t>江苏省</w:t>
            </w:r>
          </w:p>
        </w:tc>
        <w:tc>
          <w:tcPr>
            <w:tcW w:w="1546" w:type="dxa"/>
            <w:noWrap/>
            <w:vAlign w:val="center"/>
          </w:tcPr>
          <w:p>
            <w:pPr>
              <w:jc w:val="center"/>
              <w:rPr>
                <w:color w:val="1C1C1C"/>
              </w:rPr>
            </w:pPr>
            <w:r>
              <w:rPr>
                <w:rFonts w:hint="eastAsia"/>
                <w:color w:val="1C1C1C"/>
              </w:rPr>
              <w:t>南京市</w:t>
            </w:r>
          </w:p>
        </w:tc>
        <w:tc>
          <w:tcPr>
            <w:tcW w:w="1915" w:type="dxa"/>
            <w:noWrap/>
            <w:vAlign w:val="center"/>
          </w:tcPr>
          <w:p>
            <w:pPr>
              <w:jc w:val="center"/>
              <w:textAlignment w:val="center"/>
              <w:rPr>
                <w:color w:val="1C1C1C"/>
                <w:lang w:bidi="ar"/>
              </w:rPr>
            </w:pPr>
            <w:r>
              <w:rPr>
                <w:rFonts w:hint="eastAsia"/>
                <w:color w:val="1C1C1C"/>
                <w:lang w:bidi="ar"/>
              </w:rPr>
              <w:t xml:space="preserve">942 </w:t>
            </w:r>
          </w:p>
        </w:tc>
        <w:tc>
          <w:tcPr>
            <w:tcW w:w="2502" w:type="dxa"/>
            <w:noWrap/>
            <w:vAlign w:val="center"/>
          </w:tcPr>
          <w:p>
            <w:pPr>
              <w:jc w:val="center"/>
              <w:textAlignment w:val="center"/>
              <w:rPr>
                <w:color w:val="1C1C1C"/>
                <w:lang w:bidi="ar"/>
              </w:rPr>
            </w:pPr>
            <w:r>
              <w:rPr>
                <w:rFonts w:hint="eastAsia"/>
                <w:color w:val="1C1C1C"/>
                <w:lang w:bidi="ar"/>
              </w:rPr>
              <w:t xml:space="preserve">7899.4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24</w:t>
            </w:r>
          </w:p>
        </w:tc>
        <w:tc>
          <w:tcPr>
            <w:tcW w:w="2316" w:type="dxa"/>
            <w:noWrap/>
            <w:vAlign w:val="center"/>
          </w:tcPr>
          <w:p>
            <w:pPr>
              <w:jc w:val="center"/>
              <w:rPr>
                <w:color w:val="1C1C1C"/>
              </w:rPr>
            </w:pPr>
            <w:r>
              <w:rPr>
                <w:rFonts w:hint="eastAsia"/>
                <w:color w:val="1C1C1C"/>
              </w:rPr>
              <w:t>江苏省</w:t>
            </w:r>
          </w:p>
        </w:tc>
        <w:tc>
          <w:tcPr>
            <w:tcW w:w="1546" w:type="dxa"/>
            <w:noWrap/>
            <w:vAlign w:val="center"/>
          </w:tcPr>
          <w:p>
            <w:pPr>
              <w:jc w:val="center"/>
              <w:rPr>
                <w:color w:val="1C1C1C"/>
              </w:rPr>
            </w:pPr>
            <w:r>
              <w:rPr>
                <w:rFonts w:hint="eastAsia"/>
                <w:color w:val="1C1C1C"/>
              </w:rPr>
              <w:t>无锡市</w:t>
            </w:r>
          </w:p>
        </w:tc>
        <w:tc>
          <w:tcPr>
            <w:tcW w:w="1915" w:type="dxa"/>
            <w:noWrap/>
            <w:vAlign w:val="center"/>
          </w:tcPr>
          <w:p>
            <w:pPr>
              <w:jc w:val="center"/>
              <w:textAlignment w:val="center"/>
              <w:rPr>
                <w:color w:val="1C1C1C"/>
                <w:lang w:bidi="ar"/>
              </w:rPr>
            </w:pPr>
            <w:r>
              <w:rPr>
                <w:rFonts w:hint="eastAsia"/>
                <w:color w:val="1C1C1C"/>
                <w:lang w:bidi="ar"/>
              </w:rPr>
              <w:t xml:space="preserve">748 </w:t>
            </w:r>
          </w:p>
        </w:tc>
        <w:tc>
          <w:tcPr>
            <w:tcW w:w="2502" w:type="dxa"/>
            <w:noWrap/>
            <w:vAlign w:val="center"/>
          </w:tcPr>
          <w:p>
            <w:pPr>
              <w:jc w:val="center"/>
              <w:textAlignment w:val="center"/>
              <w:rPr>
                <w:color w:val="1C1C1C"/>
                <w:lang w:bidi="ar"/>
              </w:rPr>
            </w:pPr>
            <w:r>
              <w:rPr>
                <w:rFonts w:hint="eastAsia"/>
                <w:color w:val="1C1C1C"/>
                <w:lang w:bidi="ar"/>
              </w:rPr>
              <w:t xml:space="preserve">3306.1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25</w:t>
            </w:r>
          </w:p>
        </w:tc>
        <w:tc>
          <w:tcPr>
            <w:tcW w:w="2316" w:type="dxa"/>
            <w:noWrap/>
            <w:vAlign w:val="center"/>
          </w:tcPr>
          <w:p>
            <w:pPr>
              <w:jc w:val="center"/>
              <w:rPr>
                <w:color w:val="1C1C1C"/>
              </w:rPr>
            </w:pPr>
            <w:r>
              <w:rPr>
                <w:rFonts w:hint="eastAsia"/>
                <w:color w:val="1C1C1C"/>
              </w:rPr>
              <w:t>江苏省</w:t>
            </w:r>
          </w:p>
        </w:tc>
        <w:tc>
          <w:tcPr>
            <w:tcW w:w="1546" w:type="dxa"/>
            <w:noWrap/>
            <w:vAlign w:val="center"/>
          </w:tcPr>
          <w:p>
            <w:pPr>
              <w:jc w:val="center"/>
              <w:rPr>
                <w:color w:val="1C1C1C"/>
              </w:rPr>
            </w:pPr>
            <w:r>
              <w:rPr>
                <w:rFonts w:hint="eastAsia"/>
                <w:color w:val="1C1C1C"/>
              </w:rPr>
              <w:t>徐州市</w:t>
            </w:r>
          </w:p>
        </w:tc>
        <w:tc>
          <w:tcPr>
            <w:tcW w:w="1915" w:type="dxa"/>
            <w:noWrap/>
            <w:vAlign w:val="center"/>
          </w:tcPr>
          <w:p>
            <w:pPr>
              <w:jc w:val="center"/>
              <w:textAlignment w:val="center"/>
              <w:rPr>
                <w:color w:val="1C1C1C"/>
                <w:lang w:bidi="ar"/>
              </w:rPr>
            </w:pPr>
            <w:r>
              <w:rPr>
                <w:rFonts w:hint="eastAsia"/>
                <w:color w:val="1C1C1C"/>
                <w:lang w:bidi="ar"/>
              </w:rPr>
              <w:t xml:space="preserve">903 </w:t>
            </w:r>
          </w:p>
        </w:tc>
        <w:tc>
          <w:tcPr>
            <w:tcW w:w="2502" w:type="dxa"/>
            <w:noWrap/>
            <w:vAlign w:val="center"/>
          </w:tcPr>
          <w:p>
            <w:pPr>
              <w:jc w:val="center"/>
              <w:textAlignment w:val="center"/>
              <w:rPr>
                <w:color w:val="1C1C1C"/>
                <w:lang w:bidi="ar"/>
              </w:rPr>
            </w:pPr>
            <w:r>
              <w:rPr>
                <w:rFonts w:hint="eastAsia"/>
                <w:color w:val="1C1C1C"/>
                <w:lang w:bidi="ar"/>
              </w:rPr>
              <w:t xml:space="preserve">4038.0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26</w:t>
            </w:r>
          </w:p>
        </w:tc>
        <w:tc>
          <w:tcPr>
            <w:tcW w:w="2316" w:type="dxa"/>
            <w:noWrap/>
            <w:vAlign w:val="center"/>
          </w:tcPr>
          <w:p>
            <w:pPr>
              <w:jc w:val="center"/>
              <w:rPr>
                <w:color w:val="1C1C1C"/>
              </w:rPr>
            </w:pPr>
            <w:r>
              <w:rPr>
                <w:rFonts w:hint="eastAsia"/>
                <w:color w:val="1C1C1C"/>
              </w:rPr>
              <w:t>江苏省</w:t>
            </w:r>
          </w:p>
        </w:tc>
        <w:tc>
          <w:tcPr>
            <w:tcW w:w="1546" w:type="dxa"/>
            <w:noWrap/>
            <w:vAlign w:val="center"/>
          </w:tcPr>
          <w:p>
            <w:pPr>
              <w:jc w:val="center"/>
              <w:rPr>
                <w:color w:val="1C1C1C"/>
              </w:rPr>
            </w:pPr>
            <w:r>
              <w:rPr>
                <w:rFonts w:hint="eastAsia"/>
                <w:color w:val="1C1C1C"/>
              </w:rPr>
              <w:t>常州市</w:t>
            </w:r>
          </w:p>
        </w:tc>
        <w:tc>
          <w:tcPr>
            <w:tcW w:w="1915" w:type="dxa"/>
            <w:noWrap/>
            <w:vAlign w:val="center"/>
          </w:tcPr>
          <w:p>
            <w:pPr>
              <w:jc w:val="center"/>
              <w:textAlignment w:val="center"/>
              <w:rPr>
                <w:color w:val="1C1C1C"/>
                <w:lang w:bidi="ar"/>
              </w:rPr>
            </w:pPr>
            <w:r>
              <w:rPr>
                <w:rFonts w:hint="eastAsia"/>
                <w:color w:val="1C1C1C"/>
                <w:lang w:bidi="ar"/>
              </w:rPr>
              <w:t xml:space="preserve">535 </w:t>
            </w:r>
          </w:p>
        </w:tc>
        <w:tc>
          <w:tcPr>
            <w:tcW w:w="2502" w:type="dxa"/>
            <w:noWrap/>
            <w:vAlign w:val="center"/>
          </w:tcPr>
          <w:p>
            <w:pPr>
              <w:jc w:val="center"/>
              <w:textAlignment w:val="center"/>
              <w:rPr>
                <w:color w:val="1C1C1C"/>
                <w:lang w:bidi="ar"/>
              </w:rPr>
            </w:pPr>
            <w:r>
              <w:rPr>
                <w:rFonts w:hint="eastAsia"/>
                <w:color w:val="1C1C1C"/>
                <w:lang w:bidi="ar"/>
              </w:rPr>
              <w:t xml:space="preserve">2911.4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27</w:t>
            </w:r>
          </w:p>
        </w:tc>
        <w:tc>
          <w:tcPr>
            <w:tcW w:w="2316" w:type="dxa"/>
            <w:noWrap/>
            <w:vAlign w:val="center"/>
          </w:tcPr>
          <w:p>
            <w:pPr>
              <w:jc w:val="center"/>
              <w:rPr>
                <w:color w:val="1C1C1C"/>
              </w:rPr>
            </w:pPr>
            <w:r>
              <w:rPr>
                <w:rFonts w:hint="eastAsia"/>
                <w:color w:val="1C1C1C"/>
              </w:rPr>
              <w:t>江苏省</w:t>
            </w:r>
          </w:p>
        </w:tc>
        <w:tc>
          <w:tcPr>
            <w:tcW w:w="1546" w:type="dxa"/>
            <w:noWrap/>
            <w:vAlign w:val="center"/>
          </w:tcPr>
          <w:p>
            <w:pPr>
              <w:jc w:val="center"/>
              <w:rPr>
                <w:color w:val="1C1C1C"/>
              </w:rPr>
            </w:pPr>
            <w:r>
              <w:rPr>
                <w:rFonts w:hint="eastAsia"/>
                <w:color w:val="1C1C1C"/>
              </w:rPr>
              <w:t>苏州市</w:t>
            </w:r>
          </w:p>
        </w:tc>
        <w:tc>
          <w:tcPr>
            <w:tcW w:w="1915" w:type="dxa"/>
            <w:noWrap/>
            <w:vAlign w:val="center"/>
          </w:tcPr>
          <w:p>
            <w:pPr>
              <w:jc w:val="center"/>
              <w:textAlignment w:val="center"/>
              <w:rPr>
                <w:color w:val="1C1C1C"/>
                <w:lang w:bidi="ar"/>
              </w:rPr>
            </w:pPr>
            <w:r>
              <w:rPr>
                <w:rFonts w:hint="eastAsia"/>
                <w:color w:val="1C1C1C"/>
                <w:lang w:bidi="ar"/>
              </w:rPr>
              <w:t xml:space="preserve">1285 </w:t>
            </w:r>
          </w:p>
        </w:tc>
        <w:tc>
          <w:tcPr>
            <w:tcW w:w="2502" w:type="dxa"/>
            <w:noWrap/>
            <w:vAlign w:val="center"/>
          </w:tcPr>
          <w:p>
            <w:pPr>
              <w:jc w:val="center"/>
              <w:textAlignment w:val="center"/>
              <w:rPr>
                <w:color w:val="1C1C1C"/>
                <w:lang w:bidi="ar"/>
              </w:rPr>
            </w:pPr>
            <w:r>
              <w:rPr>
                <w:rFonts w:hint="eastAsia"/>
                <w:color w:val="1C1C1C"/>
                <w:lang w:bidi="ar"/>
              </w:rPr>
              <w:t xml:space="preserve">9031.3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28</w:t>
            </w:r>
          </w:p>
        </w:tc>
        <w:tc>
          <w:tcPr>
            <w:tcW w:w="2316" w:type="dxa"/>
            <w:noWrap/>
            <w:vAlign w:val="center"/>
          </w:tcPr>
          <w:p>
            <w:pPr>
              <w:jc w:val="center"/>
              <w:rPr>
                <w:color w:val="1C1C1C"/>
              </w:rPr>
            </w:pPr>
            <w:r>
              <w:rPr>
                <w:rFonts w:hint="eastAsia"/>
                <w:color w:val="1C1C1C"/>
              </w:rPr>
              <w:t>江苏省</w:t>
            </w:r>
          </w:p>
        </w:tc>
        <w:tc>
          <w:tcPr>
            <w:tcW w:w="1546" w:type="dxa"/>
            <w:noWrap/>
            <w:vAlign w:val="center"/>
          </w:tcPr>
          <w:p>
            <w:pPr>
              <w:jc w:val="center"/>
              <w:rPr>
                <w:color w:val="1C1C1C"/>
              </w:rPr>
            </w:pPr>
            <w:r>
              <w:rPr>
                <w:rFonts w:hint="eastAsia"/>
                <w:color w:val="1C1C1C"/>
              </w:rPr>
              <w:t>南通市</w:t>
            </w:r>
          </w:p>
        </w:tc>
        <w:tc>
          <w:tcPr>
            <w:tcW w:w="1915" w:type="dxa"/>
            <w:noWrap/>
            <w:vAlign w:val="center"/>
          </w:tcPr>
          <w:p>
            <w:pPr>
              <w:jc w:val="center"/>
              <w:textAlignment w:val="center"/>
              <w:rPr>
                <w:color w:val="1C1C1C"/>
                <w:lang w:bidi="ar"/>
              </w:rPr>
            </w:pPr>
            <w:r>
              <w:rPr>
                <w:rFonts w:hint="eastAsia"/>
                <w:color w:val="1C1C1C"/>
                <w:lang w:bidi="ar"/>
              </w:rPr>
              <w:t xml:space="preserve">773 </w:t>
            </w:r>
          </w:p>
        </w:tc>
        <w:tc>
          <w:tcPr>
            <w:tcW w:w="2502" w:type="dxa"/>
            <w:noWrap/>
            <w:vAlign w:val="center"/>
          </w:tcPr>
          <w:p>
            <w:pPr>
              <w:jc w:val="center"/>
              <w:textAlignment w:val="center"/>
              <w:rPr>
                <w:color w:val="1C1C1C"/>
                <w:lang w:bidi="ar"/>
              </w:rPr>
            </w:pPr>
            <w:r>
              <w:rPr>
                <w:rFonts w:hint="eastAsia"/>
                <w:color w:val="1C1C1C"/>
                <w:lang w:bidi="ar"/>
              </w:rPr>
              <w:t xml:space="preserve">3935.5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29</w:t>
            </w:r>
          </w:p>
        </w:tc>
        <w:tc>
          <w:tcPr>
            <w:tcW w:w="2316" w:type="dxa"/>
            <w:noWrap/>
            <w:vAlign w:val="center"/>
          </w:tcPr>
          <w:p>
            <w:pPr>
              <w:jc w:val="center"/>
              <w:rPr>
                <w:color w:val="1C1C1C"/>
              </w:rPr>
            </w:pPr>
            <w:r>
              <w:rPr>
                <w:rFonts w:hint="eastAsia"/>
                <w:color w:val="1C1C1C"/>
              </w:rPr>
              <w:t>江苏省</w:t>
            </w:r>
          </w:p>
        </w:tc>
        <w:tc>
          <w:tcPr>
            <w:tcW w:w="1546" w:type="dxa"/>
            <w:noWrap/>
            <w:vAlign w:val="center"/>
          </w:tcPr>
          <w:p>
            <w:pPr>
              <w:jc w:val="center"/>
              <w:rPr>
                <w:color w:val="1C1C1C"/>
              </w:rPr>
            </w:pPr>
            <w:r>
              <w:rPr>
                <w:rFonts w:hint="eastAsia"/>
                <w:color w:val="1C1C1C"/>
              </w:rPr>
              <w:t>盐城市</w:t>
            </w:r>
          </w:p>
        </w:tc>
        <w:tc>
          <w:tcPr>
            <w:tcW w:w="1915" w:type="dxa"/>
            <w:noWrap/>
            <w:vAlign w:val="center"/>
          </w:tcPr>
          <w:p>
            <w:pPr>
              <w:jc w:val="center"/>
              <w:textAlignment w:val="center"/>
              <w:rPr>
                <w:color w:val="1C1C1C"/>
                <w:lang w:bidi="ar"/>
              </w:rPr>
            </w:pPr>
            <w:r>
              <w:rPr>
                <w:rFonts w:hint="eastAsia"/>
                <w:color w:val="1C1C1C"/>
                <w:lang w:bidi="ar"/>
              </w:rPr>
              <w:t xml:space="preserve">671 </w:t>
            </w:r>
          </w:p>
        </w:tc>
        <w:tc>
          <w:tcPr>
            <w:tcW w:w="2502" w:type="dxa"/>
            <w:noWrap/>
            <w:vAlign w:val="center"/>
          </w:tcPr>
          <w:p>
            <w:pPr>
              <w:jc w:val="center"/>
              <w:textAlignment w:val="center"/>
              <w:rPr>
                <w:color w:val="1C1C1C"/>
                <w:lang w:bidi="ar"/>
              </w:rPr>
            </w:pPr>
            <w:r>
              <w:rPr>
                <w:rFonts w:hint="eastAsia"/>
                <w:color w:val="1C1C1C"/>
                <w:lang w:bidi="ar"/>
              </w:rPr>
              <w:t xml:space="preserve">2684.3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30</w:t>
            </w:r>
          </w:p>
        </w:tc>
        <w:tc>
          <w:tcPr>
            <w:tcW w:w="2316" w:type="dxa"/>
            <w:noWrap/>
            <w:vAlign w:val="center"/>
          </w:tcPr>
          <w:p>
            <w:pPr>
              <w:jc w:val="center"/>
              <w:rPr>
                <w:color w:val="1C1C1C"/>
              </w:rPr>
            </w:pPr>
            <w:r>
              <w:rPr>
                <w:rFonts w:hint="eastAsia"/>
                <w:color w:val="1C1C1C"/>
              </w:rPr>
              <w:t>浙江省</w:t>
            </w:r>
          </w:p>
        </w:tc>
        <w:tc>
          <w:tcPr>
            <w:tcW w:w="1546" w:type="dxa"/>
            <w:noWrap/>
            <w:vAlign w:val="center"/>
          </w:tcPr>
          <w:p>
            <w:pPr>
              <w:jc w:val="center"/>
              <w:rPr>
                <w:color w:val="1C1C1C"/>
              </w:rPr>
            </w:pPr>
            <w:r>
              <w:rPr>
                <w:rFonts w:hint="eastAsia"/>
                <w:color w:val="1C1C1C"/>
              </w:rPr>
              <w:t>杭州市</w:t>
            </w:r>
          </w:p>
        </w:tc>
        <w:tc>
          <w:tcPr>
            <w:tcW w:w="1915" w:type="dxa"/>
            <w:noWrap/>
            <w:vAlign w:val="center"/>
          </w:tcPr>
          <w:p>
            <w:pPr>
              <w:jc w:val="center"/>
              <w:textAlignment w:val="center"/>
              <w:rPr>
                <w:color w:val="1C1C1C"/>
                <w:lang w:bidi="ar"/>
              </w:rPr>
            </w:pPr>
            <w:r>
              <w:rPr>
                <w:rFonts w:hint="eastAsia"/>
                <w:color w:val="1C1C1C"/>
                <w:lang w:bidi="ar"/>
              </w:rPr>
              <w:t xml:space="preserve">1220 </w:t>
            </w:r>
          </w:p>
        </w:tc>
        <w:tc>
          <w:tcPr>
            <w:tcW w:w="2502" w:type="dxa"/>
            <w:noWrap/>
            <w:vAlign w:val="center"/>
          </w:tcPr>
          <w:p>
            <w:pPr>
              <w:jc w:val="center"/>
              <w:textAlignment w:val="center"/>
              <w:rPr>
                <w:color w:val="1C1C1C"/>
                <w:lang w:bidi="ar"/>
              </w:rPr>
            </w:pPr>
            <w:r>
              <w:rPr>
                <w:rFonts w:hint="eastAsia"/>
                <w:color w:val="1C1C1C"/>
                <w:lang w:bidi="ar"/>
              </w:rPr>
              <w:t xml:space="preserve">6744.0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31</w:t>
            </w:r>
          </w:p>
        </w:tc>
        <w:tc>
          <w:tcPr>
            <w:tcW w:w="2316" w:type="dxa"/>
            <w:noWrap/>
            <w:vAlign w:val="center"/>
          </w:tcPr>
          <w:p>
            <w:pPr>
              <w:jc w:val="center"/>
              <w:rPr>
                <w:color w:val="1C1C1C"/>
              </w:rPr>
            </w:pPr>
            <w:r>
              <w:rPr>
                <w:rFonts w:hint="eastAsia"/>
                <w:color w:val="1C1C1C"/>
              </w:rPr>
              <w:t>浙江省</w:t>
            </w:r>
          </w:p>
        </w:tc>
        <w:tc>
          <w:tcPr>
            <w:tcW w:w="1546" w:type="dxa"/>
            <w:noWrap/>
            <w:vAlign w:val="center"/>
          </w:tcPr>
          <w:p>
            <w:pPr>
              <w:jc w:val="center"/>
              <w:rPr>
                <w:color w:val="1C1C1C"/>
              </w:rPr>
            </w:pPr>
            <w:r>
              <w:rPr>
                <w:rFonts w:hint="eastAsia"/>
                <w:color w:val="1C1C1C"/>
              </w:rPr>
              <w:t>宁波市</w:t>
            </w:r>
          </w:p>
        </w:tc>
        <w:tc>
          <w:tcPr>
            <w:tcW w:w="1915" w:type="dxa"/>
            <w:noWrap/>
            <w:vAlign w:val="center"/>
          </w:tcPr>
          <w:p>
            <w:pPr>
              <w:jc w:val="center"/>
              <w:textAlignment w:val="center"/>
              <w:rPr>
                <w:color w:val="1C1C1C"/>
                <w:lang w:bidi="ar"/>
              </w:rPr>
            </w:pPr>
            <w:r>
              <w:rPr>
                <w:rFonts w:hint="eastAsia"/>
                <w:color w:val="1C1C1C"/>
                <w:lang w:bidi="ar"/>
              </w:rPr>
              <w:t xml:space="preserve">954 </w:t>
            </w:r>
          </w:p>
        </w:tc>
        <w:tc>
          <w:tcPr>
            <w:tcW w:w="2502" w:type="dxa"/>
            <w:noWrap/>
            <w:vAlign w:val="center"/>
          </w:tcPr>
          <w:p>
            <w:pPr>
              <w:jc w:val="center"/>
              <w:textAlignment w:val="center"/>
              <w:rPr>
                <w:color w:val="1C1C1C"/>
                <w:lang w:bidi="ar"/>
              </w:rPr>
            </w:pPr>
            <w:r>
              <w:rPr>
                <w:rFonts w:hint="eastAsia"/>
                <w:color w:val="1C1C1C"/>
                <w:lang w:bidi="ar"/>
              </w:rPr>
              <w:t xml:space="preserve">4649.1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32</w:t>
            </w:r>
          </w:p>
        </w:tc>
        <w:tc>
          <w:tcPr>
            <w:tcW w:w="2316" w:type="dxa"/>
            <w:noWrap/>
            <w:vAlign w:val="center"/>
          </w:tcPr>
          <w:p>
            <w:pPr>
              <w:jc w:val="center"/>
              <w:rPr>
                <w:color w:val="1C1C1C"/>
              </w:rPr>
            </w:pPr>
            <w:r>
              <w:rPr>
                <w:rFonts w:hint="eastAsia"/>
                <w:color w:val="1C1C1C"/>
              </w:rPr>
              <w:t>浙江省</w:t>
            </w:r>
          </w:p>
        </w:tc>
        <w:tc>
          <w:tcPr>
            <w:tcW w:w="1546" w:type="dxa"/>
            <w:noWrap/>
            <w:vAlign w:val="center"/>
          </w:tcPr>
          <w:p>
            <w:pPr>
              <w:jc w:val="center"/>
              <w:rPr>
                <w:color w:val="1C1C1C"/>
              </w:rPr>
            </w:pPr>
            <w:r>
              <w:rPr>
                <w:rFonts w:hint="eastAsia"/>
                <w:color w:val="1C1C1C"/>
              </w:rPr>
              <w:t>温州市</w:t>
            </w:r>
          </w:p>
        </w:tc>
        <w:tc>
          <w:tcPr>
            <w:tcW w:w="1915" w:type="dxa"/>
            <w:noWrap/>
            <w:vAlign w:val="center"/>
          </w:tcPr>
          <w:p>
            <w:pPr>
              <w:jc w:val="center"/>
              <w:textAlignment w:val="center"/>
              <w:rPr>
                <w:color w:val="1C1C1C"/>
                <w:lang w:bidi="ar"/>
              </w:rPr>
            </w:pPr>
            <w:r>
              <w:rPr>
                <w:rFonts w:hint="eastAsia"/>
                <w:color w:val="1C1C1C"/>
                <w:lang w:bidi="ar"/>
              </w:rPr>
              <w:t xml:space="preserve">965 </w:t>
            </w:r>
          </w:p>
        </w:tc>
        <w:tc>
          <w:tcPr>
            <w:tcW w:w="2502" w:type="dxa"/>
            <w:noWrap/>
            <w:vAlign w:val="center"/>
          </w:tcPr>
          <w:p>
            <w:pPr>
              <w:jc w:val="center"/>
              <w:textAlignment w:val="center"/>
              <w:rPr>
                <w:color w:val="1C1C1C"/>
                <w:lang w:bidi="ar"/>
              </w:rPr>
            </w:pPr>
            <w:r>
              <w:rPr>
                <w:rFonts w:hint="eastAsia"/>
                <w:color w:val="1C1C1C"/>
                <w:lang w:bidi="ar"/>
              </w:rPr>
              <w:t xml:space="preserve">3807.7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33</w:t>
            </w:r>
          </w:p>
        </w:tc>
        <w:tc>
          <w:tcPr>
            <w:tcW w:w="2316" w:type="dxa"/>
            <w:noWrap/>
            <w:vAlign w:val="center"/>
          </w:tcPr>
          <w:p>
            <w:pPr>
              <w:jc w:val="center"/>
              <w:rPr>
                <w:color w:val="1C1C1C"/>
              </w:rPr>
            </w:pPr>
            <w:r>
              <w:rPr>
                <w:rFonts w:hint="eastAsia"/>
                <w:color w:val="1C1C1C"/>
              </w:rPr>
              <w:t>浙江省</w:t>
            </w:r>
          </w:p>
        </w:tc>
        <w:tc>
          <w:tcPr>
            <w:tcW w:w="1546" w:type="dxa"/>
            <w:noWrap/>
            <w:vAlign w:val="center"/>
          </w:tcPr>
          <w:p>
            <w:pPr>
              <w:jc w:val="center"/>
              <w:rPr>
                <w:color w:val="1C1C1C"/>
              </w:rPr>
            </w:pPr>
            <w:r>
              <w:rPr>
                <w:rFonts w:hint="eastAsia"/>
                <w:color w:val="1C1C1C"/>
              </w:rPr>
              <w:t>嘉兴市</w:t>
            </w:r>
          </w:p>
        </w:tc>
        <w:tc>
          <w:tcPr>
            <w:tcW w:w="1915" w:type="dxa"/>
            <w:noWrap/>
            <w:vAlign w:val="center"/>
          </w:tcPr>
          <w:p>
            <w:pPr>
              <w:jc w:val="center"/>
              <w:textAlignment w:val="center"/>
              <w:rPr>
                <w:color w:val="1C1C1C"/>
                <w:lang w:bidi="ar"/>
              </w:rPr>
            </w:pPr>
            <w:r>
              <w:rPr>
                <w:rFonts w:hint="eastAsia"/>
                <w:color w:val="1C1C1C"/>
                <w:lang w:bidi="ar"/>
              </w:rPr>
              <w:t xml:space="preserve">552 </w:t>
            </w:r>
          </w:p>
        </w:tc>
        <w:tc>
          <w:tcPr>
            <w:tcW w:w="2502" w:type="dxa"/>
            <w:noWrap/>
            <w:vAlign w:val="center"/>
          </w:tcPr>
          <w:p>
            <w:pPr>
              <w:jc w:val="center"/>
              <w:textAlignment w:val="center"/>
              <w:rPr>
                <w:color w:val="1C1C1C"/>
                <w:lang w:bidi="ar"/>
              </w:rPr>
            </w:pPr>
            <w:r>
              <w:rPr>
                <w:rFonts w:hint="eastAsia"/>
                <w:color w:val="1C1C1C"/>
                <w:lang w:bidi="ar"/>
              </w:rPr>
              <w:t xml:space="preserve">2275.0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34</w:t>
            </w:r>
          </w:p>
        </w:tc>
        <w:tc>
          <w:tcPr>
            <w:tcW w:w="2316" w:type="dxa"/>
            <w:noWrap/>
            <w:vAlign w:val="center"/>
          </w:tcPr>
          <w:p>
            <w:pPr>
              <w:jc w:val="center"/>
              <w:rPr>
                <w:color w:val="1C1C1C"/>
              </w:rPr>
            </w:pPr>
            <w:r>
              <w:rPr>
                <w:rFonts w:hint="eastAsia"/>
                <w:color w:val="1C1C1C"/>
              </w:rPr>
              <w:t>浙江省</w:t>
            </w:r>
          </w:p>
        </w:tc>
        <w:tc>
          <w:tcPr>
            <w:tcW w:w="1546" w:type="dxa"/>
            <w:noWrap/>
            <w:vAlign w:val="center"/>
          </w:tcPr>
          <w:p>
            <w:pPr>
              <w:jc w:val="center"/>
              <w:rPr>
                <w:color w:val="1C1C1C"/>
              </w:rPr>
            </w:pPr>
            <w:r>
              <w:rPr>
                <w:rFonts w:hint="eastAsia"/>
                <w:color w:val="1C1C1C"/>
              </w:rPr>
              <w:t>绍兴市</w:t>
            </w:r>
          </w:p>
        </w:tc>
        <w:tc>
          <w:tcPr>
            <w:tcW w:w="1915" w:type="dxa"/>
            <w:noWrap/>
            <w:vAlign w:val="center"/>
          </w:tcPr>
          <w:p>
            <w:pPr>
              <w:jc w:val="center"/>
              <w:textAlignment w:val="center"/>
              <w:rPr>
                <w:color w:val="1C1C1C"/>
                <w:lang w:bidi="ar"/>
              </w:rPr>
            </w:pPr>
            <w:r>
              <w:rPr>
                <w:rFonts w:hint="eastAsia"/>
                <w:color w:val="1C1C1C"/>
                <w:lang w:bidi="ar"/>
              </w:rPr>
              <w:t xml:space="preserve">534 </w:t>
            </w:r>
          </w:p>
        </w:tc>
        <w:tc>
          <w:tcPr>
            <w:tcW w:w="2502" w:type="dxa"/>
            <w:noWrap/>
            <w:vAlign w:val="center"/>
          </w:tcPr>
          <w:p>
            <w:pPr>
              <w:jc w:val="center"/>
              <w:textAlignment w:val="center"/>
              <w:rPr>
                <w:color w:val="1C1C1C"/>
                <w:lang w:bidi="ar"/>
              </w:rPr>
            </w:pPr>
            <w:r>
              <w:rPr>
                <w:rFonts w:hint="eastAsia"/>
                <w:color w:val="1C1C1C"/>
                <w:lang w:bidi="ar"/>
              </w:rPr>
              <w:t xml:space="preserve">2477.0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35</w:t>
            </w:r>
          </w:p>
        </w:tc>
        <w:tc>
          <w:tcPr>
            <w:tcW w:w="2316" w:type="dxa"/>
            <w:noWrap/>
            <w:vAlign w:val="center"/>
          </w:tcPr>
          <w:p>
            <w:pPr>
              <w:jc w:val="center"/>
              <w:rPr>
                <w:color w:val="1C1C1C"/>
              </w:rPr>
            </w:pPr>
            <w:r>
              <w:rPr>
                <w:rFonts w:hint="eastAsia"/>
                <w:color w:val="1C1C1C"/>
              </w:rPr>
              <w:t>浙江省</w:t>
            </w:r>
          </w:p>
        </w:tc>
        <w:tc>
          <w:tcPr>
            <w:tcW w:w="1546" w:type="dxa"/>
            <w:noWrap/>
            <w:vAlign w:val="center"/>
          </w:tcPr>
          <w:p>
            <w:pPr>
              <w:jc w:val="center"/>
              <w:rPr>
                <w:color w:val="1C1C1C"/>
              </w:rPr>
            </w:pPr>
            <w:r>
              <w:rPr>
                <w:rFonts w:hint="eastAsia"/>
                <w:color w:val="1C1C1C"/>
              </w:rPr>
              <w:t>金华市</w:t>
            </w:r>
          </w:p>
        </w:tc>
        <w:tc>
          <w:tcPr>
            <w:tcW w:w="1915" w:type="dxa"/>
            <w:noWrap/>
            <w:vAlign w:val="center"/>
          </w:tcPr>
          <w:p>
            <w:pPr>
              <w:jc w:val="center"/>
              <w:textAlignment w:val="center"/>
              <w:rPr>
                <w:color w:val="1C1C1C"/>
                <w:lang w:bidi="ar"/>
              </w:rPr>
            </w:pPr>
            <w:r>
              <w:rPr>
                <w:rFonts w:hint="eastAsia"/>
                <w:color w:val="1C1C1C"/>
                <w:lang w:bidi="ar"/>
              </w:rPr>
              <w:t xml:space="preserve">712 </w:t>
            </w:r>
          </w:p>
        </w:tc>
        <w:tc>
          <w:tcPr>
            <w:tcW w:w="2502" w:type="dxa"/>
            <w:noWrap/>
            <w:vAlign w:val="center"/>
          </w:tcPr>
          <w:p>
            <w:pPr>
              <w:jc w:val="center"/>
              <w:textAlignment w:val="center"/>
              <w:rPr>
                <w:color w:val="1C1C1C"/>
                <w:lang w:bidi="ar"/>
              </w:rPr>
            </w:pPr>
            <w:r>
              <w:rPr>
                <w:rFonts w:hint="eastAsia"/>
                <w:color w:val="1C1C1C"/>
                <w:lang w:bidi="ar"/>
              </w:rPr>
              <w:t xml:space="preserve">2881.9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36</w:t>
            </w:r>
          </w:p>
        </w:tc>
        <w:tc>
          <w:tcPr>
            <w:tcW w:w="2316" w:type="dxa"/>
            <w:noWrap/>
            <w:vAlign w:val="center"/>
          </w:tcPr>
          <w:p>
            <w:pPr>
              <w:jc w:val="center"/>
              <w:rPr>
                <w:color w:val="1C1C1C"/>
              </w:rPr>
            </w:pPr>
            <w:r>
              <w:rPr>
                <w:rFonts w:hint="eastAsia"/>
                <w:color w:val="1C1C1C"/>
              </w:rPr>
              <w:t>浙江省</w:t>
            </w:r>
          </w:p>
        </w:tc>
        <w:tc>
          <w:tcPr>
            <w:tcW w:w="1546" w:type="dxa"/>
            <w:noWrap/>
            <w:vAlign w:val="center"/>
          </w:tcPr>
          <w:p>
            <w:pPr>
              <w:jc w:val="center"/>
              <w:rPr>
                <w:color w:val="1C1C1C"/>
              </w:rPr>
            </w:pPr>
            <w:r>
              <w:rPr>
                <w:rFonts w:hint="eastAsia"/>
                <w:color w:val="1C1C1C"/>
              </w:rPr>
              <w:t>台州市</w:t>
            </w:r>
          </w:p>
        </w:tc>
        <w:tc>
          <w:tcPr>
            <w:tcW w:w="1915" w:type="dxa"/>
            <w:noWrap/>
            <w:vAlign w:val="center"/>
          </w:tcPr>
          <w:p>
            <w:pPr>
              <w:jc w:val="center"/>
              <w:textAlignment w:val="center"/>
              <w:rPr>
                <w:color w:val="1C1C1C"/>
                <w:lang w:bidi="ar"/>
              </w:rPr>
            </w:pPr>
            <w:r>
              <w:rPr>
                <w:rFonts w:hint="eastAsia"/>
                <w:color w:val="1C1C1C"/>
                <w:lang w:bidi="ar"/>
              </w:rPr>
              <w:t xml:space="preserve">666 </w:t>
            </w:r>
          </w:p>
        </w:tc>
        <w:tc>
          <w:tcPr>
            <w:tcW w:w="2502" w:type="dxa"/>
            <w:noWrap/>
            <w:vAlign w:val="center"/>
          </w:tcPr>
          <w:p>
            <w:pPr>
              <w:jc w:val="center"/>
              <w:textAlignment w:val="center"/>
              <w:rPr>
                <w:color w:val="1C1C1C"/>
                <w:lang w:bidi="ar"/>
              </w:rPr>
            </w:pPr>
            <w:r>
              <w:rPr>
                <w:rFonts w:hint="eastAsia"/>
                <w:color w:val="1C1C1C"/>
                <w:lang w:bidi="ar"/>
              </w:rPr>
              <w:t xml:space="preserve">2605.6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37</w:t>
            </w:r>
          </w:p>
        </w:tc>
        <w:tc>
          <w:tcPr>
            <w:tcW w:w="2316" w:type="dxa"/>
            <w:noWrap/>
            <w:vAlign w:val="center"/>
          </w:tcPr>
          <w:p>
            <w:pPr>
              <w:jc w:val="center"/>
              <w:rPr>
                <w:color w:val="1C1C1C"/>
              </w:rPr>
            </w:pPr>
            <w:r>
              <w:rPr>
                <w:rFonts w:hint="eastAsia"/>
                <w:color w:val="1C1C1C"/>
              </w:rPr>
              <w:t>安徽省</w:t>
            </w:r>
          </w:p>
        </w:tc>
        <w:tc>
          <w:tcPr>
            <w:tcW w:w="1546" w:type="dxa"/>
            <w:noWrap/>
            <w:vAlign w:val="center"/>
          </w:tcPr>
          <w:p>
            <w:pPr>
              <w:jc w:val="center"/>
              <w:rPr>
                <w:color w:val="1C1C1C"/>
              </w:rPr>
            </w:pPr>
            <w:r>
              <w:rPr>
                <w:rFonts w:hint="eastAsia"/>
                <w:color w:val="1C1C1C"/>
              </w:rPr>
              <w:t>合肥市</w:t>
            </w:r>
          </w:p>
        </w:tc>
        <w:tc>
          <w:tcPr>
            <w:tcW w:w="1915" w:type="dxa"/>
            <w:noWrap/>
            <w:vAlign w:val="center"/>
          </w:tcPr>
          <w:p>
            <w:pPr>
              <w:jc w:val="center"/>
              <w:textAlignment w:val="center"/>
              <w:rPr>
                <w:color w:val="1C1C1C"/>
                <w:lang w:bidi="ar"/>
              </w:rPr>
            </w:pPr>
            <w:r>
              <w:rPr>
                <w:rFonts w:hint="eastAsia"/>
                <w:color w:val="1C1C1C"/>
                <w:lang w:bidi="ar"/>
              </w:rPr>
              <w:t xml:space="preserve">947 </w:t>
            </w:r>
          </w:p>
        </w:tc>
        <w:tc>
          <w:tcPr>
            <w:tcW w:w="2502" w:type="dxa"/>
            <w:noWrap/>
            <w:vAlign w:val="center"/>
          </w:tcPr>
          <w:p>
            <w:pPr>
              <w:jc w:val="center"/>
              <w:textAlignment w:val="center"/>
              <w:rPr>
                <w:color w:val="1C1C1C"/>
                <w:lang w:bidi="ar"/>
              </w:rPr>
            </w:pPr>
            <w:r>
              <w:rPr>
                <w:rFonts w:hint="eastAsia"/>
                <w:color w:val="1C1C1C"/>
                <w:lang w:bidi="ar"/>
              </w:rPr>
              <w:t xml:space="preserve">5111.7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38</w:t>
            </w:r>
          </w:p>
        </w:tc>
        <w:tc>
          <w:tcPr>
            <w:tcW w:w="2316" w:type="dxa"/>
            <w:noWrap/>
            <w:vAlign w:val="center"/>
          </w:tcPr>
          <w:p>
            <w:pPr>
              <w:jc w:val="center"/>
              <w:rPr>
                <w:color w:val="1C1C1C"/>
              </w:rPr>
            </w:pPr>
            <w:r>
              <w:rPr>
                <w:rFonts w:hint="eastAsia"/>
                <w:color w:val="1C1C1C"/>
              </w:rPr>
              <w:t>安徽省</w:t>
            </w:r>
          </w:p>
        </w:tc>
        <w:tc>
          <w:tcPr>
            <w:tcW w:w="1546" w:type="dxa"/>
            <w:noWrap/>
            <w:vAlign w:val="center"/>
          </w:tcPr>
          <w:p>
            <w:pPr>
              <w:jc w:val="center"/>
              <w:rPr>
                <w:color w:val="1C1C1C"/>
              </w:rPr>
            </w:pPr>
            <w:r>
              <w:rPr>
                <w:rFonts w:hint="eastAsia"/>
                <w:color w:val="1C1C1C"/>
              </w:rPr>
              <w:t>芜湖市</w:t>
            </w:r>
          </w:p>
        </w:tc>
        <w:tc>
          <w:tcPr>
            <w:tcW w:w="1915" w:type="dxa"/>
            <w:noWrap/>
            <w:vAlign w:val="center"/>
          </w:tcPr>
          <w:p>
            <w:pPr>
              <w:jc w:val="center"/>
              <w:textAlignment w:val="center"/>
              <w:rPr>
                <w:color w:val="1C1C1C"/>
                <w:lang w:bidi="ar"/>
              </w:rPr>
            </w:pPr>
            <w:r>
              <w:rPr>
                <w:rFonts w:hint="eastAsia"/>
                <w:color w:val="1C1C1C"/>
                <w:lang w:bidi="ar"/>
              </w:rPr>
              <w:t xml:space="preserve">367 </w:t>
            </w:r>
          </w:p>
        </w:tc>
        <w:tc>
          <w:tcPr>
            <w:tcW w:w="2502" w:type="dxa"/>
            <w:noWrap/>
            <w:vAlign w:val="center"/>
          </w:tcPr>
          <w:p>
            <w:pPr>
              <w:jc w:val="center"/>
              <w:textAlignment w:val="center"/>
              <w:rPr>
                <w:color w:val="1C1C1C"/>
                <w:lang w:bidi="ar"/>
              </w:rPr>
            </w:pPr>
            <w:r>
              <w:rPr>
                <w:rFonts w:hint="eastAsia"/>
                <w:color w:val="1C1C1C"/>
                <w:lang w:bidi="ar"/>
              </w:rPr>
              <w:t xml:space="preserve">1973.0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39</w:t>
            </w:r>
          </w:p>
        </w:tc>
        <w:tc>
          <w:tcPr>
            <w:tcW w:w="2316" w:type="dxa"/>
            <w:noWrap/>
            <w:vAlign w:val="center"/>
          </w:tcPr>
          <w:p>
            <w:pPr>
              <w:jc w:val="center"/>
              <w:rPr>
                <w:color w:val="1C1C1C"/>
              </w:rPr>
            </w:pPr>
            <w:r>
              <w:rPr>
                <w:rFonts w:hint="eastAsia"/>
                <w:color w:val="1C1C1C"/>
              </w:rPr>
              <w:t>安徽省</w:t>
            </w:r>
          </w:p>
        </w:tc>
        <w:tc>
          <w:tcPr>
            <w:tcW w:w="1546" w:type="dxa"/>
            <w:noWrap/>
            <w:vAlign w:val="center"/>
          </w:tcPr>
          <w:p>
            <w:pPr>
              <w:jc w:val="center"/>
              <w:rPr>
                <w:color w:val="1C1C1C"/>
              </w:rPr>
            </w:pPr>
            <w:r>
              <w:rPr>
                <w:rFonts w:hint="eastAsia"/>
                <w:color w:val="1C1C1C"/>
              </w:rPr>
              <w:t>阜阳市</w:t>
            </w:r>
          </w:p>
        </w:tc>
        <w:tc>
          <w:tcPr>
            <w:tcW w:w="1915" w:type="dxa"/>
            <w:noWrap/>
            <w:vAlign w:val="center"/>
          </w:tcPr>
          <w:p>
            <w:pPr>
              <w:jc w:val="center"/>
              <w:textAlignment w:val="center"/>
              <w:rPr>
                <w:color w:val="1C1C1C"/>
                <w:lang w:bidi="ar"/>
              </w:rPr>
            </w:pPr>
            <w:r>
              <w:rPr>
                <w:rFonts w:hint="eastAsia"/>
                <w:color w:val="1C1C1C"/>
                <w:lang w:bidi="ar"/>
              </w:rPr>
              <w:t xml:space="preserve">817 </w:t>
            </w:r>
          </w:p>
        </w:tc>
        <w:tc>
          <w:tcPr>
            <w:tcW w:w="2502" w:type="dxa"/>
            <w:noWrap/>
            <w:vAlign w:val="center"/>
          </w:tcPr>
          <w:p>
            <w:pPr>
              <w:jc w:val="center"/>
              <w:textAlignment w:val="center"/>
              <w:rPr>
                <w:color w:val="1C1C1C"/>
                <w:lang w:bidi="ar"/>
              </w:rPr>
            </w:pPr>
            <w:r>
              <w:rPr>
                <w:rFonts w:hint="eastAsia"/>
                <w:color w:val="1C1C1C"/>
                <w:lang w:bidi="ar"/>
              </w:rPr>
              <w:t xml:space="preserve">2229.6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40</w:t>
            </w:r>
          </w:p>
        </w:tc>
        <w:tc>
          <w:tcPr>
            <w:tcW w:w="2316" w:type="dxa"/>
            <w:noWrap/>
            <w:vAlign w:val="center"/>
          </w:tcPr>
          <w:p>
            <w:pPr>
              <w:jc w:val="center"/>
              <w:rPr>
                <w:color w:val="1C1C1C"/>
              </w:rPr>
            </w:pPr>
            <w:r>
              <w:rPr>
                <w:rFonts w:hint="eastAsia"/>
                <w:color w:val="1C1C1C"/>
              </w:rPr>
              <w:t>福建省</w:t>
            </w:r>
          </w:p>
        </w:tc>
        <w:tc>
          <w:tcPr>
            <w:tcW w:w="1546" w:type="dxa"/>
            <w:noWrap/>
            <w:vAlign w:val="center"/>
          </w:tcPr>
          <w:p>
            <w:pPr>
              <w:jc w:val="center"/>
              <w:rPr>
                <w:color w:val="1C1C1C"/>
              </w:rPr>
            </w:pPr>
            <w:r>
              <w:rPr>
                <w:rFonts w:hint="eastAsia"/>
                <w:color w:val="1C1C1C"/>
              </w:rPr>
              <w:t>福州市</w:t>
            </w:r>
          </w:p>
        </w:tc>
        <w:tc>
          <w:tcPr>
            <w:tcW w:w="1915" w:type="dxa"/>
            <w:noWrap/>
            <w:vAlign w:val="center"/>
          </w:tcPr>
          <w:p>
            <w:pPr>
              <w:jc w:val="center"/>
              <w:textAlignment w:val="center"/>
              <w:rPr>
                <w:color w:val="1C1C1C"/>
                <w:lang w:bidi="ar"/>
              </w:rPr>
            </w:pPr>
            <w:r>
              <w:rPr>
                <w:rFonts w:hint="eastAsia"/>
                <w:color w:val="1C1C1C"/>
                <w:lang w:bidi="ar"/>
              </w:rPr>
              <w:t xml:space="preserve">842 </w:t>
            </w:r>
          </w:p>
        </w:tc>
        <w:tc>
          <w:tcPr>
            <w:tcW w:w="2502" w:type="dxa"/>
            <w:noWrap/>
            <w:vAlign w:val="center"/>
          </w:tcPr>
          <w:p>
            <w:pPr>
              <w:jc w:val="center"/>
              <w:textAlignment w:val="center"/>
              <w:rPr>
                <w:color w:val="1C1C1C"/>
                <w:lang w:bidi="ar"/>
              </w:rPr>
            </w:pPr>
            <w:r>
              <w:rPr>
                <w:rFonts w:hint="eastAsia"/>
                <w:color w:val="1C1C1C"/>
                <w:lang w:bidi="ar"/>
              </w:rPr>
              <w:t xml:space="preserve">4549.4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41</w:t>
            </w:r>
          </w:p>
        </w:tc>
        <w:tc>
          <w:tcPr>
            <w:tcW w:w="2316" w:type="dxa"/>
            <w:noWrap/>
            <w:vAlign w:val="center"/>
          </w:tcPr>
          <w:p>
            <w:pPr>
              <w:jc w:val="center"/>
              <w:rPr>
                <w:color w:val="1C1C1C"/>
              </w:rPr>
            </w:pPr>
            <w:r>
              <w:rPr>
                <w:rFonts w:hint="eastAsia"/>
                <w:color w:val="1C1C1C"/>
              </w:rPr>
              <w:t>福建省</w:t>
            </w:r>
          </w:p>
        </w:tc>
        <w:tc>
          <w:tcPr>
            <w:tcW w:w="1546" w:type="dxa"/>
            <w:noWrap/>
            <w:vAlign w:val="center"/>
          </w:tcPr>
          <w:p>
            <w:pPr>
              <w:jc w:val="center"/>
              <w:rPr>
                <w:color w:val="1C1C1C"/>
              </w:rPr>
            </w:pPr>
            <w:r>
              <w:rPr>
                <w:rFonts w:hint="eastAsia"/>
                <w:color w:val="1C1C1C"/>
              </w:rPr>
              <w:t>厦门市</w:t>
            </w:r>
          </w:p>
        </w:tc>
        <w:tc>
          <w:tcPr>
            <w:tcW w:w="1915" w:type="dxa"/>
            <w:noWrap/>
            <w:vAlign w:val="center"/>
          </w:tcPr>
          <w:p>
            <w:pPr>
              <w:jc w:val="center"/>
              <w:textAlignment w:val="center"/>
              <w:rPr>
                <w:color w:val="1C1C1C"/>
                <w:lang w:bidi="ar"/>
              </w:rPr>
            </w:pPr>
            <w:r>
              <w:rPr>
                <w:rFonts w:hint="eastAsia"/>
                <w:color w:val="1C1C1C"/>
                <w:lang w:bidi="ar"/>
              </w:rPr>
              <w:t xml:space="preserve">528 </w:t>
            </w:r>
          </w:p>
        </w:tc>
        <w:tc>
          <w:tcPr>
            <w:tcW w:w="2502" w:type="dxa"/>
            <w:noWrap/>
            <w:vAlign w:val="center"/>
          </w:tcPr>
          <w:p>
            <w:pPr>
              <w:jc w:val="center"/>
              <w:textAlignment w:val="center"/>
              <w:rPr>
                <w:color w:val="1C1C1C"/>
                <w:lang w:bidi="ar"/>
              </w:rPr>
            </w:pPr>
            <w:r>
              <w:rPr>
                <w:rFonts w:hint="eastAsia"/>
                <w:color w:val="1C1C1C"/>
                <w:lang w:bidi="ar"/>
              </w:rPr>
              <w:t xml:space="preserve">2584.1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42</w:t>
            </w:r>
          </w:p>
        </w:tc>
        <w:tc>
          <w:tcPr>
            <w:tcW w:w="2316" w:type="dxa"/>
            <w:noWrap/>
            <w:vAlign w:val="center"/>
          </w:tcPr>
          <w:p>
            <w:pPr>
              <w:jc w:val="center"/>
              <w:rPr>
                <w:color w:val="1C1C1C"/>
              </w:rPr>
            </w:pPr>
            <w:r>
              <w:rPr>
                <w:rFonts w:hint="eastAsia"/>
                <w:color w:val="1C1C1C"/>
              </w:rPr>
              <w:t>福建省</w:t>
            </w:r>
          </w:p>
        </w:tc>
        <w:tc>
          <w:tcPr>
            <w:tcW w:w="1546" w:type="dxa"/>
            <w:noWrap/>
            <w:vAlign w:val="center"/>
          </w:tcPr>
          <w:p>
            <w:pPr>
              <w:jc w:val="center"/>
              <w:rPr>
                <w:color w:val="1C1C1C"/>
              </w:rPr>
            </w:pPr>
            <w:r>
              <w:rPr>
                <w:rFonts w:hint="eastAsia"/>
                <w:color w:val="1C1C1C"/>
              </w:rPr>
              <w:t>泉州市</w:t>
            </w:r>
          </w:p>
        </w:tc>
        <w:tc>
          <w:tcPr>
            <w:tcW w:w="1915" w:type="dxa"/>
            <w:noWrap/>
            <w:vAlign w:val="center"/>
          </w:tcPr>
          <w:p>
            <w:pPr>
              <w:jc w:val="center"/>
              <w:textAlignment w:val="center"/>
              <w:rPr>
                <w:color w:val="1C1C1C"/>
                <w:lang w:bidi="ar"/>
              </w:rPr>
            </w:pPr>
            <w:r>
              <w:rPr>
                <w:rFonts w:hint="eastAsia"/>
                <w:color w:val="1C1C1C"/>
                <w:lang w:bidi="ar"/>
              </w:rPr>
              <w:t xml:space="preserve">885 </w:t>
            </w:r>
          </w:p>
        </w:tc>
        <w:tc>
          <w:tcPr>
            <w:tcW w:w="2502" w:type="dxa"/>
            <w:noWrap/>
            <w:vAlign w:val="center"/>
          </w:tcPr>
          <w:p>
            <w:pPr>
              <w:jc w:val="center"/>
              <w:textAlignment w:val="center"/>
              <w:rPr>
                <w:color w:val="1C1C1C"/>
                <w:lang w:bidi="ar"/>
              </w:rPr>
            </w:pPr>
            <w:r>
              <w:rPr>
                <w:rFonts w:hint="eastAsia"/>
                <w:color w:val="1C1C1C"/>
                <w:lang w:bidi="ar"/>
              </w:rPr>
              <w:t xml:space="preserve">5819.7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43</w:t>
            </w:r>
          </w:p>
        </w:tc>
        <w:tc>
          <w:tcPr>
            <w:tcW w:w="2316" w:type="dxa"/>
            <w:noWrap/>
            <w:vAlign w:val="center"/>
          </w:tcPr>
          <w:p>
            <w:pPr>
              <w:jc w:val="center"/>
              <w:rPr>
                <w:color w:val="1C1C1C"/>
              </w:rPr>
            </w:pPr>
            <w:r>
              <w:rPr>
                <w:rFonts w:hint="eastAsia"/>
                <w:color w:val="1C1C1C"/>
              </w:rPr>
              <w:t>江西省</w:t>
            </w:r>
          </w:p>
        </w:tc>
        <w:tc>
          <w:tcPr>
            <w:tcW w:w="1546" w:type="dxa"/>
            <w:noWrap/>
            <w:vAlign w:val="center"/>
          </w:tcPr>
          <w:p>
            <w:pPr>
              <w:jc w:val="center"/>
              <w:rPr>
                <w:color w:val="1C1C1C"/>
              </w:rPr>
            </w:pPr>
            <w:r>
              <w:rPr>
                <w:rFonts w:hint="eastAsia"/>
                <w:color w:val="1C1C1C"/>
              </w:rPr>
              <w:t>南昌市</w:t>
            </w:r>
          </w:p>
        </w:tc>
        <w:tc>
          <w:tcPr>
            <w:tcW w:w="1915" w:type="dxa"/>
            <w:noWrap/>
            <w:vAlign w:val="center"/>
          </w:tcPr>
          <w:p>
            <w:pPr>
              <w:jc w:val="center"/>
              <w:textAlignment w:val="center"/>
              <w:rPr>
                <w:color w:val="1C1C1C"/>
                <w:lang w:bidi="ar"/>
              </w:rPr>
            </w:pPr>
            <w:r>
              <w:rPr>
                <w:rFonts w:hint="eastAsia"/>
                <w:color w:val="1C1C1C"/>
                <w:lang w:bidi="ar"/>
              </w:rPr>
              <w:t xml:space="preserve">644 </w:t>
            </w:r>
          </w:p>
        </w:tc>
        <w:tc>
          <w:tcPr>
            <w:tcW w:w="2502" w:type="dxa"/>
            <w:noWrap/>
            <w:vAlign w:val="center"/>
          </w:tcPr>
          <w:p>
            <w:pPr>
              <w:jc w:val="center"/>
              <w:textAlignment w:val="center"/>
              <w:rPr>
                <w:color w:val="1C1C1C"/>
                <w:lang w:bidi="ar"/>
              </w:rPr>
            </w:pPr>
            <w:r>
              <w:rPr>
                <w:rFonts w:hint="eastAsia"/>
                <w:color w:val="1C1C1C"/>
                <w:lang w:bidi="ar"/>
              </w:rPr>
              <w:t xml:space="preserve">2878.7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44</w:t>
            </w:r>
          </w:p>
        </w:tc>
        <w:tc>
          <w:tcPr>
            <w:tcW w:w="2316" w:type="dxa"/>
            <w:noWrap/>
            <w:vAlign w:val="center"/>
          </w:tcPr>
          <w:p>
            <w:pPr>
              <w:jc w:val="center"/>
              <w:rPr>
                <w:color w:val="1C1C1C"/>
              </w:rPr>
            </w:pPr>
            <w:r>
              <w:rPr>
                <w:rFonts w:hint="eastAsia"/>
                <w:color w:val="1C1C1C"/>
              </w:rPr>
              <w:t>江西省</w:t>
            </w:r>
          </w:p>
        </w:tc>
        <w:tc>
          <w:tcPr>
            <w:tcW w:w="1546" w:type="dxa"/>
            <w:noWrap/>
            <w:vAlign w:val="center"/>
          </w:tcPr>
          <w:p>
            <w:pPr>
              <w:jc w:val="center"/>
              <w:rPr>
                <w:color w:val="1C1C1C"/>
              </w:rPr>
            </w:pPr>
            <w:r>
              <w:rPr>
                <w:rFonts w:hint="eastAsia"/>
                <w:color w:val="1C1C1C"/>
              </w:rPr>
              <w:t>赣州市</w:t>
            </w:r>
          </w:p>
        </w:tc>
        <w:tc>
          <w:tcPr>
            <w:tcW w:w="1915" w:type="dxa"/>
            <w:noWrap/>
            <w:vAlign w:val="center"/>
          </w:tcPr>
          <w:p>
            <w:pPr>
              <w:jc w:val="center"/>
              <w:textAlignment w:val="center"/>
              <w:rPr>
                <w:color w:val="1C1C1C"/>
                <w:lang w:bidi="ar"/>
              </w:rPr>
            </w:pPr>
            <w:r>
              <w:rPr>
                <w:rFonts w:hint="eastAsia"/>
                <w:color w:val="1C1C1C"/>
                <w:lang w:bidi="ar"/>
              </w:rPr>
              <w:t xml:space="preserve">898 </w:t>
            </w:r>
          </w:p>
        </w:tc>
        <w:tc>
          <w:tcPr>
            <w:tcW w:w="2502" w:type="dxa"/>
            <w:noWrap/>
            <w:vAlign w:val="center"/>
          </w:tcPr>
          <w:p>
            <w:pPr>
              <w:jc w:val="center"/>
              <w:textAlignment w:val="center"/>
              <w:rPr>
                <w:color w:val="1C1C1C"/>
                <w:lang w:bidi="ar"/>
              </w:rPr>
            </w:pPr>
            <w:r>
              <w:rPr>
                <w:rFonts w:hint="eastAsia"/>
                <w:color w:val="1C1C1C"/>
                <w:lang w:bidi="ar"/>
              </w:rPr>
              <w:t xml:space="preserve">1987.7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45</w:t>
            </w:r>
          </w:p>
        </w:tc>
        <w:tc>
          <w:tcPr>
            <w:tcW w:w="2316" w:type="dxa"/>
            <w:noWrap/>
            <w:vAlign w:val="center"/>
          </w:tcPr>
          <w:p>
            <w:pPr>
              <w:jc w:val="center"/>
              <w:rPr>
                <w:color w:val="1C1C1C"/>
              </w:rPr>
            </w:pPr>
            <w:r>
              <w:rPr>
                <w:rFonts w:hint="eastAsia"/>
                <w:color w:val="1C1C1C"/>
              </w:rPr>
              <w:t>江西省</w:t>
            </w:r>
          </w:p>
        </w:tc>
        <w:tc>
          <w:tcPr>
            <w:tcW w:w="1546" w:type="dxa"/>
            <w:noWrap/>
            <w:vAlign w:val="center"/>
          </w:tcPr>
          <w:p>
            <w:pPr>
              <w:jc w:val="center"/>
              <w:rPr>
                <w:color w:val="1C1C1C"/>
              </w:rPr>
            </w:pPr>
            <w:r>
              <w:rPr>
                <w:rFonts w:hint="eastAsia"/>
                <w:color w:val="1C1C1C"/>
              </w:rPr>
              <w:t>上饶市</w:t>
            </w:r>
          </w:p>
        </w:tc>
        <w:tc>
          <w:tcPr>
            <w:tcW w:w="1915" w:type="dxa"/>
            <w:noWrap/>
            <w:vAlign w:val="center"/>
          </w:tcPr>
          <w:p>
            <w:pPr>
              <w:jc w:val="center"/>
              <w:textAlignment w:val="center"/>
              <w:rPr>
                <w:color w:val="1C1C1C"/>
                <w:lang w:bidi="ar"/>
              </w:rPr>
            </w:pPr>
            <w:r>
              <w:rPr>
                <w:rFonts w:hint="eastAsia"/>
                <w:color w:val="1C1C1C"/>
                <w:lang w:bidi="ar"/>
              </w:rPr>
              <w:t xml:space="preserve">644 </w:t>
            </w:r>
          </w:p>
        </w:tc>
        <w:tc>
          <w:tcPr>
            <w:tcW w:w="2502" w:type="dxa"/>
            <w:noWrap/>
            <w:vAlign w:val="center"/>
          </w:tcPr>
          <w:p>
            <w:pPr>
              <w:jc w:val="center"/>
              <w:textAlignment w:val="center"/>
              <w:rPr>
                <w:color w:val="1C1C1C"/>
                <w:lang w:bidi="ar"/>
              </w:rPr>
            </w:pPr>
            <w:r>
              <w:rPr>
                <w:rFonts w:hint="eastAsia"/>
                <w:color w:val="1C1C1C"/>
                <w:lang w:bidi="ar"/>
              </w:rPr>
              <w:t xml:space="preserve">1448.9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46</w:t>
            </w:r>
          </w:p>
        </w:tc>
        <w:tc>
          <w:tcPr>
            <w:tcW w:w="2316" w:type="dxa"/>
            <w:noWrap/>
            <w:vAlign w:val="center"/>
          </w:tcPr>
          <w:p>
            <w:pPr>
              <w:jc w:val="center"/>
              <w:rPr>
                <w:color w:val="1C1C1C"/>
              </w:rPr>
            </w:pPr>
            <w:r>
              <w:rPr>
                <w:rFonts w:hint="eastAsia"/>
                <w:color w:val="1C1C1C"/>
              </w:rPr>
              <w:t>山东省</w:t>
            </w:r>
          </w:p>
        </w:tc>
        <w:tc>
          <w:tcPr>
            <w:tcW w:w="1546" w:type="dxa"/>
            <w:noWrap/>
            <w:vAlign w:val="center"/>
          </w:tcPr>
          <w:p>
            <w:pPr>
              <w:jc w:val="center"/>
              <w:rPr>
                <w:color w:val="1C1C1C"/>
              </w:rPr>
            </w:pPr>
            <w:r>
              <w:rPr>
                <w:rFonts w:hint="eastAsia"/>
                <w:color w:val="1C1C1C"/>
              </w:rPr>
              <w:t>济南市</w:t>
            </w:r>
          </w:p>
        </w:tc>
        <w:tc>
          <w:tcPr>
            <w:tcW w:w="1915" w:type="dxa"/>
            <w:noWrap/>
            <w:vAlign w:val="center"/>
          </w:tcPr>
          <w:p>
            <w:pPr>
              <w:jc w:val="center"/>
              <w:textAlignment w:val="center"/>
              <w:rPr>
                <w:color w:val="1C1C1C"/>
                <w:lang w:bidi="ar"/>
              </w:rPr>
            </w:pPr>
            <w:r>
              <w:rPr>
                <w:rFonts w:hint="eastAsia"/>
                <w:color w:val="1C1C1C"/>
                <w:lang w:bidi="ar"/>
              </w:rPr>
              <w:t xml:space="preserve">934 </w:t>
            </w:r>
          </w:p>
        </w:tc>
        <w:tc>
          <w:tcPr>
            <w:tcW w:w="2502" w:type="dxa"/>
            <w:noWrap/>
            <w:vAlign w:val="center"/>
          </w:tcPr>
          <w:p>
            <w:pPr>
              <w:jc w:val="center"/>
              <w:textAlignment w:val="center"/>
              <w:rPr>
                <w:color w:val="1C1C1C"/>
                <w:lang w:bidi="ar"/>
              </w:rPr>
            </w:pPr>
            <w:r>
              <w:rPr>
                <w:rFonts w:hint="eastAsia"/>
                <w:color w:val="1C1C1C"/>
                <w:lang w:bidi="ar"/>
              </w:rPr>
              <w:t xml:space="preserve">5126.1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47</w:t>
            </w:r>
          </w:p>
        </w:tc>
        <w:tc>
          <w:tcPr>
            <w:tcW w:w="2316" w:type="dxa"/>
            <w:noWrap/>
            <w:vAlign w:val="center"/>
          </w:tcPr>
          <w:p>
            <w:pPr>
              <w:jc w:val="center"/>
              <w:rPr>
                <w:color w:val="1C1C1C"/>
              </w:rPr>
            </w:pPr>
            <w:r>
              <w:rPr>
                <w:rFonts w:hint="eastAsia"/>
                <w:color w:val="1C1C1C"/>
              </w:rPr>
              <w:t>山东省</w:t>
            </w:r>
          </w:p>
        </w:tc>
        <w:tc>
          <w:tcPr>
            <w:tcW w:w="1546" w:type="dxa"/>
            <w:noWrap/>
            <w:vAlign w:val="center"/>
          </w:tcPr>
          <w:p>
            <w:pPr>
              <w:jc w:val="center"/>
              <w:rPr>
                <w:color w:val="1C1C1C"/>
              </w:rPr>
            </w:pPr>
            <w:r>
              <w:rPr>
                <w:rFonts w:hint="eastAsia"/>
                <w:color w:val="1C1C1C"/>
              </w:rPr>
              <w:t>青岛市</w:t>
            </w:r>
          </w:p>
        </w:tc>
        <w:tc>
          <w:tcPr>
            <w:tcW w:w="1915" w:type="dxa"/>
            <w:noWrap/>
            <w:vAlign w:val="center"/>
          </w:tcPr>
          <w:p>
            <w:pPr>
              <w:jc w:val="center"/>
              <w:textAlignment w:val="center"/>
              <w:rPr>
                <w:color w:val="1C1C1C"/>
                <w:lang w:bidi="ar"/>
              </w:rPr>
            </w:pPr>
            <w:r>
              <w:rPr>
                <w:rFonts w:hint="eastAsia"/>
                <w:color w:val="1C1C1C"/>
                <w:lang w:bidi="ar"/>
              </w:rPr>
              <w:t xml:space="preserve">1026 </w:t>
            </w:r>
          </w:p>
        </w:tc>
        <w:tc>
          <w:tcPr>
            <w:tcW w:w="2502" w:type="dxa"/>
            <w:noWrap/>
            <w:vAlign w:val="center"/>
          </w:tcPr>
          <w:p>
            <w:pPr>
              <w:jc w:val="center"/>
              <w:textAlignment w:val="center"/>
              <w:rPr>
                <w:color w:val="1C1C1C"/>
                <w:lang w:bidi="ar"/>
              </w:rPr>
            </w:pPr>
            <w:r>
              <w:rPr>
                <w:rFonts w:hint="eastAsia"/>
                <w:color w:val="1C1C1C"/>
                <w:lang w:bidi="ar"/>
              </w:rPr>
              <w:t xml:space="preserve">5975.4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48</w:t>
            </w:r>
          </w:p>
        </w:tc>
        <w:tc>
          <w:tcPr>
            <w:tcW w:w="2316" w:type="dxa"/>
            <w:noWrap/>
            <w:vAlign w:val="center"/>
          </w:tcPr>
          <w:p>
            <w:pPr>
              <w:jc w:val="center"/>
              <w:rPr>
                <w:color w:val="1C1C1C"/>
              </w:rPr>
            </w:pPr>
            <w:r>
              <w:rPr>
                <w:rFonts w:hint="eastAsia"/>
                <w:color w:val="1C1C1C"/>
              </w:rPr>
              <w:t>山东省</w:t>
            </w:r>
          </w:p>
        </w:tc>
        <w:tc>
          <w:tcPr>
            <w:tcW w:w="1546" w:type="dxa"/>
            <w:noWrap/>
            <w:vAlign w:val="center"/>
          </w:tcPr>
          <w:p>
            <w:pPr>
              <w:jc w:val="center"/>
              <w:rPr>
                <w:color w:val="1C1C1C"/>
              </w:rPr>
            </w:pPr>
            <w:r>
              <w:rPr>
                <w:rFonts w:hint="eastAsia"/>
                <w:color w:val="1C1C1C"/>
              </w:rPr>
              <w:t>淄博市</w:t>
            </w:r>
          </w:p>
        </w:tc>
        <w:tc>
          <w:tcPr>
            <w:tcW w:w="1915" w:type="dxa"/>
            <w:noWrap/>
            <w:vAlign w:val="center"/>
          </w:tcPr>
          <w:p>
            <w:pPr>
              <w:jc w:val="center"/>
              <w:textAlignment w:val="center"/>
              <w:rPr>
                <w:color w:val="1C1C1C"/>
                <w:lang w:bidi="ar"/>
              </w:rPr>
            </w:pPr>
            <w:r>
              <w:rPr>
                <w:rFonts w:hint="eastAsia"/>
                <w:color w:val="1C1C1C"/>
                <w:lang w:bidi="ar"/>
              </w:rPr>
              <w:t xml:space="preserve">471 </w:t>
            </w:r>
          </w:p>
        </w:tc>
        <w:tc>
          <w:tcPr>
            <w:tcW w:w="2502" w:type="dxa"/>
            <w:noWrap/>
            <w:vAlign w:val="center"/>
          </w:tcPr>
          <w:p>
            <w:pPr>
              <w:jc w:val="center"/>
              <w:textAlignment w:val="center"/>
              <w:rPr>
                <w:color w:val="1C1C1C"/>
                <w:lang w:bidi="ar"/>
              </w:rPr>
            </w:pPr>
            <w:r>
              <w:rPr>
                <w:rFonts w:hint="eastAsia"/>
                <w:color w:val="1C1C1C"/>
                <w:lang w:bidi="ar"/>
              </w:rPr>
              <w:t xml:space="preserve">1308.9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49</w:t>
            </w:r>
          </w:p>
        </w:tc>
        <w:tc>
          <w:tcPr>
            <w:tcW w:w="2316" w:type="dxa"/>
            <w:noWrap/>
            <w:vAlign w:val="center"/>
          </w:tcPr>
          <w:p>
            <w:pPr>
              <w:jc w:val="center"/>
              <w:rPr>
                <w:color w:val="1C1C1C"/>
              </w:rPr>
            </w:pPr>
            <w:r>
              <w:rPr>
                <w:rFonts w:hint="eastAsia"/>
                <w:color w:val="1C1C1C"/>
              </w:rPr>
              <w:t>山东省</w:t>
            </w:r>
          </w:p>
        </w:tc>
        <w:tc>
          <w:tcPr>
            <w:tcW w:w="1546" w:type="dxa"/>
            <w:noWrap/>
            <w:vAlign w:val="center"/>
          </w:tcPr>
          <w:p>
            <w:pPr>
              <w:jc w:val="center"/>
              <w:rPr>
                <w:color w:val="1C1C1C"/>
              </w:rPr>
            </w:pPr>
            <w:r>
              <w:rPr>
                <w:rFonts w:hint="eastAsia"/>
                <w:color w:val="1C1C1C"/>
              </w:rPr>
              <w:t>烟台市</w:t>
            </w:r>
          </w:p>
        </w:tc>
        <w:tc>
          <w:tcPr>
            <w:tcW w:w="1915" w:type="dxa"/>
            <w:noWrap/>
            <w:vAlign w:val="center"/>
          </w:tcPr>
          <w:p>
            <w:pPr>
              <w:jc w:val="center"/>
              <w:textAlignment w:val="center"/>
              <w:rPr>
                <w:color w:val="1C1C1C"/>
                <w:lang w:bidi="ar"/>
              </w:rPr>
            </w:pPr>
            <w:r>
              <w:rPr>
                <w:rFonts w:hint="eastAsia"/>
                <w:color w:val="1C1C1C"/>
                <w:lang w:bidi="ar"/>
              </w:rPr>
              <w:t xml:space="preserve">708 </w:t>
            </w:r>
          </w:p>
        </w:tc>
        <w:tc>
          <w:tcPr>
            <w:tcW w:w="2502" w:type="dxa"/>
            <w:noWrap/>
            <w:vAlign w:val="center"/>
          </w:tcPr>
          <w:p>
            <w:pPr>
              <w:jc w:val="center"/>
              <w:textAlignment w:val="center"/>
              <w:rPr>
                <w:color w:val="1C1C1C"/>
                <w:lang w:bidi="ar"/>
              </w:rPr>
            </w:pPr>
            <w:r>
              <w:rPr>
                <w:rFonts w:hint="eastAsia"/>
                <w:color w:val="1C1C1C"/>
                <w:lang w:bidi="ar"/>
              </w:rPr>
              <w:t xml:space="preserve">3232.3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50</w:t>
            </w:r>
          </w:p>
        </w:tc>
        <w:tc>
          <w:tcPr>
            <w:tcW w:w="2316" w:type="dxa"/>
            <w:noWrap/>
            <w:vAlign w:val="center"/>
          </w:tcPr>
          <w:p>
            <w:pPr>
              <w:jc w:val="center"/>
              <w:rPr>
                <w:color w:val="1C1C1C"/>
              </w:rPr>
            </w:pPr>
            <w:r>
              <w:rPr>
                <w:rFonts w:hint="eastAsia"/>
                <w:color w:val="1C1C1C"/>
              </w:rPr>
              <w:t>山东省</w:t>
            </w:r>
          </w:p>
        </w:tc>
        <w:tc>
          <w:tcPr>
            <w:tcW w:w="1546" w:type="dxa"/>
            <w:noWrap/>
            <w:vAlign w:val="center"/>
          </w:tcPr>
          <w:p>
            <w:pPr>
              <w:jc w:val="center"/>
              <w:rPr>
                <w:color w:val="1C1C1C"/>
              </w:rPr>
            </w:pPr>
            <w:r>
              <w:rPr>
                <w:rFonts w:hint="eastAsia"/>
                <w:color w:val="1C1C1C"/>
              </w:rPr>
              <w:t>潍坊市</w:t>
            </w:r>
          </w:p>
        </w:tc>
        <w:tc>
          <w:tcPr>
            <w:tcW w:w="1915" w:type="dxa"/>
            <w:noWrap/>
            <w:vAlign w:val="center"/>
          </w:tcPr>
          <w:p>
            <w:pPr>
              <w:jc w:val="center"/>
              <w:textAlignment w:val="center"/>
              <w:rPr>
                <w:color w:val="1C1C1C"/>
                <w:lang w:bidi="ar"/>
              </w:rPr>
            </w:pPr>
            <w:r>
              <w:rPr>
                <w:rFonts w:hint="eastAsia"/>
                <w:color w:val="1C1C1C"/>
                <w:lang w:bidi="ar"/>
              </w:rPr>
              <w:t xml:space="preserve">940 </w:t>
            </w:r>
          </w:p>
        </w:tc>
        <w:tc>
          <w:tcPr>
            <w:tcW w:w="2502" w:type="dxa"/>
            <w:noWrap/>
            <w:vAlign w:val="center"/>
          </w:tcPr>
          <w:p>
            <w:pPr>
              <w:jc w:val="center"/>
              <w:textAlignment w:val="center"/>
              <w:rPr>
                <w:color w:val="1C1C1C"/>
                <w:lang w:bidi="ar"/>
              </w:rPr>
            </w:pPr>
            <w:r>
              <w:rPr>
                <w:rFonts w:hint="eastAsia"/>
                <w:color w:val="1C1C1C"/>
                <w:lang w:bidi="ar"/>
              </w:rPr>
              <w:t xml:space="preserve">2781.5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51</w:t>
            </w:r>
          </w:p>
        </w:tc>
        <w:tc>
          <w:tcPr>
            <w:tcW w:w="2316" w:type="dxa"/>
            <w:noWrap/>
            <w:vAlign w:val="center"/>
          </w:tcPr>
          <w:p>
            <w:pPr>
              <w:jc w:val="center"/>
              <w:rPr>
                <w:color w:val="1C1C1C"/>
              </w:rPr>
            </w:pPr>
            <w:r>
              <w:rPr>
                <w:rFonts w:hint="eastAsia"/>
                <w:color w:val="1C1C1C"/>
              </w:rPr>
              <w:t>山东省</w:t>
            </w:r>
          </w:p>
        </w:tc>
        <w:tc>
          <w:tcPr>
            <w:tcW w:w="1546" w:type="dxa"/>
            <w:noWrap/>
            <w:vAlign w:val="center"/>
          </w:tcPr>
          <w:p>
            <w:pPr>
              <w:jc w:val="center"/>
              <w:rPr>
                <w:color w:val="1C1C1C"/>
              </w:rPr>
            </w:pPr>
            <w:r>
              <w:rPr>
                <w:rFonts w:hint="eastAsia"/>
                <w:color w:val="1C1C1C"/>
              </w:rPr>
              <w:t>济宁市</w:t>
            </w:r>
          </w:p>
        </w:tc>
        <w:tc>
          <w:tcPr>
            <w:tcW w:w="1915" w:type="dxa"/>
            <w:noWrap/>
            <w:vAlign w:val="center"/>
          </w:tcPr>
          <w:p>
            <w:pPr>
              <w:jc w:val="center"/>
              <w:textAlignment w:val="center"/>
              <w:rPr>
                <w:color w:val="1C1C1C"/>
                <w:lang w:bidi="ar"/>
              </w:rPr>
            </w:pPr>
            <w:r>
              <w:rPr>
                <w:rFonts w:hint="eastAsia"/>
                <w:color w:val="1C1C1C"/>
                <w:lang w:bidi="ar"/>
              </w:rPr>
              <w:t xml:space="preserve">834 </w:t>
            </w:r>
          </w:p>
        </w:tc>
        <w:tc>
          <w:tcPr>
            <w:tcW w:w="2502" w:type="dxa"/>
            <w:noWrap/>
            <w:vAlign w:val="center"/>
          </w:tcPr>
          <w:p>
            <w:pPr>
              <w:jc w:val="center"/>
              <w:textAlignment w:val="center"/>
              <w:rPr>
                <w:color w:val="1C1C1C"/>
                <w:lang w:bidi="ar"/>
              </w:rPr>
            </w:pPr>
            <w:r>
              <w:rPr>
                <w:rFonts w:hint="eastAsia"/>
                <w:color w:val="1C1C1C"/>
                <w:lang w:bidi="ar"/>
              </w:rPr>
              <w:t xml:space="preserve">2459.6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52</w:t>
            </w:r>
          </w:p>
        </w:tc>
        <w:tc>
          <w:tcPr>
            <w:tcW w:w="2316" w:type="dxa"/>
            <w:noWrap/>
            <w:vAlign w:val="center"/>
          </w:tcPr>
          <w:p>
            <w:pPr>
              <w:jc w:val="center"/>
              <w:rPr>
                <w:color w:val="1C1C1C"/>
              </w:rPr>
            </w:pPr>
            <w:r>
              <w:rPr>
                <w:rFonts w:hint="eastAsia"/>
                <w:color w:val="1C1C1C"/>
              </w:rPr>
              <w:t>山东省</w:t>
            </w:r>
          </w:p>
        </w:tc>
        <w:tc>
          <w:tcPr>
            <w:tcW w:w="1546" w:type="dxa"/>
            <w:noWrap/>
            <w:vAlign w:val="center"/>
          </w:tcPr>
          <w:p>
            <w:pPr>
              <w:jc w:val="center"/>
              <w:rPr>
                <w:color w:val="1C1C1C"/>
              </w:rPr>
            </w:pPr>
            <w:r>
              <w:rPr>
                <w:rFonts w:hint="eastAsia"/>
                <w:color w:val="1C1C1C"/>
              </w:rPr>
              <w:t>临沂市</w:t>
            </w:r>
          </w:p>
        </w:tc>
        <w:tc>
          <w:tcPr>
            <w:tcW w:w="1915" w:type="dxa"/>
            <w:noWrap/>
            <w:vAlign w:val="center"/>
          </w:tcPr>
          <w:p>
            <w:pPr>
              <w:jc w:val="center"/>
              <w:textAlignment w:val="center"/>
              <w:rPr>
                <w:color w:val="1C1C1C"/>
                <w:lang w:bidi="ar"/>
              </w:rPr>
            </w:pPr>
            <w:r>
              <w:rPr>
                <w:rFonts w:hint="eastAsia"/>
                <w:color w:val="1C1C1C"/>
                <w:lang w:bidi="ar"/>
              </w:rPr>
              <w:t xml:space="preserve">1102 </w:t>
            </w:r>
          </w:p>
        </w:tc>
        <w:tc>
          <w:tcPr>
            <w:tcW w:w="2502" w:type="dxa"/>
            <w:noWrap/>
            <w:vAlign w:val="center"/>
          </w:tcPr>
          <w:p>
            <w:pPr>
              <w:jc w:val="center"/>
              <w:textAlignment w:val="center"/>
              <w:rPr>
                <w:color w:val="1C1C1C"/>
                <w:lang w:bidi="ar"/>
              </w:rPr>
            </w:pPr>
            <w:r>
              <w:rPr>
                <w:rFonts w:hint="eastAsia"/>
                <w:color w:val="1C1C1C"/>
                <w:lang w:bidi="ar"/>
              </w:rPr>
              <w:t xml:space="preserve">2931.1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53</w:t>
            </w:r>
          </w:p>
        </w:tc>
        <w:tc>
          <w:tcPr>
            <w:tcW w:w="2316" w:type="dxa"/>
            <w:noWrap/>
            <w:vAlign w:val="center"/>
          </w:tcPr>
          <w:p>
            <w:pPr>
              <w:jc w:val="center"/>
              <w:rPr>
                <w:color w:val="1C1C1C"/>
              </w:rPr>
            </w:pPr>
            <w:r>
              <w:rPr>
                <w:rFonts w:hint="eastAsia"/>
                <w:color w:val="1C1C1C"/>
              </w:rPr>
              <w:t>河南省</w:t>
            </w:r>
          </w:p>
        </w:tc>
        <w:tc>
          <w:tcPr>
            <w:tcW w:w="1546" w:type="dxa"/>
            <w:noWrap/>
            <w:vAlign w:val="center"/>
          </w:tcPr>
          <w:p>
            <w:pPr>
              <w:jc w:val="center"/>
              <w:rPr>
                <w:color w:val="1C1C1C"/>
              </w:rPr>
            </w:pPr>
            <w:r>
              <w:rPr>
                <w:rFonts w:hint="eastAsia"/>
                <w:color w:val="1C1C1C"/>
              </w:rPr>
              <w:t>郑州市</w:t>
            </w:r>
          </w:p>
        </w:tc>
        <w:tc>
          <w:tcPr>
            <w:tcW w:w="1915" w:type="dxa"/>
            <w:noWrap/>
            <w:vAlign w:val="center"/>
          </w:tcPr>
          <w:p>
            <w:pPr>
              <w:jc w:val="center"/>
              <w:textAlignment w:val="center"/>
              <w:rPr>
                <w:color w:val="1C1C1C"/>
                <w:lang w:bidi="ar"/>
              </w:rPr>
            </w:pPr>
            <w:r>
              <w:rPr>
                <w:rFonts w:hint="eastAsia"/>
                <w:color w:val="1C1C1C"/>
                <w:lang w:bidi="ar"/>
              </w:rPr>
              <w:t xml:space="preserve">1274 </w:t>
            </w:r>
          </w:p>
        </w:tc>
        <w:tc>
          <w:tcPr>
            <w:tcW w:w="2502" w:type="dxa"/>
            <w:noWrap/>
            <w:vAlign w:val="center"/>
          </w:tcPr>
          <w:p>
            <w:pPr>
              <w:jc w:val="center"/>
              <w:textAlignment w:val="center"/>
              <w:rPr>
                <w:color w:val="1C1C1C"/>
                <w:lang w:bidi="ar"/>
              </w:rPr>
            </w:pPr>
            <w:r>
              <w:rPr>
                <w:rFonts w:hint="eastAsia"/>
                <w:color w:val="1C1C1C"/>
                <w:lang w:bidi="ar"/>
              </w:rPr>
              <w:t xml:space="preserve">5389.2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54</w:t>
            </w:r>
          </w:p>
        </w:tc>
        <w:tc>
          <w:tcPr>
            <w:tcW w:w="2316" w:type="dxa"/>
            <w:noWrap/>
            <w:vAlign w:val="center"/>
          </w:tcPr>
          <w:p>
            <w:pPr>
              <w:jc w:val="center"/>
              <w:rPr>
                <w:color w:val="1C1C1C"/>
              </w:rPr>
            </w:pPr>
            <w:r>
              <w:rPr>
                <w:rFonts w:hint="eastAsia"/>
                <w:color w:val="1C1C1C"/>
              </w:rPr>
              <w:t>河南省</w:t>
            </w:r>
          </w:p>
        </w:tc>
        <w:tc>
          <w:tcPr>
            <w:tcW w:w="1546" w:type="dxa"/>
            <w:noWrap/>
            <w:vAlign w:val="center"/>
          </w:tcPr>
          <w:p>
            <w:pPr>
              <w:jc w:val="center"/>
              <w:rPr>
                <w:color w:val="1C1C1C"/>
              </w:rPr>
            </w:pPr>
            <w:r>
              <w:rPr>
                <w:rFonts w:hint="eastAsia"/>
                <w:color w:val="1C1C1C"/>
              </w:rPr>
              <w:t>洛阳市</w:t>
            </w:r>
          </w:p>
        </w:tc>
        <w:tc>
          <w:tcPr>
            <w:tcW w:w="1915" w:type="dxa"/>
            <w:noWrap/>
            <w:vAlign w:val="center"/>
          </w:tcPr>
          <w:p>
            <w:pPr>
              <w:jc w:val="center"/>
              <w:textAlignment w:val="center"/>
              <w:rPr>
                <w:color w:val="1C1C1C"/>
                <w:lang w:bidi="ar"/>
              </w:rPr>
            </w:pPr>
            <w:r>
              <w:rPr>
                <w:rFonts w:hint="eastAsia"/>
                <w:color w:val="1C1C1C"/>
                <w:lang w:bidi="ar"/>
              </w:rPr>
              <w:t xml:space="preserve">707 </w:t>
            </w:r>
          </w:p>
        </w:tc>
        <w:tc>
          <w:tcPr>
            <w:tcW w:w="2502" w:type="dxa"/>
            <w:noWrap/>
            <w:vAlign w:val="center"/>
          </w:tcPr>
          <w:p>
            <w:pPr>
              <w:jc w:val="center"/>
              <w:textAlignment w:val="center"/>
              <w:rPr>
                <w:color w:val="1C1C1C"/>
                <w:lang w:bidi="ar"/>
              </w:rPr>
            </w:pPr>
            <w:r>
              <w:rPr>
                <w:rFonts w:hint="eastAsia"/>
                <w:color w:val="1C1C1C"/>
                <w:lang w:bidi="ar"/>
              </w:rPr>
              <w:t xml:space="preserve">2291.2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55</w:t>
            </w:r>
          </w:p>
        </w:tc>
        <w:tc>
          <w:tcPr>
            <w:tcW w:w="2316" w:type="dxa"/>
            <w:noWrap/>
            <w:vAlign w:val="center"/>
          </w:tcPr>
          <w:p>
            <w:pPr>
              <w:jc w:val="center"/>
              <w:rPr>
                <w:color w:val="1C1C1C"/>
              </w:rPr>
            </w:pPr>
            <w:r>
              <w:rPr>
                <w:rFonts w:hint="eastAsia"/>
                <w:color w:val="1C1C1C"/>
              </w:rPr>
              <w:t>河南省</w:t>
            </w:r>
          </w:p>
        </w:tc>
        <w:tc>
          <w:tcPr>
            <w:tcW w:w="1546" w:type="dxa"/>
            <w:noWrap/>
            <w:vAlign w:val="center"/>
          </w:tcPr>
          <w:p>
            <w:pPr>
              <w:jc w:val="center"/>
              <w:rPr>
                <w:color w:val="1C1C1C"/>
              </w:rPr>
            </w:pPr>
            <w:r>
              <w:rPr>
                <w:rFonts w:hint="eastAsia"/>
                <w:color w:val="1C1C1C"/>
              </w:rPr>
              <w:t>南阳市</w:t>
            </w:r>
          </w:p>
        </w:tc>
        <w:tc>
          <w:tcPr>
            <w:tcW w:w="1915" w:type="dxa"/>
            <w:noWrap/>
            <w:vAlign w:val="center"/>
          </w:tcPr>
          <w:p>
            <w:pPr>
              <w:jc w:val="center"/>
              <w:textAlignment w:val="center"/>
              <w:rPr>
                <w:color w:val="1C1C1C"/>
                <w:lang w:bidi="ar"/>
              </w:rPr>
            </w:pPr>
            <w:r>
              <w:rPr>
                <w:rFonts w:hint="eastAsia"/>
                <w:color w:val="1C1C1C"/>
                <w:lang w:bidi="ar"/>
              </w:rPr>
              <w:t xml:space="preserve">963 </w:t>
            </w:r>
          </w:p>
        </w:tc>
        <w:tc>
          <w:tcPr>
            <w:tcW w:w="2502" w:type="dxa"/>
            <w:noWrap/>
            <w:vAlign w:val="center"/>
          </w:tcPr>
          <w:p>
            <w:pPr>
              <w:jc w:val="center"/>
              <w:textAlignment w:val="center"/>
              <w:rPr>
                <w:color w:val="1C1C1C"/>
                <w:lang w:bidi="ar"/>
              </w:rPr>
            </w:pPr>
            <w:r>
              <w:rPr>
                <w:rFonts w:hint="eastAsia"/>
                <w:color w:val="1C1C1C"/>
                <w:lang w:bidi="ar"/>
              </w:rPr>
              <w:t xml:space="preserve">2196.3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56</w:t>
            </w:r>
          </w:p>
        </w:tc>
        <w:tc>
          <w:tcPr>
            <w:tcW w:w="2316" w:type="dxa"/>
            <w:noWrap/>
            <w:vAlign w:val="center"/>
          </w:tcPr>
          <w:p>
            <w:pPr>
              <w:jc w:val="center"/>
              <w:rPr>
                <w:color w:val="1C1C1C"/>
              </w:rPr>
            </w:pPr>
            <w:r>
              <w:rPr>
                <w:rFonts w:hint="eastAsia"/>
                <w:color w:val="1C1C1C"/>
              </w:rPr>
              <w:t>湖北省</w:t>
            </w:r>
          </w:p>
        </w:tc>
        <w:tc>
          <w:tcPr>
            <w:tcW w:w="1546" w:type="dxa"/>
            <w:noWrap/>
            <w:vAlign w:val="center"/>
          </w:tcPr>
          <w:p>
            <w:pPr>
              <w:jc w:val="center"/>
              <w:rPr>
                <w:color w:val="1C1C1C"/>
              </w:rPr>
            </w:pPr>
            <w:r>
              <w:rPr>
                <w:rFonts w:hint="eastAsia"/>
                <w:color w:val="1C1C1C"/>
              </w:rPr>
              <w:t>武汉市</w:t>
            </w:r>
          </w:p>
        </w:tc>
        <w:tc>
          <w:tcPr>
            <w:tcW w:w="1915" w:type="dxa"/>
            <w:noWrap/>
            <w:vAlign w:val="center"/>
          </w:tcPr>
          <w:p>
            <w:pPr>
              <w:jc w:val="center"/>
              <w:textAlignment w:val="center"/>
              <w:rPr>
                <w:color w:val="1C1C1C"/>
                <w:lang w:bidi="ar"/>
              </w:rPr>
            </w:pPr>
            <w:r>
              <w:rPr>
                <w:rFonts w:hint="eastAsia"/>
                <w:color w:val="1C1C1C"/>
                <w:lang w:bidi="ar"/>
              </w:rPr>
              <w:t xml:space="preserve">1365 </w:t>
            </w:r>
          </w:p>
        </w:tc>
        <w:tc>
          <w:tcPr>
            <w:tcW w:w="2502" w:type="dxa"/>
            <w:noWrap/>
            <w:vAlign w:val="center"/>
          </w:tcPr>
          <w:p>
            <w:pPr>
              <w:jc w:val="center"/>
              <w:textAlignment w:val="center"/>
              <w:rPr>
                <w:color w:val="1C1C1C"/>
                <w:lang w:bidi="ar"/>
              </w:rPr>
            </w:pPr>
            <w:r>
              <w:rPr>
                <w:rFonts w:hint="eastAsia"/>
                <w:color w:val="1C1C1C"/>
                <w:lang w:bidi="ar"/>
              </w:rPr>
              <w:t xml:space="preserve">6795.0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57</w:t>
            </w:r>
          </w:p>
        </w:tc>
        <w:tc>
          <w:tcPr>
            <w:tcW w:w="2316" w:type="dxa"/>
            <w:noWrap/>
            <w:vAlign w:val="center"/>
          </w:tcPr>
          <w:p>
            <w:pPr>
              <w:jc w:val="center"/>
              <w:rPr>
                <w:color w:val="1C1C1C"/>
              </w:rPr>
            </w:pPr>
            <w:r>
              <w:rPr>
                <w:rFonts w:hint="eastAsia"/>
                <w:color w:val="1C1C1C"/>
              </w:rPr>
              <w:t>湖北省</w:t>
            </w:r>
          </w:p>
        </w:tc>
        <w:tc>
          <w:tcPr>
            <w:tcW w:w="1546" w:type="dxa"/>
            <w:noWrap/>
            <w:vAlign w:val="center"/>
          </w:tcPr>
          <w:p>
            <w:pPr>
              <w:jc w:val="center"/>
              <w:rPr>
                <w:color w:val="1C1C1C"/>
              </w:rPr>
            </w:pPr>
            <w:r>
              <w:rPr>
                <w:rFonts w:hint="eastAsia"/>
                <w:color w:val="1C1C1C"/>
              </w:rPr>
              <w:t>宜昌市</w:t>
            </w:r>
          </w:p>
        </w:tc>
        <w:tc>
          <w:tcPr>
            <w:tcW w:w="1915" w:type="dxa"/>
            <w:noWrap/>
            <w:vAlign w:val="center"/>
          </w:tcPr>
          <w:p>
            <w:pPr>
              <w:jc w:val="center"/>
              <w:textAlignment w:val="center"/>
              <w:rPr>
                <w:color w:val="1C1C1C"/>
                <w:lang w:bidi="ar"/>
              </w:rPr>
            </w:pPr>
            <w:r>
              <w:rPr>
                <w:rFonts w:hint="eastAsia"/>
                <w:color w:val="1C1C1C"/>
                <w:lang w:bidi="ar"/>
              </w:rPr>
              <w:t xml:space="preserve">391 </w:t>
            </w:r>
          </w:p>
        </w:tc>
        <w:tc>
          <w:tcPr>
            <w:tcW w:w="2502" w:type="dxa"/>
            <w:noWrap/>
            <w:vAlign w:val="center"/>
          </w:tcPr>
          <w:p>
            <w:pPr>
              <w:jc w:val="center"/>
              <w:textAlignment w:val="center"/>
              <w:rPr>
                <w:color w:val="1C1C1C"/>
                <w:lang w:bidi="ar"/>
              </w:rPr>
            </w:pPr>
            <w:r>
              <w:rPr>
                <w:rFonts w:hint="eastAsia"/>
                <w:color w:val="1C1C1C"/>
                <w:lang w:bidi="ar"/>
              </w:rPr>
              <w:t xml:space="preserve">1800.8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58</w:t>
            </w:r>
          </w:p>
        </w:tc>
        <w:tc>
          <w:tcPr>
            <w:tcW w:w="2316" w:type="dxa"/>
            <w:noWrap/>
            <w:vAlign w:val="center"/>
          </w:tcPr>
          <w:p>
            <w:pPr>
              <w:jc w:val="center"/>
              <w:rPr>
                <w:color w:val="1C1C1C"/>
              </w:rPr>
            </w:pPr>
            <w:r>
              <w:rPr>
                <w:rFonts w:hint="eastAsia"/>
                <w:color w:val="1C1C1C"/>
              </w:rPr>
              <w:t>湖北省</w:t>
            </w:r>
          </w:p>
        </w:tc>
        <w:tc>
          <w:tcPr>
            <w:tcW w:w="1546" w:type="dxa"/>
            <w:noWrap/>
            <w:vAlign w:val="center"/>
          </w:tcPr>
          <w:p>
            <w:pPr>
              <w:jc w:val="center"/>
              <w:rPr>
                <w:color w:val="1C1C1C"/>
              </w:rPr>
            </w:pPr>
            <w:r>
              <w:rPr>
                <w:rFonts w:hint="eastAsia"/>
                <w:color w:val="1C1C1C"/>
              </w:rPr>
              <w:t>襄阳市</w:t>
            </w:r>
          </w:p>
        </w:tc>
        <w:tc>
          <w:tcPr>
            <w:tcW w:w="1915" w:type="dxa"/>
            <w:noWrap/>
            <w:vAlign w:val="center"/>
          </w:tcPr>
          <w:p>
            <w:pPr>
              <w:jc w:val="center"/>
              <w:textAlignment w:val="center"/>
              <w:rPr>
                <w:color w:val="1C1C1C"/>
                <w:lang w:bidi="ar"/>
              </w:rPr>
            </w:pPr>
            <w:r>
              <w:rPr>
                <w:rFonts w:hint="eastAsia"/>
                <w:color w:val="1C1C1C"/>
                <w:lang w:bidi="ar"/>
              </w:rPr>
              <w:t xml:space="preserve">527 </w:t>
            </w:r>
          </w:p>
        </w:tc>
        <w:tc>
          <w:tcPr>
            <w:tcW w:w="2502" w:type="dxa"/>
            <w:noWrap/>
            <w:vAlign w:val="center"/>
          </w:tcPr>
          <w:p>
            <w:pPr>
              <w:jc w:val="center"/>
              <w:textAlignment w:val="center"/>
              <w:rPr>
                <w:color w:val="1C1C1C"/>
                <w:lang w:bidi="ar"/>
              </w:rPr>
            </w:pPr>
            <w:r>
              <w:rPr>
                <w:rFonts w:hint="eastAsia"/>
                <w:color w:val="1C1C1C"/>
                <w:lang w:bidi="ar"/>
              </w:rPr>
              <w:t xml:space="preserve">1966.1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59</w:t>
            </w:r>
          </w:p>
        </w:tc>
        <w:tc>
          <w:tcPr>
            <w:tcW w:w="2316" w:type="dxa"/>
            <w:noWrap/>
            <w:vAlign w:val="center"/>
          </w:tcPr>
          <w:p>
            <w:pPr>
              <w:jc w:val="center"/>
              <w:rPr>
                <w:color w:val="1C1C1C"/>
              </w:rPr>
            </w:pPr>
            <w:r>
              <w:rPr>
                <w:rFonts w:hint="eastAsia"/>
                <w:color w:val="1C1C1C"/>
              </w:rPr>
              <w:t>湖南省</w:t>
            </w:r>
          </w:p>
        </w:tc>
        <w:tc>
          <w:tcPr>
            <w:tcW w:w="1546" w:type="dxa"/>
            <w:noWrap/>
            <w:vAlign w:val="center"/>
          </w:tcPr>
          <w:p>
            <w:pPr>
              <w:jc w:val="center"/>
              <w:rPr>
                <w:color w:val="1C1C1C"/>
              </w:rPr>
            </w:pPr>
            <w:r>
              <w:rPr>
                <w:rFonts w:hint="eastAsia"/>
                <w:color w:val="1C1C1C"/>
              </w:rPr>
              <w:t>长沙市</w:t>
            </w:r>
          </w:p>
        </w:tc>
        <w:tc>
          <w:tcPr>
            <w:tcW w:w="1915" w:type="dxa"/>
            <w:noWrap/>
            <w:vAlign w:val="center"/>
          </w:tcPr>
          <w:p>
            <w:pPr>
              <w:jc w:val="center"/>
              <w:textAlignment w:val="center"/>
              <w:rPr>
                <w:color w:val="1C1C1C"/>
                <w:lang w:bidi="ar"/>
              </w:rPr>
            </w:pPr>
            <w:r>
              <w:rPr>
                <w:rFonts w:hint="eastAsia"/>
                <w:color w:val="1C1C1C"/>
                <w:lang w:bidi="ar"/>
              </w:rPr>
              <w:t xml:space="preserve">1024 </w:t>
            </w:r>
          </w:p>
        </w:tc>
        <w:tc>
          <w:tcPr>
            <w:tcW w:w="2502" w:type="dxa"/>
            <w:noWrap/>
            <w:vAlign w:val="center"/>
          </w:tcPr>
          <w:p>
            <w:pPr>
              <w:jc w:val="center"/>
              <w:textAlignment w:val="center"/>
              <w:rPr>
                <w:color w:val="1C1C1C"/>
                <w:lang w:bidi="ar"/>
              </w:rPr>
            </w:pPr>
            <w:r>
              <w:rPr>
                <w:rFonts w:hint="eastAsia"/>
                <w:color w:val="1C1C1C"/>
                <w:lang w:bidi="ar"/>
              </w:rPr>
              <w:t xml:space="preserve">5111.6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60</w:t>
            </w:r>
          </w:p>
        </w:tc>
        <w:tc>
          <w:tcPr>
            <w:tcW w:w="2316" w:type="dxa"/>
            <w:noWrap/>
            <w:vAlign w:val="center"/>
          </w:tcPr>
          <w:p>
            <w:pPr>
              <w:jc w:val="center"/>
              <w:rPr>
                <w:color w:val="1C1C1C"/>
              </w:rPr>
            </w:pPr>
            <w:r>
              <w:rPr>
                <w:rFonts w:hint="eastAsia"/>
                <w:color w:val="1C1C1C"/>
              </w:rPr>
              <w:t>湖南省</w:t>
            </w:r>
          </w:p>
        </w:tc>
        <w:tc>
          <w:tcPr>
            <w:tcW w:w="1546" w:type="dxa"/>
            <w:noWrap/>
            <w:vAlign w:val="center"/>
          </w:tcPr>
          <w:p>
            <w:pPr>
              <w:jc w:val="center"/>
              <w:rPr>
                <w:color w:val="1C1C1C"/>
              </w:rPr>
            </w:pPr>
            <w:r>
              <w:rPr>
                <w:rFonts w:hint="eastAsia"/>
                <w:color w:val="1C1C1C"/>
              </w:rPr>
              <w:t>衡阳市</w:t>
            </w:r>
          </w:p>
        </w:tc>
        <w:tc>
          <w:tcPr>
            <w:tcW w:w="1915" w:type="dxa"/>
            <w:noWrap/>
            <w:vAlign w:val="center"/>
          </w:tcPr>
          <w:p>
            <w:pPr>
              <w:jc w:val="center"/>
              <w:textAlignment w:val="center"/>
              <w:rPr>
                <w:color w:val="1C1C1C"/>
                <w:lang w:bidi="ar"/>
              </w:rPr>
            </w:pPr>
            <w:r>
              <w:rPr>
                <w:rFonts w:hint="eastAsia"/>
                <w:color w:val="1C1C1C"/>
                <w:lang w:bidi="ar"/>
              </w:rPr>
              <w:t xml:space="preserve">662 </w:t>
            </w:r>
          </w:p>
        </w:tc>
        <w:tc>
          <w:tcPr>
            <w:tcW w:w="2502" w:type="dxa"/>
            <w:noWrap/>
            <w:vAlign w:val="center"/>
          </w:tcPr>
          <w:p>
            <w:pPr>
              <w:jc w:val="center"/>
              <w:textAlignment w:val="center"/>
              <w:rPr>
                <w:color w:val="1C1C1C"/>
                <w:lang w:bidi="ar"/>
              </w:rPr>
            </w:pPr>
            <w:r>
              <w:rPr>
                <w:rFonts w:hint="eastAsia"/>
                <w:color w:val="1C1C1C"/>
                <w:lang w:bidi="ar"/>
              </w:rPr>
              <w:t xml:space="preserve">1812.8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61</w:t>
            </w:r>
          </w:p>
        </w:tc>
        <w:tc>
          <w:tcPr>
            <w:tcW w:w="2316" w:type="dxa"/>
            <w:noWrap/>
            <w:vAlign w:val="center"/>
          </w:tcPr>
          <w:p>
            <w:pPr>
              <w:jc w:val="center"/>
              <w:rPr>
                <w:color w:val="1C1C1C"/>
              </w:rPr>
            </w:pPr>
            <w:r>
              <w:rPr>
                <w:rFonts w:hint="eastAsia"/>
                <w:color w:val="1C1C1C"/>
              </w:rPr>
              <w:t>湖南省</w:t>
            </w:r>
          </w:p>
        </w:tc>
        <w:tc>
          <w:tcPr>
            <w:tcW w:w="1546" w:type="dxa"/>
            <w:noWrap/>
            <w:vAlign w:val="center"/>
          </w:tcPr>
          <w:p>
            <w:pPr>
              <w:jc w:val="center"/>
              <w:rPr>
                <w:color w:val="1C1C1C"/>
              </w:rPr>
            </w:pPr>
            <w:r>
              <w:rPr>
                <w:rFonts w:hint="eastAsia"/>
                <w:color w:val="1C1C1C"/>
              </w:rPr>
              <w:t>岳阳市</w:t>
            </w:r>
          </w:p>
        </w:tc>
        <w:tc>
          <w:tcPr>
            <w:tcW w:w="1915" w:type="dxa"/>
            <w:noWrap/>
            <w:vAlign w:val="center"/>
          </w:tcPr>
          <w:p>
            <w:pPr>
              <w:jc w:val="center"/>
              <w:textAlignment w:val="center"/>
              <w:rPr>
                <w:color w:val="1C1C1C"/>
                <w:lang w:bidi="ar"/>
              </w:rPr>
            </w:pPr>
            <w:r>
              <w:rPr>
                <w:rFonts w:hint="eastAsia"/>
                <w:color w:val="1C1C1C"/>
                <w:lang w:bidi="ar"/>
              </w:rPr>
              <w:t xml:space="preserve">504 </w:t>
            </w:r>
          </w:p>
        </w:tc>
        <w:tc>
          <w:tcPr>
            <w:tcW w:w="2502" w:type="dxa"/>
            <w:noWrap/>
            <w:vAlign w:val="center"/>
          </w:tcPr>
          <w:p>
            <w:pPr>
              <w:jc w:val="center"/>
              <w:textAlignment w:val="center"/>
              <w:rPr>
                <w:color w:val="1C1C1C"/>
                <w:lang w:bidi="ar"/>
              </w:rPr>
            </w:pPr>
            <w:r>
              <w:rPr>
                <w:rFonts w:hint="eastAsia"/>
                <w:color w:val="1C1C1C"/>
                <w:lang w:bidi="ar"/>
              </w:rPr>
              <w:t xml:space="preserve">1807.9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62</w:t>
            </w:r>
          </w:p>
        </w:tc>
        <w:tc>
          <w:tcPr>
            <w:tcW w:w="2316" w:type="dxa"/>
            <w:noWrap/>
            <w:vAlign w:val="center"/>
          </w:tcPr>
          <w:p>
            <w:pPr>
              <w:jc w:val="center"/>
              <w:rPr>
                <w:color w:val="1C1C1C"/>
              </w:rPr>
            </w:pPr>
            <w:r>
              <w:rPr>
                <w:rFonts w:hint="eastAsia"/>
                <w:color w:val="1C1C1C"/>
              </w:rPr>
              <w:t>广东省</w:t>
            </w:r>
          </w:p>
        </w:tc>
        <w:tc>
          <w:tcPr>
            <w:tcW w:w="1546" w:type="dxa"/>
            <w:noWrap/>
            <w:vAlign w:val="center"/>
          </w:tcPr>
          <w:p>
            <w:pPr>
              <w:jc w:val="center"/>
              <w:rPr>
                <w:color w:val="1C1C1C"/>
              </w:rPr>
            </w:pPr>
            <w:r>
              <w:rPr>
                <w:rFonts w:hint="eastAsia"/>
                <w:color w:val="1C1C1C"/>
              </w:rPr>
              <w:t>广州市</w:t>
            </w:r>
          </w:p>
        </w:tc>
        <w:tc>
          <w:tcPr>
            <w:tcW w:w="1915" w:type="dxa"/>
            <w:noWrap/>
            <w:vAlign w:val="center"/>
          </w:tcPr>
          <w:p>
            <w:pPr>
              <w:jc w:val="center"/>
              <w:textAlignment w:val="center"/>
              <w:rPr>
                <w:color w:val="1C1C1C"/>
                <w:lang w:bidi="ar"/>
              </w:rPr>
            </w:pPr>
            <w:r>
              <w:rPr>
                <w:rFonts w:hint="eastAsia"/>
                <w:color w:val="1C1C1C"/>
                <w:lang w:bidi="ar"/>
              </w:rPr>
              <w:t xml:space="preserve">1881 </w:t>
            </w:r>
          </w:p>
        </w:tc>
        <w:tc>
          <w:tcPr>
            <w:tcW w:w="2502" w:type="dxa"/>
            <w:noWrap/>
            <w:vAlign w:val="center"/>
          </w:tcPr>
          <w:p>
            <w:pPr>
              <w:jc w:val="center"/>
              <w:textAlignment w:val="center"/>
              <w:rPr>
                <w:color w:val="1C1C1C"/>
                <w:lang w:bidi="ar"/>
              </w:rPr>
            </w:pPr>
            <w:r>
              <w:rPr>
                <w:rFonts w:hint="eastAsia"/>
                <w:color w:val="1C1C1C"/>
                <w:lang w:bidi="ar"/>
              </w:rPr>
              <w:t xml:space="preserve">10122.6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63</w:t>
            </w:r>
          </w:p>
        </w:tc>
        <w:tc>
          <w:tcPr>
            <w:tcW w:w="2316" w:type="dxa"/>
            <w:noWrap/>
            <w:vAlign w:val="center"/>
          </w:tcPr>
          <w:p>
            <w:pPr>
              <w:jc w:val="center"/>
              <w:rPr>
                <w:color w:val="1C1C1C"/>
              </w:rPr>
            </w:pPr>
            <w:r>
              <w:rPr>
                <w:rFonts w:hint="eastAsia"/>
                <w:color w:val="1C1C1C"/>
              </w:rPr>
              <w:t>广东省</w:t>
            </w:r>
          </w:p>
        </w:tc>
        <w:tc>
          <w:tcPr>
            <w:tcW w:w="1546" w:type="dxa"/>
            <w:noWrap/>
            <w:vAlign w:val="center"/>
          </w:tcPr>
          <w:p>
            <w:pPr>
              <w:jc w:val="center"/>
              <w:rPr>
                <w:color w:val="1C1C1C"/>
              </w:rPr>
            </w:pPr>
            <w:r>
              <w:rPr>
                <w:rFonts w:hint="eastAsia"/>
                <w:color w:val="1C1C1C"/>
              </w:rPr>
              <w:t>深圳市</w:t>
            </w:r>
          </w:p>
        </w:tc>
        <w:tc>
          <w:tcPr>
            <w:tcW w:w="1915" w:type="dxa"/>
            <w:noWrap/>
            <w:vAlign w:val="center"/>
          </w:tcPr>
          <w:p>
            <w:pPr>
              <w:jc w:val="center"/>
              <w:textAlignment w:val="center"/>
              <w:rPr>
                <w:color w:val="1C1C1C"/>
                <w:lang w:bidi="ar"/>
              </w:rPr>
            </w:pPr>
            <w:r>
              <w:rPr>
                <w:rFonts w:hint="eastAsia"/>
                <w:color w:val="1C1C1C"/>
                <w:lang w:bidi="ar"/>
              </w:rPr>
              <w:t xml:space="preserve">1768 </w:t>
            </w:r>
          </w:p>
        </w:tc>
        <w:tc>
          <w:tcPr>
            <w:tcW w:w="2502" w:type="dxa"/>
            <w:noWrap/>
            <w:vAlign w:val="center"/>
          </w:tcPr>
          <w:p>
            <w:pPr>
              <w:jc w:val="center"/>
              <w:textAlignment w:val="center"/>
              <w:rPr>
                <w:color w:val="1C1C1C"/>
                <w:lang w:bidi="ar"/>
              </w:rPr>
            </w:pPr>
            <w:r>
              <w:rPr>
                <w:rFonts w:hint="eastAsia"/>
                <w:color w:val="1C1C1C"/>
                <w:lang w:bidi="ar"/>
              </w:rPr>
              <w:t xml:space="preserve">9498.1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64</w:t>
            </w:r>
          </w:p>
        </w:tc>
        <w:tc>
          <w:tcPr>
            <w:tcW w:w="2316" w:type="dxa"/>
            <w:noWrap/>
            <w:vAlign w:val="center"/>
          </w:tcPr>
          <w:p>
            <w:pPr>
              <w:jc w:val="center"/>
              <w:rPr>
                <w:color w:val="1C1C1C"/>
              </w:rPr>
            </w:pPr>
            <w:r>
              <w:rPr>
                <w:rFonts w:hint="eastAsia"/>
                <w:color w:val="1C1C1C"/>
              </w:rPr>
              <w:t>广东省</w:t>
            </w:r>
          </w:p>
        </w:tc>
        <w:tc>
          <w:tcPr>
            <w:tcW w:w="1546" w:type="dxa"/>
            <w:noWrap/>
            <w:vAlign w:val="center"/>
          </w:tcPr>
          <w:p>
            <w:pPr>
              <w:jc w:val="center"/>
              <w:rPr>
                <w:color w:val="1C1C1C"/>
              </w:rPr>
            </w:pPr>
            <w:r>
              <w:rPr>
                <w:rFonts w:hint="eastAsia"/>
                <w:color w:val="1C1C1C"/>
              </w:rPr>
              <w:t>汕头市</w:t>
            </w:r>
          </w:p>
        </w:tc>
        <w:tc>
          <w:tcPr>
            <w:tcW w:w="1915" w:type="dxa"/>
            <w:noWrap/>
            <w:vAlign w:val="center"/>
          </w:tcPr>
          <w:p>
            <w:pPr>
              <w:jc w:val="center"/>
              <w:textAlignment w:val="center"/>
              <w:rPr>
                <w:color w:val="1C1C1C"/>
                <w:lang w:bidi="ar"/>
              </w:rPr>
            </w:pPr>
            <w:r>
              <w:rPr>
                <w:rFonts w:hint="eastAsia"/>
                <w:color w:val="1C1C1C"/>
                <w:lang w:bidi="ar"/>
              </w:rPr>
              <w:t xml:space="preserve">553 </w:t>
            </w:r>
          </w:p>
        </w:tc>
        <w:tc>
          <w:tcPr>
            <w:tcW w:w="2502" w:type="dxa"/>
            <w:noWrap/>
            <w:vAlign w:val="center"/>
          </w:tcPr>
          <w:p>
            <w:pPr>
              <w:jc w:val="center"/>
              <w:textAlignment w:val="center"/>
              <w:rPr>
                <w:color w:val="1C1C1C"/>
                <w:lang w:bidi="ar"/>
              </w:rPr>
            </w:pPr>
            <w:r>
              <w:rPr>
                <w:rFonts w:hint="eastAsia"/>
                <w:color w:val="1C1C1C"/>
                <w:lang w:bidi="ar"/>
              </w:rPr>
              <w:t xml:space="preserve">1503.8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65</w:t>
            </w:r>
          </w:p>
        </w:tc>
        <w:tc>
          <w:tcPr>
            <w:tcW w:w="2316" w:type="dxa"/>
            <w:noWrap/>
            <w:vAlign w:val="center"/>
          </w:tcPr>
          <w:p>
            <w:pPr>
              <w:jc w:val="center"/>
              <w:rPr>
                <w:color w:val="1C1C1C"/>
              </w:rPr>
            </w:pPr>
            <w:r>
              <w:rPr>
                <w:rFonts w:hint="eastAsia"/>
                <w:color w:val="1C1C1C"/>
              </w:rPr>
              <w:t>广东省</w:t>
            </w:r>
          </w:p>
        </w:tc>
        <w:tc>
          <w:tcPr>
            <w:tcW w:w="1546" w:type="dxa"/>
            <w:noWrap/>
            <w:vAlign w:val="center"/>
          </w:tcPr>
          <w:p>
            <w:pPr>
              <w:jc w:val="center"/>
              <w:rPr>
                <w:color w:val="1C1C1C"/>
              </w:rPr>
            </w:pPr>
            <w:r>
              <w:rPr>
                <w:rFonts w:hint="eastAsia"/>
                <w:color w:val="1C1C1C"/>
              </w:rPr>
              <w:t>佛山市</w:t>
            </w:r>
          </w:p>
        </w:tc>
        <w:tc>
          <w:tcPr>
            <w:tcW w:w="1915" w:type="dxa"/>
            <w:noWrap/>
            <w:vAlign w:val="center"/>
          </w:tcPr>
          <w:p>
            <w:pPr>
              <w:jc w:val="center"/>
              <w:textAlignment w:val="center"/>
              <w:rPr>
                <w:color w:val="1C1C1C"/>
                <w:lang w:bidi="ar"/>
              </w:rPr>
            </w:pPr>
            <w:r>
              <w:rPr>
                <w:rFonts w:hint="eastAsia"/>
                <w:color w:val="1C1C1C"/>
                <w:lang w:bidi="ar"/>
              </w:rPr>
              <w:t xml:space="preserve">961 </w:t>
            </w:r>
          </w:p>
        </w:tc>
        <w:tc>
          <w:tcPr>
            <w:tcW w:w="2502" w:type="dxa"/>
            <w:noWrap/>
            <w:vAlign w:val="center"/>
          </w:tcPr>
          <w:p>
            <w:pPr>
              <w:jc w:val="center"/>
              <w:textAlignment w:val="center"/>
              <w:rPr>
                <w:color w:val="1C1C1C"/>
                <w:lang w:bidi="ar"/>
              </w:rPr>
            </w:pPr>
            <w:r>
              <w:rPr>
                <w:rFonts w:hint="eastAsia"/>
                <w:color w:val="1C1C1C"/>
                <w:lang w:bidi="ar"/>
              </w:rPr>
              <w:t xml:space="preserve">3556.7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66</w:t>
            </w:r>
          </w:p>
        </w:tc>
        <w:tc>
          <w:tcPr>
            <w:tcW w:w="2316" w:type="dxa"/>
            <w:noWrap/>
            <w:vAlign w:val="center"/>
          </w:tcPr>
          <w:p>
            <w:pPr>
              <w:jc w:val="center"/>
              <w:rPr>
                <w:color w:val="1C1C1C"/>
              </w:rPr>
            </w:pPr>
            <w:r>
              <w:rPr>
                <w:rFonts w:hint="eastAsia"/>
                <w:color w:val="1C1C1C"/>
              </w:rPr>
              <w:t>广东省</w:t>
            </w:r>
          </w:p>
        </w:tc>
        <w:tc>
          <w:tcPr>
            <w:tcW w:w="1546" w:type="dxa"/>
            <w:noWrap/>
            <w:vAlign w:val="center"/>
          </w:tcPr>
          <w:p>
            <w:pPr>
              <w:jc w:val="center"/>
              <w:rPr>
                <w:color w:val="1C1C1C"/>
              </w:rPr>
            </w:pPr>
            <w:r>
              <w:rPr>
                <w:rFonts w:hint="eastAsia"/>
                <w:color w:val="1C1C1C"/>
              </w:rPr>
              <w:t>东莞市</w:t>
            </w:r>
          </w:p>
        </w:tc>
        <w:tc>
          <w:tcPr>
            <w:tcW w:w="1915" w:type="dxa"/>
            <w:noWrap/>
            <w:vAlign w:val="center"/>
          </w:tcPr>
          <w:p>
            <w:pPr>
              <w:jc w:val="center"/>
              <w:textAlignment w:val="center"/>
              <w:rPr>
                <w:color w:val="1C1C1C"/>
                <w:lang w:bidi="ar"/>
              </w:rPr>
            </w:pPr>
            <w:r>
              <w:rPr>
                <w:rFonts w:hint="eastAsia"/>
                <w:color w:val="1C1C1C"/>
                <w:lang w:bidi="ar"/>
              </w:rPr>
              <w:t xml:space="preserve">1054 </w:t>
            </w:r>
          </w:p>
        </w:tc>
        <w:tc>
          <w:tcPr>
            <w:tcW w:w="2502" w:type="dxa"/>
            <w:noWrap/>
            <w:vAlign w:val="center"/>
          </w:tcPr>
          <w:p>
            <w:pPr>
              <w:jc w:val="center"/>
              <w:textAlignment w:val="center"/>
              <w:rPr>
                <w:color w:val="1C1C1C"/>
                <w:lang w:bidi="ar"/>
              </w:rPr>
            </w:pPr>
            <w:r>
              <w:rPr>
                <w:rFonts w:hint="eastAsia"/>
                <w:color w:val="1C1C1C"/>
                <w:lang w:bidi="ar"/>
              </w:rPr>
              <w:t xml:space="preserve">3740.1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67</w:t>
            </w:r>
          </w:p>
        </w:tc>
        <w:tc>
          <w:tcPr>
            <w:tcW w:w="2316" w:type="dxa"/>
            <w:noWrap/>
            <w:vAlign w:val="center"/>
          </w:tcPr>
          <w:p>
            <w:pPr>
              <w:jc w:val="center"/>
              <w:rPr>
                <w:color w:val="1C1C1C"/>
              </w:rPr>
            </w:pPr>
            <w:r>
              <w:rPr>
                <w:rFonts w:hint="eastAsia"/>
                <w:color w:val="1C1C1C"/>
              </w:rPr>
              <w:t>广西壮族自治区</w:t>
            </w:r>
          </w:p>
        </w:tc>
        <w:tc>
          <w:tcPr>
            <w:tcW w:w="1546" w:type="dxa"/>
            <w:noWrap/>
            <w:vAlign w:val="center"/>
          </w:tcPr>
          <w:p>
            <w:pPr>
              <w:jc w:val="center"/>
              <w:rPr>
                <w:color w:val="1C1C1C"/>
              </w:rPr>
            </w:pPr>
            <w:r>
              <w:rPr>
                <w:rFonts w:hint="eastAsia"/>
                <w:color w:val="1C1C1C"/>
              </w:rPr>
              <w:t>南宁市</w:t>
            </w:r>
          </w:p>
        </w:tc>
        <w:tc>
          <w:tcPr>
            <w:tcW w:w="1915" w:type="dxa"/>
            <w:noWrap/>
            <w:vAlign w:val="center"/>
          </w:tcPr>
          <w:p>
            <w:pPr>
              <w:jc w:val="center"/>
              <w:textAlignment w:val="center"/>
              <w:rPr>
                <w:color w:val="1C1C1C"/>
                <w:lang w:bidi="ar"/>
              </w:rPr>
            </w:pPr>
            <w:r>
              <w:rPr>
                <w:rFonts w:hint="eastAsia"/>
                <w:color w:val="1C1C1C"/>
                <w:lang w:bidi="ar"/>
              </w:rPr>
              <w:t xml:space="preserve">883 </w:t>
            </w:r>
          </w:p>
        </w:tc>
        <w:tc>
          <w:tcPr>
            <w:tcW w:w="2502" w:type="dxa"/>
            <w:noWrap/>
            <w:vAlign w:val="center"/>
          </w:tcPr>
          <w:p>
            <w:pPr>
              <w:jc w:val="center"/>
              <w:textAlignment w:val="center"/>
              <w:rPr>
                <w:color w:val="1C1C1C"/>
                <w:lang w:bidi="ar"/>
              </w:rPr>
            </w:pPr>
            <w:r>
              <w:rPr>
                <w:rFonts w:hint="eastAsia"/>
                <w:color w:val="1C1C1C"/>
                <w:lang w:bidi="ar"/>
              </w:rPr>
              <w:t xml:space="preserve">2364.2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68</w:t>
            </w:r>
          </w:p>
        </w:tc>
        <w:tc>
          <w:tcPr>
            <w:tcW w:w="2316" w:type="dxa"/>
            <w:noWrap/>
            <w:vAlign w:val="center"/>
          </w:tcPr>
          <w:p>
            <w:pPr>
              <w:jc w:val="center"/>
              <w:rPr>
                <w:color w:val="1C1C1C"/>
              </w:rPr>
            </w:pPr>
            <w:r>
              <w:rPr>
                <w:rFonts w:hint="eastAsia"/>
                <w:color w:val="1C1C1C"/>
              </w:rPr>
              <w:t>广西壮族自治区</w:t>
            </w:r>
          </w:p>
        </w:tc>
        <w:tc>
          <w:tcPr>
            <w:tcW w:w="1546" w:type="dxa"/>
            <w:noWrap/>
            <w:vAlign w:val="center"/>
          </w:tcPr>
          <w:p>
            <w:pPr>
              <w:jc w:val="center"/>
              <w:rPr>
                <w:color w:val="1C1C1C"/>
              </w:rPr>
            </w:pPr>
            <w:r>
              <w:rPr>
                <w:rFonts w:hint="eastAsia"/>
                <w:color w:val="1C1C1C"/>
              </w:rPr>
              <w:t>柳州市</w:t>
            </w:r>
          </w:p>
        </w:tc>
        <w:tc>
          <w:tcPr>
            <w:tcW w:w="1915" w:type="dxa"/>
            <w:noWrap/>
            <w:vAlign w:val="center"/>
          </w:tcPr>
          <w:p>
            <w:pPr>
              <w:jc w:val="center"/>
              <w:textAlignment w:val="center"/>
              <w:rPr>
                <w:color w:val="1C1C1C"/>
                <w:lang w:bidi="ar"/>
              </w:rPr>
            </w:pPr>
            <w:r>
              <w:rPr>
                <w:rFonts w:hint="eastAsia"/>
                <w:color w:val="1C1C1C"/>
                <w:lang w:bidi="ar"/>
              </w:rPr>
              <w:t xml:space="preserve">418 </w:t>
            </w:r>
          </w:p>
        </w:tc>
        <w:tc>
          <w:tcPr>
            <w:tcW w:w="2502" w:type="dxa"/>
            <w:noWrap/>
            <w:vAlign w:val="center"/>
          </w:tcPr>
          <w:p>
            <w:pPr>
              <w:jc w:val="center"/>
              <w:textAlignment w:val="center"/>
              <w:rPr>
                <w:color w:val="1C1C1C"/>
                <w:lang w:bidi="ar"/>
              </w:rPr>
            </w:pPr>
            <w:r>
              <w:rPr>
                <w:rFonts w:hint="eastAsia"/>
                <w:color w:val="1C1C1C"/>
                <w:lang w:bidi="ar"/>
              </w:rPr>
              <w:t xml:space="preserve">1332.3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69</w:t>
            </w:r>
          </w:p>
        </w:tc>
        <w:tc>
          <w:tcPr>
            <w:tcW w:w="2316" w:type="dxa"/>
            <w:noWrap/>
            <w:vAlign w:val="center"/>
          </w:tcPr>
          <w:p>
            <w:pPr>
              <w:jc w:val="center"/>
              <w:rPr>
                <w:color w:val="1C1C1C"/>
              </w:rPr>
            </w:pPr>
            <w:r>
              <w:rPr>
                <w:rFonts w:hint="eastAsia"/>
                <w:color w:val="1C1C1C"/>
              </w:rPr>
              <w:t>广西壮族自治区</w:t>
            </w:r>
          </w:p>
        </w:tc>
        <w:tc>
          <w:tcPr>
            <w:tcW w:w="1546" w:type="dxa"/>
            <w:noWrap/>
            <w:vAlign w:val="center"/>
          </w:tcPr>
          <w:p>
            <w:pPr>
              <w:jc w:val="center"/>
              <w:rPr>
                <w:color w:val="1C1C1C"/>
              </w:rPr>
            </w:pPr>
            <w:r>
              <w:rPr>
                <w:rFonts w:hint="eastAsia"/>
                <w:color w:val="1C1C1C"/>
              </w:rPr>
              <w:t>桂林市</w:t>
            </w:r>
          </w:p>
        </w:tc>
        <w:tc>
          <w:tcPr>
            <w:tcW w:w="1915" w:type="dxa"/>
            <w:noWrap/>
            <w:vAlign w:val="center"/>
          </w:tcPr>
          <w:p>
            <w:pPr>
              <w:jc w:val="center"/>
              <w:textAlignment w:val="center"/>
              <w:rPr>
                <w:color w:val="1C1C1C"/>
                <w:lang w:bidi="ar"/>
              </w:rPr>
            </w:pPr>
            <w:r>
              <w:rPr>
                <w:rFonts w:hint="eastAsia"/>
                <w:color w:val="1C1C1C"/>
                <w:lang w:bidi="ar"/>
              </w:rPr>
              <w:t xml:space="preserve">495 </w:t>
            </w:r>
          </w:p>
        </w:tc>
        <w:tc>
          <w:tcPr>
            <w:tcW w:w="2502" w:type="dxa"/>
            <w:noWrap/>
            <w:vAlign w:val="center"/>
          </w:tcPr>
          <w:p>
            <w:pPr>
              <w:jc w:val="center"/>
              <w:textAlignment w:val="center"/>
              <w:rPr>
                <w:color w:val="1C1C1C"/>
                <w:lang w:bidi="ar"/>
              </w:rPr>
            </w:pPr>
            <w:r>
              <w:rPr>
                <w:rFonts w:hint="eastAsia"/>
                <w:color w:val="1C1C1C"/>
                <w:lang w:bidi="ar"/>
              </w:rPr>
              <w:t xml:space="preserve">942.6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70</w:t>
            </w:r>
          </w:p>
        </w:tc>
        <w:tc>
          <w:tcPr>
            <w:tcW w:w="2316" w:type="dxa"/>
            <w:noWrap/>
            <w:vAlign w:val="center"/>
          </w:tcPr>
          <w:p>
            <w:pPr>
              <w:jc w:val="center"/>
              <w:rPr>
                <w:color w:val="1C1C1C"/>
              </w:rPr>
            </w:pPr>
            <w:r>
              <w:rPr>
                <w:rFonts w:hint="eastAsia"/>
                <w:color w:val="1C1C1C"/>
              </w:rPr>
              <w:t>海南省</w:t>
            </w:r>
          </w:p>
        </w:tc>
        <w:tc>
          <w:tcPr>
            <w:tcW w:w="1546" w:type="dxa"/>
            <w:noWrap/>
            <w:vAlign w:val="center"/>
          </w:tcPr>
          <w:p>
            <w:pPr>
              <w:jc w:val="center"/>
              <w:rPr>
                <w:color w:val="1C1C1C"/>
              </w:rPr>
            </w:pPr>
            <w:r>
              <w:rPr>
                <w:rFonts w:hint="eastAsia"/>
                <w:color w:val="1C1C1C"/>
              </w:rPr>
              <w:t>海口市</w:t>
            </w:r>
          </w:p>
        </w:tc>
        <w:tc>
          <w:tcPr>
            <w:tcW w:w="1915" w:type="dxa"/>
            <w:noWrap/>
            <w:vAlign w:val="center"/>
          </w:tcPr>
          <w:p>
            <w:pPr>
              <w:jc w:val="center"/>
              <w:textAlignment w:val="center"/>
              <w:rPr>
                <w:color w:val="1C1C1C"/>
                <w:lang w:bidi="ar"/>
              </w:rPr>
            </w:pPr>
            <w:r>
              <w:rPr>
                <w:rFonts w:hint="eastAsia"/>
                <w:color w:val="1C1C1C"/>
                <w:lang w:bidi="ar"/>
              </w:rPr>
              <w:t xml:space="preserve">291 </w:t>
            </w:r>
          </w:p>
        </w:tc>
        <w:tc>
          <w:tcPr>
            <w:tcW w:w="2502" w:type="dxa"/>
            <w:noWrap/>
            <w:vAlign w:val="center"/>
          </w:tcPr>
          <w:p>
            <w:pPr>
              <w:jc w:val="center"/>
              <w:textAlignment w:val="center"/>
              <w:rPr>
                <w:color w:val="1C1C1C"/>
                <w:lang w:bidi="ar"/>
              </w:rPr>
            </w:pPr>
            <w:r>
              <w:rPr>
                <w:rFonts w:hint="eastAsia"/>
                <w:color w:val="1C1C1C"/>
                <w:lang w:bidi="ar"/>
              </w:rPr>
              <w:t xml:space="preserve">1057.0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71</w:t>
            </w:r>
          </w:p>
        </w:tc>
        <w:tc>
          <w:tcPr>
            <w:tcW w:w="2316" w:type="dxa"/>
            <w:noWrap/>
            <w:vAlign w:val="center"/>
          </w:tcPr>
          <w:p>
            <w:pPr>
              <w:jc w:val="center"/>
              <w:rPr>
                <w:color w:val="1C1C1C"/>
              </w:rPr>
            </w:pPr>
            <w:r>
              <w:rPr>
                <w:rFonts w:hint="eastAsia"/>
                <w:color w:val="1C1C1C"/>
              </w:rPr>
              <w:t>海南省</w:t>
            </w:r>
          </w:p>
        </w:tc>
        <w:tc>
          <w:tcPr>
            <w:tcW w:w="1546" w:type="dxa"/>
            <w:noWrap/>
            <w:vAlign w:val="center"/>
          </w:tcPr>
          <w:p>
            <w:pPr>
              <w:jc w:val="center"/>
              <w:rPr>
                <w:color w:val="1C1C1C"/>
              </w:rPr>
            </w:pPr>
            <w:r>
              <w:rPr>
                <w:rFonts w:hint="eastAsia"/>
                <w:color w:val="1C1C1C"/>
              </w:rPr>
              <w:t>三亚市</w:t>
            </w:r>
          </w:p>
        </w:tc>
        <w:tc>
          <w:tcPr>
            <w:tcW w:w="1915" w:type="dxa"/>
            <w:noWrap/>
            <w:vAlign w:val="center"/>
          </w:tcPr>
          <w:p>
            <w:pPr>
              <w:jc w:val="center"/>
              <w:textAlignment w:val="center"/>
              <w:rPr>
                <w:color w:val="1C1C1C"/>
                <w:lang w:bidi="ar"/>
              </w:rPr>
            </w:pPr>
            <w:r>
              <w:rPr>
                <w:rFonts w:hint="eastAsia"/>
                <w:color w:val="1C1C1C"/>
                <w:lang w:bidi="ar"/>
              </w:rPr>
              <w:t xml:space="preserve">106 </w:t>
            </w:r>
          </w:p>
        </w:tc>
        <w:tc>
          <w:tcPr>
            <w:tcW w:w="2502" w:type="dxa"/>
            <w:noWrap/>
            <w:vAlign w:val="center"/>
          </w:tcPr>
          <w:p>
            <w:pPr>
              <w:jc w:val="center"/>
              <w:textAlignment w:val="center"/>
              <w:rPr>
                <w:color w:val="1C1C1C"/>
                <w:lang w:bidi="ar"/>
              </w:rPr>
            </w:pPr>
            <w:r>
              <w:rPr>
                <w:rFonts w:hint="eastAsia"/>
                <w:color w:val="1C1C1C"/>
                <w:lang w:bidi="ar"/>
              </w:rPr>
              <w:t xml:space="preserve">545.2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72</w:t>
            </w:r>
          </w:p>
        </w:tc>
        <w:tc>
          <w:tcPr>
            <w:tcW w:w="2316" w:type="dxa"/>
            <w:noWrap/>
            <w:vAlign w:val="center"/>
          </w:tcPr>
          <w:p>
            <w:pPr>
              <w:jc w:val="center"/>
              <w:rPr>
                <w:color w:val="1C1C1C"/>
              </w:rPr>
            </w:pPr>
            <w:r>
              <w:rPr>
                <w:rFonts w:hint="eastAsia"/>
                <w:color w:val="1C1C1C"/>
              </w:rPr>
              <w:t>海南省</w:t>
            </w:r>
          </w:p>
        </w:tc>
        <w:tc>
          <w:tcPr>
            <w:tcW w:w="1546" w:type="dxa"/>
            <w:noWrap/>
            <w:vAlign w:val="center"/>
          </w:tcPr>
          <w:p>
            <w:pPr>
              <w:jc w:val="center"/>
              <w:rPr>
                <w:color w:val="1C1C1C"/>
              </w:rPr>
            </w:pPr>
            <w:r>
              <w:rPr>
                <w:rFonts w:hint="eastAsia"/>
                <w:color w:val="1C1C1C"/>
              </w:rPr>
              <w:t>儋州市</w:t>
            </w:r>
          </w:p>
        </w:tc>
        <w:tc>
          <w:tcPr>
            <w:tcW w:w="1915" w:type="dxa"/>
            <w:noWrap/>
            <w:vAlign w:val="center"/>
          </w:tcPr>
          <w:p>
            <w:pPr>
              <w:jc w:val="center"/>
              <w:textAlignment w:val="center"/>
              <w:rPr>
                <w:color w:val="1C1C1C"/>
                <w:lang w:bidi="ar"/>
              </w:rPr>
            </w:pPr>
            <w:r>
              <w:rPr>
                <w:rFonts w:hint="eastAsia"/>
                <w:color w:val="1C1C1C"/>
                <w:lang w:bidi="ar"/>
              </w:rPr>
              <w:t xml:space="preserve">97 </w:t>
            </w:r>
          </w:p>
        </w:tc>
        <w:tc>
          <w:tcPr>
            <w:tcW w:w="2502" w:type="dxa"/>
            <w:noWrap/>
            <w:vAlign w:val="center"/>
          </w:tcPr>
          <w:p>
            <w:pPr>
              <w:jc w:val="center"/>
              <w:textAlignment w:val="center"/>
              <w:rPr>
                <w:color w:val="1C1C1C"/>
                <w:lang w:bidi="ar"/>
              </w:rPr>
            </w:pPr>
            <w:r>
              <w:rPr>
                <w:rFonts w:hint="eastAsia"/>
                <w:color w:val="1C1C1C"/>
                <w:lang w:bidi="ar"/>
              </w:rPr>
              <w:t xml:space="preserve">114.9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73</w:t>
            </w:r>
          </w:p>
        </w:tc>
        <w:tc>
          <w:tcPr>
            <w:tcW w:w="2316" w:type="dxa"/>
            <w:noWrap/>
            <w:vAlign w:val="center"/>
          </w:tcPr>
          <w:p>
            <w:pPr>
              <w:jc w:val="center"/>
              <w:rPr>
                <w:color w:val="1C1C1C"/>
              </w:rPr>
            </w:pPr>
            <w:r>
              <w:rPr>
                <w:rFonts w:hint="eastAsia"/>
                <w:color w:val="1C1C1C"/>
              </w:rPr>
              <w:t>重庆市</w:t>
            </w:r>
          </w:p>
        </w:tc>
        <w:tc>
          <w:tcPr>
            <w:tcW w:w="1546" w:type="dxa"/>
            <w:noWrap/>
            <w:vAlign w:val="center"/>
          </w:tcPr>
          <w:p>
            <w:pPr>
              <w:jc w:val="center"/>
              <w:rPr>
                <w:color w:val="1C1C1C"/>
              </w:rPr>
            </w:pPr>
            <w:r>
              <w:rPr>
                <w:rFonts w:hint="eastAsia"/>
                <w:color w:val="1C1C1C"/>
              </w:rPr>
              <w:t>重庆市</w:t>
            </w:r>
          </w:p>
        </w:tc>
        <w:tc>
          <w:tcPr>
            <w:tcW w:w="1915" w:type="dxa"/>
            <w:noWrap/>
            <w:vAlign w:val="center"/>
          </w:tcPr>
          <w:p>
            <w:pPr>
              <w:jc w:val="center"/>
              <w:textAlignment w:val="center"/>
              <w:rPr>
                <w:color w:val="1C1C1C"/>
                <w:lang w:bidi="ar"/>
              </w:rPr>
            </w:pPr>
            <w:r>
              <w:rPr>
                <w:rFonts w:hint="eastAsia"/>
                <w:color w:val="1C1C1C"/>
                <w:lang w:bidi="ar"/>
              </w:rPr>
              <w:t xml:space="preserve">3212 </w:t>
            </w:r>
          </w:p>
        </w:tc>
        <w:tc>
          <w:tcPr>
            <w:tcW w:w="2502" w:type="dxa"/>
            <w:noWrap/>
            <w:vAlign w:val="center"/>
          </w:tcPr>
          <w:p>
            <w:pPr>
              <w:jc w:val="center"/>
              <w:textAlignment w:val="center"/>
              <w:rPr>
                <w:color w:val="1C1C1C"/>
                <w:lang w:bidi="ar"/>
              </w:rPr>
            </w:pPr>
            <w:r>
              <w:rPr>
                <w:rFonts w:hint="eastAsia"/>
                <w:color w:val="1C1C1C"/>
                <w:lang w:bidi="ar"/>
              </w:rPr>
              <w:t xml:space="preserve">13967.7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74</w:t>
            </w:r>
          </w:p>
        </w:tc>
        <w:tc>
          <w:tcPr>
            <w:tcW w:w="2316" w:type="dxa"/>
            <w:noWrap/>
            <w:vAlign w:val="center"/>
          </w:tcPr>
          <w:p>
            <w:pPr>
              <w:jc w:val="center"/>
              <w:rPr>
                <w:color w:val="1C1C1C"/>
              </w:rPr>
            </w:pPr>
            <w:r>
              <w:rPr>
                <w:rFonts w:hint="eastAsia"/>
                <w:color w:val="1C1C1C"/>
              </w:rPr>
              <w:t>四川省</w:t>
            </w:r>
          </w:p>
        </w:tc>
        <w:tc>
          <w:tcPr>
            <w:tcW w:w="1546" w:type="dxa"/>
            <w:noWrap/>
            <w:vAlign w:val="center"/>
          </w:tcPr>
          <w:p>
            <w:pPr>
              <w:jc w:val="center"/>
              <w:rPr>
                <w:color w:val="1C1C1C"/>
              </w:rPr>
            </w:pPr>
            <w:r>
              <w:rPr>
                <w:rFonts w:hint="eastAsia"/>
                <w:color w:val="1C1C1C"/>
              </w:rPr>
              <w:t>成都市</w:t>
            </w:r>
          </w:p>
        </w:tc>
        <w:tc>
          <w:tcPr>
            <w:tcW w:w="1915" w:type="dxa"/>
            <w:noWrap/>
            <w:vAlign w:val="center"/>
          </w:tcPr>
          <w:p>
            <w:pPr>
              <w:jc w:val="center"/>
              <w:textAlignment w:val="center"/>
              <w:rPr>
                <w:color w:val="1C1C1C"/>
                <w:lang w:bidi="ar"/>
              </w:rPr>
            </w:pPr>
            <w:r>
              <w:rPr>
                <w:rFonts w:hint="eastAsia"/>
                <w:color w:val="1C1C1C"/>
                <w:lang w:bidi="ar"/>
              </w:rPr>
              <w:t xml:space="preserve">2119 </w:t>
            </w:r>
          </w:p>
        </w:tc>
        <w:tc>
          <w:tcPr>
            <w:tcW w:w="2502" w:type="dxa"/>
            <w:noWrap/>
            <w:vAlign w:val="center"/>
          </w:tcPr>
          <w:p>
            <w:pPr>
              <w:jc w:val="center"/>
              <w:textAlignment w:val="center"/>
              <w:rPr>
                <w:color w:val="1C1C1C"/>
                <w:lang w:bidi="ar"/>
              </w:rPr>
            </w:pPr>
            <w:r>
              <w:rPr>
                <w:rFonts w:hint="eastAsia"/>
                <w:color w:val="1C1C1C"/>
                <w:lang w:bidi="ar"/>
              </w:rPr>
              <w:t xml:space="preserve">9251.8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75</w:t>
            </w:r>
          </w:p>
        </w:tc>
        <w:tc>
          <w:tcPr>
            <w:tcW w:w="2316" w:type="dxa"/>
            <w:noWrap/>
            <w:vAlign w:val="center"/>
          </w:tcPr>
          <w:p>
            <w:pPr>
              <w:jc w:val="center"/>
              <w:rPr>
                <w:color w:val="1C1C1C"/>
              </w:rPr>
            </w:pPr>
            <w:r>
              <w:rPr>
                <w:rFonts w:hint="eastAsia"/>
                <w:color w:val="1C1C1C"/>
              </w:rPr>
              <w:t>四川省</w:t>
            </w:r>
          </w:p>
        </w:tc>
        <w:tc>
          <w:tcPr>
            <w:tcW w:w="1546" w:type="dxa"/>
            <w:noWrap/>
            <w:vAlign w:val="center"/>
          </w:tcPr>
          <w:p>
            <w:pPr>
              <w:jc w:val="center"/>
              <w:rPr>
                <w:color w:val="1C1C1C"/>
              </w:rPr>
            </w:pPr>
            <w:r>
              <w:rPr>
                <w:rFonts w:hint="eastAsia"/>
                <w:color w:val="1C1C1C"/>
              </w:rPr>
              <w:t>绵阳市</w:t>
            </w:r>
          </w:p>
        </w:tc>
        <w:tc>
          <w:tcPr>
            <w:tcW w:w="1915" w:type="dxa"/>
            <w:noWrap/>
            <w:vAlign w:val="center"/>
          </w:tcPr>
          <w:p>
            <w:pPr>
              <w:jc w:val="center"/>
              <w:textAlignment w:val="center"/>
              <w:rPr>
                <w:color w:val="1C1C1C"/>
                <w:lang w:bidi="ar"/>
              </w:rPr>
            </w:pPr>
            <w:r>
              <w:rPr>
                <w:rFonts w:hint="eastAsia"/>
                <w:color w:val="1C1C1C"/>
                <w:lang w:bidi="ar"/>
              </w:rPr>
              <w:t xml:space="preserve">488 </w:t>
            </w:r>
          </w:p>
        </w:tc>
        <w:tc>
          <w:tcPr>
            <w:tcW w:w="2502" w:type="dxa"/>
            <w:noWrap/>
            <w:vAlign w:val="center"/>
          </w:tcPr>
          <w:p>
            <w:pPr>
              <w:jc w:val="center"/>
              <w:textAlignment w:val="center"/>
              <w:rPr>
                <w:color w:val="1C1C1C"/>
                <w:lang w:bidi="ar"/>
              </w:rPr>
            </w:pPr>
            <w:r>
              <w:rPr>
                <w:rFonts w:hint="eastAsia"/>
                <w:color w:val="1C1C1C"/>
                <w:lang w:bidi="ar"/>
              </w:rPr>
              <w:t xml:space="preserve">1652.2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76</w:t>
            </w:r>
          </w:p>
        </w:tc>
        <w:tc>
          <w:tcPr>
            <w:tcW w:w="2316" w:type="dxa"/>
            <w:noWrap/>
            <w:vAlign w:val="center"/>
          </w:tcPr>
          <w:p>
            <w:pPr>
              <w:jc w:val="center"/>
              <w:rPr>
                <w:color w:val="1C1C1C"/>
              </w:rPr>
            </w:pPr>
            <w:r>
              <w:rPr>
                <w:rFonts w:hint="eastAsia"/>
                <w:color w:val="1C1C1C"/>
              </w:rPr>
              <w:t>四川省</w:t>
            </w:r>
          </w:p>
        </w:tc>
        <w:tc>
          <w:tcPr>
            <w:tcW w:w="1546" w:type="dxa"/>
            <w:noWrap/>
            <w:vAlign w:val="center"/>
          </w:tcPr>
          <w:p>
            <w:pPr>
              <w:jc w:val="center"/>
              <w:rPr>
                <w:color w:val="1C1C1C"/>
              </w:rPr>
            </w:pPr>
            <w:r>
              <w:rPr>
                <w:rFonts w:hint="eastAsia"/>
                <w:color w:val="1C1C1C"/>
              </w:rPr>
              <w:t>南充市</w:t>
            </w:r>
          </w:p>
        </w:tc>
        <w:tc>
          <w:tcPr>
            <w:tcW w:w="1915" w:type="dxa"/>
            <w:noWrap/>
            <w:vAlign w:val="center"/>
          </w:tcPr>
          <w:p>
            <w:pPr>
              <w:jc w:val="center"/>
              <w:textAlignment w:val="center"/>
              <w:rPr>
                <w:color w:val="1C1C1C"/>
                <w:lang w:bidi="ar"/>
              </w:rPr>
            </w:pPr>
            <w:r>
              <w:rPr>
                <w:rFonts w:hint="eastAsia"/>
                <w:color w:val="1C1C1C"/>
                <w:lang w:bidi="ar"/>
              </w:rPr>
              <w:t xml:space="preserve">556 </w:t>
            </w:r>
          </w:p>
        </w:tc>
        <w:tc>
          <w:tcPr>
            <w:tcW w:w="2502" w:type="dxa"/>
            <w:noWrap/>
            <w:vAlign w:val="center"/>
          </w:tcPr>
          <w:p>
            <w:pPr>
              <w:jc w:val="center"/>
              <w:textAlignment w:val="center"/>
              <w:rPr>
                <w:color w:val="1C1C1C"/>
                <w:lang w:bidi="ar"/>
              </w:rPr>
            </w:pPr>
            <w:r>
              <w:rPr>
                <w:rFonts w:hint="eastAsia"/>
                <w:color w:val="1C1C1C"/>
                <w:lang w:bidi="ar"/>
              </w:rPr>
              <w:t xml:space="preserve">1448.7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77</w:t>
            </w:r>
          </w:p>
        </w:tc>
        <w:tc>
          <w:tcPr>
            <w:tcW w:w="2316" w:type="dxa"/>
            <w:noWrap/>
            <w:vAlign w:val="center"/>
          </w:tcPr>
          <w:p>
            <w:pPr>
              <w:jc w:val="center"/>
              <w:rPr>
                <w:color w:val="1C1C1C"/>
              </w:rPr>
            </w:pPr>
            <w:r>
              <w:rPr>
                <w:rFonts w:hint="eastAsia"/>
                <w:color w:val="1C1C1C"/>
              </w:rPr>
              <w:t>贵州省</w:t>
            </w:r>
          </w:p>
        </w:tc>
        <w:tc>
          <w:tcPr>
            <w:tcW w:w="1546" w:type="dxa"/>
            <w:noWrap/>
            <w:vAlign w:val="center"/>
          </w:tcPr>
          <w:p>
            <w:pPr>
              <w:jc w:val="center"/>
              <w:rPr>
                <w:color w:val="1C1C1C"/>
              </w:rPr>
            </w:pPr>
            <w:r>
              <w:rPr>
                <w:rFonts w:hint="eastAsia"/>
                <w:color w:val="1C1C1C"/>
              </w:rPr>
              <w:t>贵阳市</w:t>
            </w:r>
          </w:p>
        </w:tc>
        <w:tc>
          <w:tcPr>
            <w:tcW w:w="1915" w:type="dxa"/>
            <w:noWrap/>
            <w:vAlign w:val="center"/>
          </w:tcPr>
          <w:p>
            <w:pPr>
              <w:jc w:val="center"/>
              <w:textAlignment w:val="center"/>
              <w:rPr>
                <w:color w:val="1C1C1C"/>
                <w:lang w:bidi="ar"/>
              </w:rPr>
            </w:pPr>
            <w:r>
              <w:rPr>
                <w:rFonts w:hint="eastAsia"/>
                <w:color w:val="1C1C1C"/>
                <w:lang w:bidi="ar"/>
              </w:rPr>
              <w:t xml:space="preserve">610 </w:t>
            </w:r>
          </w:p>
        </w:tc>
        <w:tc>
          <w:tcPr>
            <w:tcW w:w="2502" w:type="dxa"/>
            <w:noWrap/>
            <w:vAlign w:val="center"/>
          </w:tcPr>
          <w:p>
            <w:pPr>
              <w:jc w:val="center"/>
              <w:textAlignment w:val="center"/>
              <w:rPr>
                <w:color w:val="1C1C1C"/>
                <w:lang w:bidi="ar"/>
              </w:rPr>
            </w:pPr>
            <w:r>
              <w:rPr>
                <w:rFonts w:hint="eastAsia"/>
                <w:color w:val="1C1C1C"/>
                <w:lang w:bidi="ar"/>
              </w:rPr>
              <w:t xml:space="preserve">2546.7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78</w:t>
            </w:r>
          </w:p>
        </w:tc>
        <w:tc>
          <w:tcPr>
            <w:tcW w:w="2316" w:type="dxa"/>
            <w:noWrap/>
            <w:vAlign w:val="center"/>
          </w:tcPr>
          <w:p>
            <w:pPr>
              <w:jc w:val="center"/>
              <w:rPr>
                <w:color w:val="1C1C1C"/>
              </w:rPr>
            </w:pPr>
            <w:r>
              <w:rPr>
                <w:rFonts w:hint="eastAsia"/>
                <w:color w:val="1C1C1C"/>
              </w:rPr>
              <w:t>贵州省</w:t>
            </w:r>
          </w:p>
        </w:tc>
        <w:tc>
          <w:tcPr>
            <w:tcW w:w="1546" w:type="dxa"/>
            <w:noWrap/>
            <w:vAlign w:val="center"/>
          </w:tcPr>
          <w:p>
            <w:pPr>
              <w:jc w:val="center"/>
              <w:rPr>
                <w:color w:val="1C1C1C"/>
              </w:rPr>
            </w:pPr>
            <w:r>
              <w:rPr>
                <w:rFonts w:hint="eastAsia"/>
                <w:color w:val="1C1C1C"/>
              </w:rPr>
              <w:t>遵义市</w:t>
            </w:r>
          </w:p>
        </w:tc>
        <w:tc>
          <w:tcPr>
            <w:tcW w:w="1915" w:type="dxa"/>
            <w:noWrap/>
            <w:vAlign w:val="center"/>
          </w:tcPr>
          <w:p>
            <w:pPr>
              <w:jc w:val="center"/>
              <w:textAlignment w:val="center"/>
              <w:rPr>
                <w:color w:val="1C1C1C"/>
                <w:lang w:bidi="ar"/>
              </w:rPr>
            </w:pPr>
            <w:r>
              <w:rPr>
                <w:rFonts w:hint="eastAsia"/>
                <w:color w:val="1C1C1C"/>
                <w:lang w:bidi="ar"/>
              </w:rPr>
              <w:t xml:space="preserve">659 </w:t>
            </w:r>
          </w:p>
        </w:tc>
        <w:tc>
          <w:tcPr>
            <w:tcW w:w="2502" w:type="dxa"/>
            <w:noWrap/>
            <w:vAlign w:val="center"/>
          </w:tcPr>
          <w:p>
            <w:pPr>
              <w:jc w:val="center"/>
              <w:textAlignment w:val="center"/>
              <w:rPr>
                <w:color w:val="1C1C1C"/>
                <w:lang w:bidi="ar"/>
              </w:rPr>
            </w:pPr>
            <w:r>
              <w:rPr>
                <w:rFonts w:hint="eastAsia"/>
                <w:color w:val="1C1C1C"/>
                <w:lang w:bidi="ar"/>
              </w:rPr>
              <w:t xml:space="preserve">1293.1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79</w:t>
            </w:r>
          </w:p>
        </w:tc>
        <w:tc>
          <w:tcPr>
            <w:tcW w:w="2316" w:type="dxa"/>
            <w:noWrap/>
            <w:vAlign w:val="center"/>
          </w:tcPr>
          <w:p>
            <w:pPr>
              <w:jc w:val="center"/>
              <w:rPr>
                <w:color w:val="1C1C1C"/>
              </w:rPr>
            </w:pPr>
            <w:r>
              <w:rPr>
                <w:rFonts w:hint="eastAsia"/>
                <w:color w:val="1C1C1C"/>
              </w:rPr>
              <w:t>贵州省</w:t>
            </w:r>
          </w:p>
        </w:tc>
        <w:tc>
          <w:tcPr>
            <w:tcW w:w="1546" w:type="dxa"/>
            <w:noWrap/>
            <w:vAlign w:val="center"/>
          </w:tcPr>
          <w:p>
            <w:pPr>
              <w:jc w:val="center"/>
              <w:rPr>
                <w:color w:val="1C1C1C"/>
              </w:rPr>
            </w:pPr>
            <w:r>
              <w:rPr>
                <w:rFonts w:hint="eastAsia"/>
                <w:color w:val="1C1C1C"/>
              </w:rPr>
              <w:t>毕节市</w:t>
            </w:r>
          </w:p>
        </w:tc>
        <w:tc>
          <w:tcPr>
            <w:tcW w:w="1915" w:type="dxa"/>
            <w:noWrap/>
            <w:vAlign w:val="center"/>
          </w:tcPr>
          <w:p>
            <w:pPr>
              <w:jc w:val="center"/>
              <w:textAlignment w:val="center"/>
              <w:rPr>
                <w:color w:val="1C1C1C"/>
                <w:lang w:bidi="ar"/>
              </w:rPr>
            </w:pPr>
            <w:r>
              <w:rPr>
                <w:rFonts w:hint="eastAsia"/>
                <w:color w:val="1C1C1C"/>
                <w:lang w:bidi="ar"/>
              </w:rPr>
              <w:t xml:space="preserve">684 </w:t>
            </w:r>
          </w:p>
        </w:tc>
        <w:tc>
          <w:tcPr>
            <w:tcW w:w="2502" w:type="dxa"/>
            <w:noWrap/>
            <w:vAlign w:val="center"/>
          </w:tcPr>
          <w:p>
            <w:pPr>
              <w:jc w:val="center"/>
              <w:textAlignment w:val="center"/>
              <w:rPr>
                <w:color w:val="1C1C1C"/>
                <w:lang w:bidi="ar"/>
              </w:rPr>
            </w:pPr>
            <w:r>
              <w:rPr>
                <w:rFonts w:hint="eastAsia"/>
                <w:color w:val="1C1C1C"/>
                <w:lang w:bidi="ar"/>
              </w:rPr>
              <w:t xml:space="preserve">467.4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80</w:t>
            </w:r>
          </w:p>
        </w:tc>
        <w:tc>
          <w:tcPr>
            <w:tcW w:w="2316" w:type="dxa"/>
            <w:noWrap/>
            <w:vAlign w:val="center"/>
          </w:tcPr>
          <w:p>
            <w:pPr>
              <w:jc w:val="center"/>
              <w:rPr>
                <w:color w:val="1C1C1C"/>
              </w:rPr>
            </w:pPr>
            <w:r>
              <w:rPr>
                <w:rFonts w:hint="eastAsia"/>
                <w:color w:val="1C1C1C"/>
              </w:rPr>
              <w:t>云南省</w:t>
            </w:r>
          </w:p>
        </w:tc>
        <w:tc>
          <w:tcPr>
            <w:tcW w:w="1546" w:type="dxa"/>
            <w:noWrap/>
            <w:vAlign w:val="center"/>
          </w:tcPr>
          <w:p>
            <w:pPr>
              <w:jc w:val="center"/>
              <w:rPr>
                <w:color w:val="1C1C1C"/>
              </w:rPr>
            </w:pPr>
            <w:r>
              <w:rPr>
                <w:rFonts w:hint="eastAsia"/>
                <w:color w:val="1C1C1C"/>
              </w:rPr>
              <w:t>昆明市</w:t>
            </w:r>
          </w:p>
        </w:tc>
        <w:tc>
          <w:tcPr>
            <w:tcW w:w="1915" w:type="dxa"/>
            <w:noWrap/>
            <w:vAlign w:val="center"/>
          </w:tcPr>
          <w:p>
            <w:pPr>
              <w:jc w:val="center"/>
              <w:textAlignment w:val="center"/>
              <w:rPr>
                <w:color w:val="1C1C1C"/>
                <w:lang w:bidi="ar"/>
              </w:rPr>
            </w:pPr>
            <w:r>
              <w:rPr>
                <w:rFonts w:hint="eastAsia"/>
                <w:color w:val="1C1C1C"/>
                <w:lang w:bidi="ar"/>
              </w:rPr>
              <w:t xml:space="preserve">850 </w:t>
            </w:r>
          </w:p>
        </w:tc>
        <w:tc>
          <w:tcPr>
            <w:tcW w:w="2502" w:type="dxa"/>
            <w:noWrap/>
            <w:vAlign w:val="center"/>
          </w:tcPr>
          <w:p>
            <w:pPr>
              <w:jc w:val="center"/>
              <w:textAlignment w:val="center"/>
              <w:rPr>
                <w:color w:val="1C1C1C"/>
                <w:lang w:bidi="ar"/>
              </w:rPr>
            </w:pPr>
            <w:r>
              <w:rPr>
                <w:rFonts w:hint="eastAsia"/>
                <w:color w:val="1C1C1C"/>
                <w:lang w:bidi="ar"/>
              </w:rPr>
              <w:t xml:space="preserve">3386.4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81</w:t>
            </w:r>
          </w:p>
        </w:tc>
        <w:tc>
          <w:tcPr>
            <w:tcW w:w="2316" w:type="dxa"/>
            <w:noWrap/>
            <w:vAlign w:val="center"/>
          </w:tcPr>
          <w:p>
            <w:pPr>
              <w:jc w:val="center"/>
              <w:rPr>
                <w:color w:val="1C1C1C"/>
              </w:rPr>
            </w:pPr>
            <w:r>
              <w:rPr>
                <w:rFonts w:hint="eastAsia"/>
                <w:color w:val="1C1C1C"/>
              </w:rPr>
              <w:t>云南省</w:t>
            </w:r>
          </w:p>
        </w:tc>
        <w:tc>
          <w:tcPr>
            <w:tcW w:w="1546" w:type="dxa"/>
            <w:noWrap/>
            <w:vAlign w:val="center"/>
          </w:tcPr>
          <w:p>
            <w:pPr>
              <w:jc w:val="center"/>
              <w:rPr>
                <w:color w:val="1C1C1C"/>
              </w:rPr>
            </w:pPr>
            <w:r>
              <w:rPr>
                <w:rFonts w:hint="eastAsia"/>
                <w:color w:val="1C1C1C"/>
              </w:rPr>
              <w:t>曲靖市</w:t>
            </w:r>
          </w:p>
        </w:tc>
        <w:tc>
          <w:tcPr>
            <w:tcW w:w="1915" w:type="dxa"/>
            <w:noWrap/>
            <w:vAlign w:val="center"/>
          </w:tcPr>
          <w:p>
            <w:pPr>
              <w:jc w:val="center"/>
              <w:textAlignment w:val="center"/>
              <w:rPr>
                <w:color w:val="1C1C1C"/>
                <w:lang w:bidi="ar"/>
              </w:rPr>
            </w:pPr>
            <w:r>
              <w:rPr>
                <w:rFonts w:hint="eastAsia"/>
                <w:color w:val="1C1C1C"/>
                <w:lang w:bidi="ar"/>
              </w:rPr>
              <w:t xml:space="preserve">570 </w:t>
            </w:r>
          </w:p>
        </w:tc>
        <w:tc>
          <w:tcPr>
            <w:tcW w:w="2502" w:type="dxa"/>
            <w:noWrap/>
            <w:vAlign w:val="center"/>
          </w:tcPr>
          <w:p>
            <w:pPr>
              <w:jc w:val="center"/>
              <w:textAlignment w:val="center"/>
              <w:rPr>
                <w:color w:val="1C1C1C"/>
                <w:lang w:bidi="ar"/>
              </w:rPr>
            </w:pPr>
            <w:r>
              <w:rPr>
                <w:rFonts w:hint="eastAsia"/>
                <w:color w:val="1C1C1C"/>
                <w:lang w:bidi="ar"/>
              </w:rPr>
              <w:t xml:space="preserve">1102.5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82</w:t>
            </w:r>
          </w:p>
        </w:tc>
        <w:tc>
          <w:tcPr>
            <w:tcW w:w="2316" w:type="dxa"/>
            <w:noWrap/>
            <w:vAlign w:val="center"/>
          </w:tcPr>
          <w:p>
            <w:pPr>
              <w:jc w:val="center"/>
              <w:rPr>
                <w:color w:val="1C1C1C"/>
              </w:rPr>
            </w:pPr>
            <w:r>
              <w:rPr>
                <w:rFonts w:hint="eastAsia"/>
                <w:color w:val="1C1C1C"/>
              </w:rPr>
              <w:t>云南省</w:t>
            </w:r>
          </w:p>
        </w:tc>
        <w:tc>
          <w:tcPr>
            <w:tcW w:w="1546" w:type="dxa"/>
            <w:noWrap/>
            <w:vAlign w:val="center"/>
          </w:tcPr>
          <w:p>
            <w:pPr>
              <w:jc w:val="center"/>
              <w:rPr>
                <w:color w:val="1C1C1C"/>
              </w:rPr>
            </w:pPr>
            <w:r>
              <w:rPr>
                <w:rFonts w:hint="eastAsia"/>
                <w:color w:val="1C1C1C"/>
              </w:rPr>
              <w:t>玉溪市</w:t>
            </w:r>
          </w:p>
        </w:tc>
        <w:tc>
          <w:tcPr>
            <w:tcW w:w="1915" w:type="dxa"/>
            <w:noWrap/>
            <w:vAlign w:val="center"/>
          </w:tcPr>
          <w:p>
            <w:pPr>
              <w:jc w:val="center"/>
              <w:textAlignment w:val="center"/>
              <w:rPr>
                <w:color w:val="1C1C1C"/>
                <w:lang w:bidi="ar"/>
              </w:rPr>
            </w:pPr>
            <w:r>
              <w:rPr>
                <w:rFonts w:hint="eastAsia"/>
                <w:color w:val="1C1C1C"/>
                <w:lang w:bidi="ar"/>
              </w:rPr>
              <w:t xml:space="preserve">224 </w:t>
            </w:r>
          </w:p>
        </w:tc>
        <w:tc>
          <w:tcPr>
            <w:tcW w:w="2502" w:type="dxa"/>
            <w:noWrap/>
            <w:vAlign w:val="center"/>
          </w:tcPr>
          <w:p>
            <w:pPr>
              <w:jc w:val="center"/>
              <w:textAlignment w:val="center"/>
              <w:rPr>
                <w:color w:val="1C1C1C"/>
                <w:lang w:bidi="ar"/>
              </w:rPr>
            </w:pPr>
            <w:r>
              <w:rPr>
                <w:rFonts w:hint="eastAsia"/>
                <w:color w:val="1C1C1C"/>
                <w:lang w:bidi="ar"/>
              </w:rPr>
              <w:t xml:space="preserve">862.4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83</w:t>
            </w:r>
          </w:p>
        </w:tc>
        <w:tc>
          <w:tcPr>
            <w:tcW w:w="2316" w:type="dxa"/>
            <w:noWrap/>
            <w:vAlign w:val="center"/>
          </w:tcPr>
          <w:p>
            <w:pPr>
              <w:jc w:val="center"/>
              <w:rPr>
                <w:color w:val="1C1C1C"/>
              </w:rPr>
            </w:pPr>
            <w:r>
              <w:rPr>
                <w:rFonts w:hint="eastAsia"/>
                <w:color w:val="1C1C1C"/>
              </w:rPr>
              <w:t>西藏自治区</w:t>
            </w:r>
          </w:p>
        </w:tc>
        <w:tc>
          <w:tcPr>
            <w:tcW w:w="1546" w:type="dxa"/>
            <w:noWrap/>
            <w:vAlign w:val="center"/>
          </w:tcPr>
          <w:p>
            <w:pPr>
              <w:jc w:val="center"/>
              <w:rPr>
                <w:color w:val="1C1C1C"/>
              </w:rPr>
            </w:pPr>
            <w:r>
              <w:rPr>
                <w:rFonts w:hint="eastAsia"/>
                <w:color w:val="1C1C1C"/>
              </w:rPr>
              <w:t>拉萨市</w:t>
            </w:r>
          </w:p>
        </w:tc>
        <w:tc>
          <w:tcPr>
            <w:tcW w:w="1915" w:type="dxa"/>
            <w:noWrap/>
            <w:vAlign w:val="center"/>
          </w:tcPr>
          <w:p>
            <w:pPr>
              <w:jc w:val="center"/>
              <w:textAlignment w:val="center"/>
              <w:rPr>
                <w:color w:val="1C1C1C"/>
                <w:lang w:bidi="ar"/>
              </w:rPr>
            </w:pPr>
            <w:r>
              <w:rPr>
                <w:rFonts w:hint="eastAsia"/>
                <w:color w:val="1C1C1C"/>
                <w:lang w:bidi="ar"/>
              </w:rPr>
              <w:t xml:space="preserve">87 </w:t>
            </w:r>
          </w:p>
        </w:tc>
        <w:tc>
          <w:tcPr>
            <w:tcW w:w="2502" w:type="dxa"/>
            <w:noWrap/>
            <w:vAlign w:val="center"/>
          </w:tcPr>
          <w:p>
            <w:pPr>
              <w:jc w:val="center"/>
              <w:textAlignment w:val="center"/>
              <w:rPr>
                <w:color w:val="1C1C1C"/>
                <w:lang w:bidi="ar"/>
              </w:rPr>
            </w:pPr>
            <w:r>
              <w:rPr>
                <w:rFonts w:hint="eastAsia"/>
                <w:color w:val="1C1C1C"/>
                <w:lang w:bidi="ar"/>
              </w:rPr>
              <w:t xml:space="preserve">399.3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84</w:t>
            </w:r>
          </w:p>
        </w:tc>
        <w:tc>
          <w:tcPr>
            <w:tcW w:w="2316" w:type="dxa"/>
            <w:noWrap/>
            <w:vAlign w:val="center"/>
          </w:tcPr>
          <w:p>
            <w:pPr>
              <w:jc w:val="center"/>
              <w:rPr>
                <w:color w:val="1C1C1C"/>
              </w:rPr>
            </w:pPr>
            <w:r>
              <w:rPr>
                <w:rFonts w:hint="eastAsia"/>
                <w:color w:val="1C1C1C"/>
              </w:rPr>
              <w:t>西藏自治区</w:t>
            </w:r>
          </w:p>
        </w:tc>
        <w:tc>
          <w:tcPr>
            <w:tcW w:w="1546" w:type="dxa"/>
            <w:noWrap/>
            <w:vAlign w:val="center"/>
          </w:tcPr>
          <w:p>
            <w:pPr>
              <w:jc w:val="center"/>
              <w:rPr>
                <w:color w:val="1C1C1C"/>
              </w:rPr>
            </w:pPr>
            <w:r>
              <w:rPr>
                <w:rFonts w:hint="eastAsia"/>
                <w:color w:val="1C1C1C"/>
              </w:rPr>
              <w:t>日喀则市</w:t>
            </w:r>
          </w:p>
        </w:tc>
        <w:tc>
          <w:tcPr>
            <w:tcW w:w="1915" w:type="dxa"/>
            <w:noWrap/>
            <w:vAlign w:val="center"/>
          </w:tcPr>
          <w:p>
            <w:pPr>
              <w:jc w:val="center"/>
              <w:textAlignment w:val="center"/>
              <w:rPr>
                <w:color w:val="1C1C1C"/>
                <w:lang w:bidi="ar"/>
              </w:rPr>
            </w:pPr>
            <w:r>
              <w:rPr>
                <w:rFonts w:hint="eastAsia"/>
                <w:color w:val="1C1C1C"/>
                <w:lang w:bidi="ar"/>
              </w:rPr>
              <w:t xml:space="preserve">80 </w:t>
            </w:r>
          </w:p>
        </w:tc>
        <w:tc>
          <w:tcPr>
            <w:tcW w:w="2502" w:type="dxa"/>
            <w:noWrap/>
            <w:vAlign w:val="center"/>
          </w:tcPr>
          <w:p>
            <w:pPr>
              <w:jc w:val="center"/>
              <w:textAlignment w:val="center"/>
              <w:rPr>
                <w:color w:val="1C1C1C"/>
                <w:lang w:bidi="ar"/>
              </w:rPr>
            </w:pPr>
            <w:r>
              <w:rPr>
                <w:rFonts w:hint="eastAsia"/>
                <w:color w:val="1C1C1C"/>
                <w:lang w:bidi="ar"/>
              </w:rPr>
              <w:t xml:space="preserve">153.0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85</w:t>
            </w:r>
          </w:p>
        </w:tc>
        <w:tc>
          <w:tcPr>
            <w:tcW w:w="2316" w:type="dxa"/>
            <w:noWrap/>
            <w:vAlign w:val="center"/>
          </w:tcPr>
          <w:p>
            <w:pPr>
              <w:jc w:val="center"/>
              <w:rPr>
                <w:color w:val="1C1C1C"/>
              </w:rPr>
            </w:pPr>
            <w:r>
              <w:rPr>
                <w:rFonts w:hint="eastAsia"/>
                <w:color w:val="1C1C1C"/>
              </w:rPr>
              <w:t>西藏自治区</w:t>
            </w:r>
          </w:p>
        </w:tc>
        <w:tc>
          <w:tcPr>
            <w:tcW w:w="1546" w:type="dxa"/>
            <w:noWrap/>
            <w:vAlign w:val="center"/>
          </w:tcPr>
          <w:p>
            <w:pPr>
              <w:jc w:val="center"/>
              <w:rPr>
                <w:color w:val="1C1C1C"/>
              </w:rPr>
            </w:pPr>
            <w:r>
              <w:rPr>
                <w:rFonts w:hint="eastAsia"/>
                <w:color w:val="1C1C1C"/>
              </w:rPr>
              <w:t>山南市</w:t>
            </w:r>
          </w:p>
        </w:tc>
        <w:tc>
          <w:tcPr>
            <w:tcW w:w="1915" w:type="dxa"/>
            <w:noWrap/>
            <w:vAlign w:val="center"/>
          </w:tcPr>
          <w:p>
            <w:pPr>
              <w:jc w:val="center"/>
              <w:textAlignment w:val="center"/>
              <w:rPr>
                <w:color w:val="1C1C1C"/>
                <w:lang w:bidi="ar"/>
              </w:rPr>
            </w:pPr>
            <w:r>
              <w:rPr>
                <w:rFonts w:hint="eastAsia"/>
                <w:color w:val="1C1C1C"/>
                <w:lang w:bidi="ar"/>
              </w:rPr>
              <w:t xml:space="preserve">36 </w:t>
            </w:r>
          </w:p>
        </w:tc>
        <w:tc>
          <w:tcPr>
            <w:tcW w:w="2502" w:type="dxa"/>
            <w:noWrap/>
            <w:vAlign w:val="center"/>
          </w:tcPr>
          <w:p>
            <w:pPr>
              <w:jc w:val="center"/>
              <w:textAlignment w:val="center"/>
              <w:rPr>
                <w:color w:val="1C1C1C"/>
                <w:lang w:bidi="ar"/>
              </w:rPr>
            </w:pPr>
            <w:r>
              <w:rPr>
                <w:rFonts w:hint="eastAsia"/>
                <w:color w:val="1C1C1C"/>
                <w:lang w:bidi="ar"/>
              </w:rPr>
              <w:t xml:space="preserve">72.9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86</w:t>
            </w:r>
          </w:p>
        </w:tc>
        <w:tc>
          <w:tcPr>
            <w:tcW w:w="2316" w:type="dxa"/>
            <w:noWrap/>
            <w:vAlign w:val="center"/>
          </w:tcPr>
          <w:p>
            <w:pPr>
              <w:jc w:val="center"/>
              <w:rPr>
                <w:color w:val="1C1C1C"/>
              </w:rPr>
            </w:pPr>
            <w:r>
              <w:rPr>
                <w:rFonts w:hint="eastAsia"/>
                <w:color w:val="1C1C1C"/>
              </w:rPr>
              <w:t>陕西省</w:t>
            </w:r>
          </w:p>
        </w:tc>
        <w:tc>
          <w:tcPr>
            <w:tcW w:w="1546" w:type="dxa"/>
            <w:noWrap/>
            <w:vAlign w:val="center"/>
          </w:tcPr>
          <w:p>
            <w:pPr>
              <w:jc w:val="center"/>
              <w:rPr>
                <w:color w:val="1C1C1C"/>
              </w:rPr>
            </w:pPr>
            <w:r>
              <w:rPr>
                <w:rFonts w:hint="eastAsia"/>
                <w:color w:val="1C1C1C"/>
              </w:rPr>
              <w:t>西安市</w:t>
            </w:r>
          </w:p>
        </w:tc>
        <w:tc>
          <w:tcPr>
            <w:tcW w:w="1915" w:type="dxa"/>
            <w:noWrap/>
            <w:vAlign w:val="center"/>
          </w:tcPr>
          <w:p>
            <w:pPr>
              <w:jc w:val="center"/>
              <w:textAlignment w:val="center"/>
              <w:rPr>
                <w:color w:val="1C1C1C"/>
                <w:lang w:bidi="ar"/>
              </w:rPr>
            </w:pPr>
            <w:r>
              <w:rPr>
                <w:rFonts w:hint="eastAsia"/>
                <w:color w:val="1C1C1C"/>
                <w:lang w:bidi="ar"/>
              </w:rPr>
              <w:t xml:space="preserve">1316 </w:t>
            </w:r>
          </w:p>
        </w:tc>
        <w:tc>
          <w:tcPr>
            <w:tcW w:w="2502" w:type="dxa"/>
            <w:noWrap/>
            <w:vAlign w:val="center"/>
          </w:tcPr>
          <w:p>
            <w:pPr>
              <w:jc w:val="center"/>
              <w:textAlignment w:val="center"/>
              <w:rPr>
                <w:color w:val="1C1C1C"/>
                <w:lang w:bidi="ar"/>
              </w:rPr>
            </w:pPr>
            <w:r>
              <w:rPr>
                <w:rFonts w:hint="eastAsia"/>
                <w:color w:val="1C1C1C"/>
                <w:lang w:bidi="ar"/>
              </w:rPr>
              <w:t xml:space="preserve">4963.4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87</w:t>
            </w:r>
          </w:p>
        </w:tc>
        <w:tc>
          <w:tcPr>
            <w:tcW w:w="2316" w:type="dxa"/>
            <w:noWrap/>
            <w:vAlign w:val="center"/>
          </w:tcPr>
          <w:p>
            <w:pPr>
              <w:jc w:val="center"/>
              <w:rPr>
                <w:color w:val="1C1C1C"/>
              </w:rPr>
            </w:pPr>
            <w:r>
              <w:rPr>
                <w:rFonts w:hint="eastAsia"/>
                <w:color w:val="1C1C1C"/>
              </w:rPr>
              <w:t>陕西省</w:t>
            </w:r>
          </w:p>
        </w:tc>
        <w:tc>
          <w:tcPr>
            <w:tcW w:w="1546" w:type="dxa"/>
            <w:noWrap/>
            <w:vAlign w:val="center"/>
          </w:tcPr>
          <w:p>
            <w:pPr>
              <w:jc w:val="center"/>
              <w:rPr>
                <w:color w:val="1C1C1C"/>
              </w:rPr>
            </w:pPr>
            <w:r>
              <w:rPr>
                <w:rFonts w:hint="eastAsia"/>
                <w:color w:val="1C1C1C"/>
              </w:rPr>
              <w:t>宝鸡市</w:t>
            </w:r>
          </w:p>
        </w:tc>
        <w:tc>
          <w:tcPr>
            <w:tcW w:w="1915" w:type="dxa"/>
            <w:noWrap/>
            <w:vAlign w:val="center"/>
          </w:tcPr>
          <w:p>
            <w:pPr>
              <w:jc w:val="center"/>
              <w:textAlignment w:val="center"/>
              <w:rPr>
                <w:color w:val="1C1C1C"/>
                <w:lang w:bidi="ar"/>
              </w:rPr>
            </w:pPr>
            <w:r>
              <w:rPr>
                <w:rFonts w:hint="eastAsia"/>
                <w:color w:val="1C1C1C"/>
                <w:lang w:bidi="ar"/>
              </w:rPr>
              <w:t xml:space="preserve">328 </w:t>
            </w:r>
          </w:p>
        </w:tc>
        <w:tc>
          <w:tcPr>
            <w:tcW w:w="2502" w:type="dxa"/>
            <w:noWrap/>
            <w:vAlign w:val="center"/>
          </w:tcPr>
          <w:p>
            <w:pPr>
              <w:jc w:val="center"/>
              <w:textAlignment w:val="center"/>
              <w:rPr>
                <w:color w:val="1C1C1C"/>
                <w:lang w:bidi="ar"/>
              </w:rPr>
            </w:pPr>
            <w:r>
              <w:rPr>
                <w:rFonts w:hint="eastAsia"/>
                <w:color w:val="1C1C1C"/>
                <w:lang w:bidi="ar"/>
              </w:rPr>
              <w:t xml:space="preserve">922.6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88</w:t>
            </w:r>
          </w:p>
        </w:tc>
        <w:tc>
          <w:tcPr>
            <w:tcW w:w="2316" w:type="dxa"/>
            <w:noWrap/>
            <w:vAlign w:val="center"/>
          </w:tcPr>
          <w:p>
            <w:pPr>
              <w:jc w:val="center"/>
              <w:rPr>
                <w:color w:val="1C1C1C"/>
              </w:rPr>
            </w:pPr>
            <w:r>
              <w:rPr>
                <w:rFonts w:hint="eastAsia"/>
                <w:color w:val="1C1C1C"/>
              </w:rPr>
              <w:t>陕西省</w:t>
            </w:r>
          </w:p>
        </w:tc>
        <w:tc>
          <w:tcPr>
            <w:tcW w:w="1546" w:type="dxa"/>
            <w:noWrap/>
            <w:vAlign w:val="center"/>
          </w:tcPr>
          <w:p>
            <w:pPr>
              <w:jc w:val="center"/>
              <w:rPr>
                <w:color w:val="1C1C1C"/>
              </w:rPr>
            </w:pPr>
            <w:r>
              <w:rPr>
                <w:rFonts w:hint="eastAsia"/>
                <w:color w:val="1C1C1C"/>
              </w:rPr>
              <w:t>渭南市</w:t>
            </w:r>
          </w:p>
        </w:tc>
        <w:tc>
          <w:tcPr>
            <w:tcW w:w="1915" w:type="dxa"/>
            <w:noWrap/>
            <w:vAlign w:val="center"/>
          </w:tcPr>
          <w:p>
            <w:pPr>
              <w:jc w:val="center"/>
              <w:textAlignment w:val="center"/>
              <w:rPr>
                <w:color w:val="1C1C1C"/>
                <w:lang w:bidi="ar"/>
              </w:rPr>
            </w:pPr>
            <w:r>
              <w:rPr>
                <w:rFonts w:hint="eastAsia"/>
                <w:color w:val="1C1C1C"/>
                <w:lang w:bidi="ar"/>
              </w:rPr>
              <w:t xml:space="preserve">463 </w:t>
            </w:r>
          </w:p>
        </w:tc>
        <w:tc>
          <w:tcPr>
            <w:tcW w:w="2502" w:type="dxa"/>
            <w:noWrap/>
            <w:vAlign w:val="center"/>
          </w:tcPr>
          <w:p>
            <w:pPr>
              <w:jc w:val="center"/>
              <w:textAlignment w:val="center"/>
              <w:rPr>
                <w:color w:val="1C1C1C"/>
                <w:lang w:bidi="ar"/>
              </w:rPr>
            </w:pPr>
            <w:r>
              <w:rPr>
                <w:rFonts w:hint="eastAsia"/>
                <w:color w:val="1C1C1C"/>
                <w:lang w:bidi="ar"/>
              </w:rPr>
              <w:t xml:space="preserve">684.6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89</w:t>
            </w:r>
          </w:p>
        </w:tc>
        <w:tc>
          <w:tcPr>
            <w:tcW w:w="2316" w:type="dxa"/>
            <w:noWrap/>
            <w:vAlign w:val="center"/>
          </w:tcPr>
          <w:p>
            <w:pPr>
              <w:jc w:val="center"/>
              <w:rPr>
                <w:color w:val="1C1C1C"/>
              </w:rPr>
            </w:pPr>
            <w:r>
              <w:rPr>
                <w:rFonts w:hint="eastAsia"/>
                <w:color w:val="1C1C1C"/>
              </w:rPr>
              <w:t>甘肃省</w:t>
            </w:r>
          </w:p>
        </w:tc>
        <w:tc>
          <w:tcPr>
            <w:tcW w:w="1546" w:type="dxa"/>
            <w:noWrap/>
            <w:vAlign w:val="center"/>
          </w:tcPr>
          <w:p>
            <w:pPr>
              <w:jc w:val="center"/>
              <w:rPr>
                <w:color w:val="1C1C1C"/>
              </w:rPr>
            </w:pPr>
            <w:r>
              <w:rPr>
                <w:rFonts w:hint="eastAsia"/>
                <w:color w:val="1C1C1C"/>
              </w:rPr>
              <w:t>兰州市</w:t>
            </w:r>
          </w:p>
        </w:tc>
        <w:tc>
          <w:tcPr>
            <w:tcW w:w="1915" w:type="dxa"/>
            <w:noWrap/>
            <w:vAlign w:val="center"/>
          </w:tcPr>
          <w:p>
            <w:pPr>
              <w:jc w:val="center"/>
              <w:textAlignment w:val="center"/>
              <w:rPr>
                <w:color w:val="1C1C1C"/>
                <w:lang w:bidi="ar"/>
              </w:rPr>
            </w:pPr>
            <w:r>
              <w:rPr>
                <w:rFonts w:hint="eastAsia"/>
                <w:color w:val="1C1C1C"/>
                <w:lang w:bidi="ar"/>
              </w:rPr>
              <w:t xml:space="preserve">438 </w:t>
            </w:r>
          </w:p>
        </w:tc>
        <w:tc>
          <w:tcPr>
            <w:tcW w:w="2502" w:type="dxa"/>
            <w:noWrap/>
            <w:vAlign w:val="center"/>
          </w:tcPr>
          <w:p>
            <w:pPr>
              <w:jc w:val="center"/>
              <w:textAlignment w:val="center"/>
              <w:rPr>
                <w:color w:val="1C1C1C"/>
                <w:lang w:bidi="ar"/>
              </w:rPr>
            </w:pPr>
            <w:r>
              <w:rPr>
                <w:rFonts w:hint="eastAsia"/>
                <w:color w:val="1C1C1C"/>
                <w:lang w:bidi="ar"/>
              </w:rPr>
              <w:t xml:space="preserve">1757.7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90</w:t>
            </w:r>
          </w:p>
        </w:tc>
        <w:tc>
          <w:tcPr>
            <w:tcW w:w="2316" w:type="dxa"/>
            <w:noWrap/>
            <w:vAlign w:val="center"/>
          </w:tcPr>
          <w:p>
            <w:pPr>
              <w:jc w:val="center"/>
              <w:rPr>
                <w:color w:val="1C1C1C"/>
              </w:rPr>
            </w:pPr>
            <w:r>
              <w:rPr>
                <w:rFonts w:hint="eastAsia"/>
                <w:color w:val="1C1C1C"/>
              </w:rPr>
              <w:t>甘肃省</w:t>
            </w:r>
          </w:p>
        </w:tc>
        <w:tc>
          <w:tcPr>
            <w:tcW w:w="1546" w:type="dxa"/>
            <w:noWrap/>
            <w:vAlign w:val="center"/>
          </w:tcPr>
          <w:p>
            <w:pPr>
              <w:jc w:val="center"/>
              <w:rPr>
                <w:color w:val="1C1C1C"/>
              </w:rPr>
            </w:pPr>
            <w:r>
              <w:rPr>
                <w:rFonts w:hint="eastAsia"/>
                <w:color w:val="1C1C1C"/>
              </w:rPr>
              <w:t>天水市</w:t>
            </w:r>
          </w:p>
        </w:tc>
        <w:tc>
          <w:tcPr>
            <w:tcW w:w="1915" w:type="dxa"/>
            <w:noWrap/>
            <w:vAlign w:val="center"/>
          </w:tcPr>
          <w:p>
            <w:pPr>
              <w:jc w:val="center"/>
              <w:textAlignment w:val="center"/>
              <w:rPr>
                <w:color w:val="1C1C1C"/>
                <w:lang w:bidi="ar"/>
              </w:rPr>
            </w:pPr>
            <w:r>
              <w:rPr>
                <w:rFonts w:hint="eastAsia"/>
                <w:color w:val="1C1C1C"/>
                <w:lang w:bidi="ar"/>
              </w:rPr>
              <w:t xml:space="preserve">296 </w:t>
            </w:r>
          </w:p>
        </w:tc>
        <w:tc>
          <w:tcPr>
            <w:tcW w:w="2502" w:type="dxa"/>
            <w:noWrap/>
            <w:vAlign w:val="center"/>
          </w:tcPr>
          <w:p>
            <w:pPr>
              <w:jc w:val="center"/>
              <w:textAlignment w:val="center"/>
              <w:rPr>
                <w:color w:val="1C1C1C"/>
                <w:lang w:bidi="ar"/>
              </w:rPr>
            </w:pPr>
            <w:r>
              <w:rPr>
                <w:rFonts w:hint="eastAsia"/>
                <w:color w:val="1C1C1C"/>
                <w:lang w:bidi="ar"/>
              </w:rPr>
              <w:t xml:space="preserve">296.2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91</w:t>
            </w:r>
          </w:p>
        </w:tc>
        <w:tc>
          <w:tcPr>
            <w:tcW w:w="2316" w:type="dxa"/>
            <w:noWrap/>
            <w:vAlign w:val="center"/>
          </w:tcPr>
          <w:p>
            <w:pPr>
              <w:jc w:val="center"/>
              <w:rPr>
                <w:color w:val="1C1C1C"/>
              </w:rPr>
            </w:pPr>
            <w:r>
              <w:rPr>
                <w:rFonts w:hint="eastAsia"/>
                <w:color w:val="1C1C1C"/>
              </w:rPr>
              <w:t>甘肃省</w:t>
            </w:r>
          </w:p>
        </w:tc>
        <w:tc>
          <w:tcPr>
            <w:tcW w:w="1546" w:type="dxa"/>
            <w:noWrap/>
            <w:vAlign w:val="center"/>
          </w:tcPr>
          <w:p>
            <w:pPr>
              <w:jc w:val="center"/>
              <w:rPr>
                <w:color w:val="1C1C1C"/>
              </w:rPr>
            </w:pPr>
            <w:r>
              <w:rPr>
                <w:rFonts w:hint="eastAsia"/>
                <w:color w:val="1C1C1C"/>
              </w:rPr>
              <w:t>庆阳市</w:t>
            </w:r>
          </w:p>
        </w:tc>
        <w:tc>
          <w:tcPr>
            <w:tcW w:w="1915" w:type="dxa"/>
            <w:noWrap/>
            <w:vAlign w:val="center"/>
          </w:tcPr>
          <w:p>
            <w:pPr>
              <w:jc w:val="center"/>
              <w:textAlignment w:val="center"/>
              <w:rPr>
                <w:color w:val="1C1C1C"/>
                <w:lang w:bidi="ar"/>
              </w:rPr>
            </w:pPr>
            <w:r>
              <w:rPr>
                <w:rFonts w:hint="eastAsia"/>
                <w:color w:val="1C1C1C"/>
                <w:lang w:bidi="ar"/>
              </w:rPr>
              <w:t xml:space="preserve">216 </w:t>
            </w:r>
          </w:p>
        </w:tc>
        <w:tc>
          <w:tcPr>
            <w:tcW w:w="2502" w:type="dxa"/>
            <w:noWrap/>
            <w:vAlign w:val="center"/>
          </w:tcPr>
          <w:p>
            <w:pPr>
              <w:jc w:val="center"/>
              <w:textAlignment w:val="center"/>
              <w:rPr>
                <w:color w:val="1C1C1C"/>
                <w:lang w:bidi="ar"/>
              </w:rPr>
            </w:pPr>
            <w:r>
              <w:rPr>
                <w:rFonts w:hint="eastAsia"/>
                <w:color w:val="1C1C1C"/>
                <w:lang w:bidi="ar"/>
              </w:rPr>
              <w:t xml:space="preserve">198.0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92</w:t>
            </w:r>
          </w:p>
        </w:tc>
        <w:tc>
          <w:tcPr>
            <w:tcW w:w="2316" w:type="dxa"/>
            <w:noWrap/>
            <w:vAlign w:val="center"/>
          </w:tcPr>
          <w:p>
            <w:pPr>
              <w:jc w:val="center"/>
              <w:rPr>
                <w:color w:val="1C1C1C"/>
              </w:rPr>
            </w:pPr>
            <w:r>
              <w:rPr>
                <w:rFonts w:hint="eastAsia"/>
                <w:color w:val="1C1C1C"/>
              </w:rPr>
              <w:t>青海省</w:t>
            </w:r>
          </w:p>
        </w:tc>
        <w:tc>
          <w:tcPr>
            <w:tcW w:w="1546" w:type="dxa"/>
            <w:noWrap/>
            <w:vAlign w:val="center"/>
          </w:tcPr>
          <w:p>
            <w:pPr>
              <w:jc w:val="center"/>
              <w:rPr>
                <w:color w:val="1C1C1C"/>
              </w:rPr>
            </w:pPr>
            <w:r>
              <w:rPr>
                <w:rFonts w:hint="eastAsia"/>
                <w:color w:val="1C1C1C"/>
              </w:rPr>
              <w:t>西宁市</w:t>
            </w:r>
          </w:p>
        </w:tc>
        <w:tc>
          <w:tcPr>
            <w:tcW w:w="1915" w:type="dxa"/>
            <w:noWrap/>
            <w:vAlign w:val="center"/>
          </w:tcPr>
          <w:p>
            <w:pPr>
              <w:jc w:val="center"/>
              <w:textAlignment w:val="center"/>
              <w:rPr>
                <w:color w:val="1C1C1C"/>
                <w:lang w:bidi="ar"/>
              </w:rPr>
            </w:pPr>
            <w:r>
              <w:rPr>
                <w:rFonts w:hint="eastAsia"/>
                <w:color w:val="1C1C1C"/>
                <w:lang w:bidi="ar"/>
              </w:rPr>
              <w:t xml:space="preserve">247 </w:t>
            </w:r>
          </w:p>
        </w:tc>
        <w:tc>
          <w:tcPr>
            <w:tcW w:w="2502" w:type="dxa"/>
            <w:noWrap/>
            <w:vAlign w:val="center"/>
          </w:tcPr>
          <w:p>
            <w:pPr>
              <w:jc w:val="center"/>
              <w:textAlignment w:val="center"/>
              <w:rPr>
                <w:color w:val="1C1C1C"/>
                <w:lang w:bidi="ar"/>
              </w:rPr>
            </w:pPr>
            <w:r>
              <w:rPr>
                <w:rFonts w:hint="eastAsia"/>
                <w:color w:val="1C1C1C"/>
                <w:lang w:bidi="ar"/>
              </w:rPr>
              <w:t xml:space="preserve">621.1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93</w:t>
            </w:r>
          </w:p>
        </w:tc>
        <w:tc>
          <w:tcPr>
            <w:tcW w:w="2316" w:type="dxa"/>
            <w:noWrap/>
            <w:vAlign w:val="center"/>
          </w:tcPr>
          <w:p>
            <w:pPr>
              <w:jc w:val="center"/>
              <w:rPr>
                <w:color w:val="1C1C1C"/>
              </w:rPr>
            </w:pPr>
            <w:r>
              <w:rPr>
                <w:rFonts w:hint="eastAsia"/>
                <w:color w:val="1C1C1C"/>
              </w:rPr>
              <w:t>青海省</w:t>
            </w:r>
          </w:p>
        </w:tc>
        <w:tc>
          <w:tcPr>
            <w:tcW w:w="1546" w:type="dxa"/>
            <w:noWrap/>
            <w:vAlign w:val="center"/>
          </w:tcPr>
          <w:p>
            <w:pPr>
              <w:jc w:val="center"/>
              <w:rPr>
                <w:color w:val="1C1C1C"/>
              </w:rPr>
            </w:pPr>
            <w:r>
              <w:rPr>
                <w:rFonts w:hint="eastAsia"/>
                <w:color w:val="1C1C1C"/>
              </w:rPr>
              <w:t>海东市</w:t>
            </w:r>
          </w:p>
        </w:tc>
        <w:tc>
          <w:tcPr>
            <w:tcW w:w="1915" w:type="dxa"/>
            <w:noWrap/>
            <w:vAlign w:val="center"/>
          </w:tcPr>
          <w:p>
            <w:pPr>
              <w:jc w:val="center"/>
              <w:textAlignment w:val="center"/>
              <w:rPr>
                <w:color w:val="1C1C1C"/>
                <w:lang w:bidi="ar"/>
              </w:rPr>
            </w:pPr>
            <w:r>
              <w:rPr>
                <w:rFonts w:hint="eastAsia"/>
                <w:color w:val="1C1C1C"/>
                <w:lang w:bidi="ar"/>
              </w:rPr>
              <w:t xml:space="preserve">136 </w:t>
            </w:r>
          </w:p>
        </w:tc>
        <w:tc>
          <w:tcPr>
            <w:tcW w:w="2502" w:type="dxa"/>
            <w:noWrap/>
            <w:vAlign w:val="center"/>
          </w:tcPr>
          <w:p>
            <w:pPr>
              <w:jc w:val="center"/>
              <w:textAlignment w:val="center"/>
              <w:rPr>
                <w:color w:val="1C1C1C"/>
                <w:lang w:bidi="ar"/>
              </w:rPr>
            </w:pPr>
            <w:r>
              <w:rPr>
                <w:rFonts w:hint="eastAsia"/>
                <w:color w:val="1C1C1C"/>
                <w:lang w:bidi="ar"/>
              </w:rPr>
              <w:t xml:space="preserve">130.4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94</w:t>
            </w:r>
          </w:p>
        </w:tc>
        <w:tc>
          <w:tcPr>
            <w:tcW w:w="2316" w:type="dxa"/>
            <w:noWrap/>
            <w:vAlign w:val="center"/>
          </w:tcPr>
          <w:p>
            <w:pPr>
              <w:jc w:val="center"/>
              <w:rPr>
                <w:color w:val="1C1C1C"/>
              </w:rPr>
            </w:pPr>
            <w:r>
              <w:rPr>
                <w:rFonts w:hint="eastAsia"/>
                <w:color w:val="1C1C1C"/>
              </w:rPr>
              <w:t>青海省</w:t>
            </w:r>
          </w:p>
        </w:tc>
        <w:tc>
          <w:tcPr>
            <w:tcW w:w="1546" w:type="dxa"/>
            <w:noWrap/>
            <w:vAlign w:val="center"/>
          </w:tcPr>
          <w:p>
            <w:pPr>
              <w:jc w:val="center"/>
              <w:rPr>
                <w:color w:val="1C1C1C"/>
              </w:rPr>
            </w:pPr>
            <w:r>
              <w:rPr>
                <w:rFonts w:hint="eastAsia"/>
                <w:color w:val="1C1C1C"/>
              </w:rPr>
              <w:t>海西蒙古族藏族自治州</w:t>
            </w:r>
          </w:p>
        </w:tc>
        <w:tc>
          <w:tcPr>
            <w:tcW w:w="1915" w:type="dxa"/>
            <w:noWrap/>
            <w:vAlign w:val="center"/>
          </w:tcPr>
          <w:p>
            <w:pPr>
              <w:jc w:val="center"/>
              <w:textAlignment w:val="center"/>
              <w:rPr>
                <w:color w:val="1C1C1C"/>
                <w:lang w:bidi="ar"/>
              </w:rPr>
            </w:pPr>
            <w:r>
              <w:rPr>
                <w:rFonts w:hint="eastAsia"/>
                <w:color w:val="1C1C1C"/>
                <w:lang w:bidi="ar"/>
              </w:rPr>
              <w:t xml:space="preserve">47 </w:t>
            </w:r>
          </w:p>
        </w:tc>
        <w:tc>
          <w:tcPr>
            <w:tcW w:w="2502" w:type="dxa"/>
            <w:noWrap/>
            <w:vAlign w:val="center"/>
          </w:tcPr>
          <w:p>
            <w:pPr>
              <w:jc w:val="center"/>
              <w:textAlignment w:val="center"/>
              <w:rPr>
                <w:color w:val="1C1C1C"/>
                <w:lang w:bidi="ar"/>
              </w:rPr>
            </w:pPr>
            <w:r>
              <w:rPr>
                <w:rFonts w:hint="eastAsia"/>
                <w:color w:val="1C1C1C"/>
                <w:lang w:bidi="ar"/>
              </w:rPr>
              <w:t xml:space="preserve">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95</w:t>
            </w:r>
          </w:p>
        </w:tc>
        <w:tc>
          <w:tcPr>
            <w:tcW w:w="2316" w:type="dxa"/>
            <w:noWrap/>
            <w:vAlign w:val="center"/>
          </w:tcPr>
          <w:p>
            <w:pPr>
              <w:jc w:val="center"/>
              <w:rPr>
                <w:color w:val="1C1C1C"/>
              </w:rPr>
            </w:pPr>
            <w:r>
              <w:rPr>
                <w:rFonts w:hint="eastAsia"/>
                <w:color w:val="1C1C1C"/>
              </w:rPr>
              <w:t>宁夏回族自治区</w:t>
            </w:r>
          </w:p>
        </w:tc>
        <w:tc>
          <w:tcPr>
            <w:tcW w:w="1546" w:type="dxa"/>
            <w:noWrap/>
            <w:vAlign w:val="center"/>
          </w:tcPr>
          <w:p>
            <w:pPr>
              <w:jc w:val="center"/>
              <w:rPr>
                <w:color w:val="1C1C1C"/>
              </w:rPr>
            </w:pPr>
            <w:r>
              <w:rPr>
                <w:rFonts w:hint="eastAsia"/>
                <w:color w:val="1C1C1C"/>
              </w:rPr>
              <w:t>银川市</w:t>
            </w:r>
          </w:p>
        </w:tc>
        <w:tc>
          <w:tcPr>
            <w:tcW w:w="1915" w:type="dxa"/>
            <w:noWrap/>
            <w:vAlign w:val="center"/>
          </w:tcPr>
          <w:p>
            <w:pPr>
              <w:jc w:val="center"/>
              <w:textAlignment w:val="center"/>
              <w:rPr>
                <w:color w:val="1C1C1C"/>
                <w:lang w:bidi="ar"/>
              </w:rPr>
            </w:pPr>
            <w:r>
              <w:rPr>
                <w:rFonts w:hint="eastAsia"/>
                <w:color w:val="1C1C1C"/>
                <w:lang w:bidi="ar"/>
              </w:rPr>
              <w:t xml:space="preserve">288 </w:t>
            </w:r>
          </w:p>
        </w:tc>
        <w:tc>
          <w:tcPr>
            <w:tcW w:w="2502" w:type="dxa"/>
            <w:noWrap/>
            <w:vAlign w:val="center"/>
          </w:tcPr>
          <w:p>
            <w:pPr>
              <w:jc w:val="center"/>
              <w:textAlignment w:val="center"/>
              <w:rPr>
                <w:color w:val="1C1C1C"/>
                <w:lang w:bidi="ar"/>
              </w:rPr>
            </w:pPr>
            <w:r>
              <w:rPr>
                <w:rFonts w:hint="eastAsia"/>
                <w:color w:val="1C1C1C"/>
                <w:lang w:bidi="ar"/>
              </w:rPr>
              <w:t xml:space="preserve">788.7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96</w:t>
            </w:r>
          </w:p>
        </w:tc>
        <w:tc>
          <w:tcPr>
            <w:tcW w:w="2316" w:type="dxa"/>
            <w:noWrap/>
            <w:vAlign w:val="center"/>
          </w:tcPr>
          <w:p>
            <w:pPr>
              <w:jc w:val="center"/>
              <w:rPr>
                <w:color w:val="1C1C1C"/>
              </w:rPr>
            </w:pPr>
            <w:r>
              <w:rPr>
                <w:rFonts w:hint="eastAsia"/>
                <w:color w:val="1C1C1C"/>
              </w:rPr>
              <w:t>宁夏回族自治区</w:t>
            </w:r>
          </w:p>
        </w:tc>
        <w:tc>
          <w:tcPr>
            <w:tcW w:w="1546" w:type="dxa"/>
            <w:noWrap/>
            <w:vAlign w:val="center"/>
          </w:tcPr>
          <w:p>
            <w:pPr>
              <w:jc w:val="center"/>
              <w:rPr>
                <w:color w:val="1C1C1C"/>
              </w:rPr>
            </w:pPr>
            <w:r>
              <w:rPr>
                <w:rFonts w:hint="eastAsia"/>
                <w:color w:val="1C1C1C"/>
              </w:rPr>
              <w:t>石嘴山市</w:t>
            </w:r>
          </w:p>
        </w:tc>
        <w:tc>
          <w:tcPr>
            <w:tcW w:w="1915" w:type="dxa"/>
            <w:noWrap/>
            <w:vAlign w:val="center"/>
          </w:tcPr>
          <w:p>
            <w:pPr>
              <w:jc w:val="center"/>
              <w:textAlignment w:val="center"/>
              <w:rPr>
                <w:color w:val="1C1C1C"/>
                <w:lang w:bidi="ar"/>
              </w:rPr>
            </w:pPr>
            <w:r>
              <w:rPr>
                <w:rFonts w:hint="eastAsia"/>
                <w:color w:val="1C1C1C"/>
                <w:lang w:bidi="ar"/>
              </w:rPr>
              <w:t xml:space="preserve">75 </w:t>
            </w:r>
          </w:p>
        </w:tc>
        <w:tc>
          <w:tcPr>
            <w:tcW w:w="2502" w:type="dxa"/>
            <w:noWrap/>
            <w:vAlign w:val="center"/>
          </w:tcPr>
          <w:p>
            <w:pPr>
              <w:jc w:val="center"/>
              <w:textAlignment w:val="center"/>
              <w:rPr>
                <w:color w:val="1C1C1C"/>
                <w:lang w:bidi="ar"/>
              </w:rPr>
            </w:pPr>
            <w:r>
              <w:rPr>
                <w:rFonts w:hint="eastAsia"/>
                <w:color w:val="1C1C1C"/>
                <w:lang w:bidi="ar"/>
              </w:rPr>
              <w:t xml:space="preserve">106.8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97</w:t>
            </w:r>
          </w:p>
        </w:tc>
        <w:tc>
          <w:tcPr>
            <w:tcW w:w="2316" w:type="dxa"/>
            <w:noWrap/>
            <w:vAlign w:val="center"/>
          </w:tcPr>
          <w:p>
            <w:pPr>
              <w:jc w:val="center"/>
              <w:rPr>
                <w:color w:val="1C1C1C"/>
              </w:rPr>
            </w:pPr>
            <w:r>
              <w:rPr>
                <w:rFonts w:hint="eastAsia"/>
                <w:color w:val="1C1C1C"/>
              </w:rPr>
              <w:t>宁夏回族自治区</w:t>
            </w:r>
          </w:p>
        </w:tc>
        <w:tc>
          <w:tcPr>
            <w:tcW w:w="1546" w:type="dxa"/>
            <w:noWrap/>
            <w:vAlign w:val="center"/>
          </w:tcPr>
          <w:p>
            <w:pPr>
              <w:jc w:val="center"/>
              <w:rPr>
                <w:color w:val="1C1C1C"/>
              </w:rPr>
            </w:pPr>
            <w:r>
              <w:rPr>
                <w:rFonts w:hint="eastAsia"/>
                <w:color w:val="1C1C1C"/>
              </w:rPr>
              <w:t>吴忠市</w:t>
            </w:r>
          </w:p>
        </w:tc>
        <w:tc>
          <w:tcPr>
            <w:tcW w:w="1915" w:type="dxa"/>
            <w:noWrap/>
            <w:vAlign w:val="center"/>
          </w:tcPr>
          <w:p>
            <w:pPr>
              <w:jc w:val="center"/>
              <w:textAlignment w:val="center"/>
              <w:rPr>
                <w:color w:val="1C1C1C"/>
                <w:lang w:bidi="ar"/>
              </w:rPr>
            </w:pPr>
            <w:r>
              <w:rPr>
                <w:rFonts w:hint="eastAsia"/>
                <w:color w:val="1C1C1C"/>
                <w:lang w:bidi="ar"/>
              </w:rPr>
              <w:t xml:space="preserve">139 </w:t>
            </w:r>
          </w:p>
        </w:tc>
        <w:tc>
          <w:tcPr>
            <w:tcW w:w="2502" w:type="dxa"/>
            <w:noWrap/>
            <w:vAlign w:val="center"/>
          </w:tcPr>
          <w:p>
            <w:pPr>
              <w:jc w:val="center"/>
              <w:textAlignment w:val="center"/>
              <w:rPr>
                <w:color w:val="1C1C1C"/>
                <w:lang w:bidi="ar"/>
              </w:rPr>
            </w:pPr>
            <w:r>
              <w:rPr>
                <w:rFonts w:hint="eastAsia"/>
                <w:color w:val="1C1C1C"/>
                <w:lang w:bidi="ar"/>
              </w:rPr>
              <w:t xml:space="preserve">182.4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98</w:t>
            </w:r>
          </w:p>
        </w:tc>
        <w:tc>
          <w:tcPr>
            <w:tcW w:w="2316" w:type="dxa"/>
            <w:noWrap/>
            <w:vAlign w:val="center"/>
          </w:tcPr>
          <w:p>
            <w:pPr>
              <w:jc w:val="center"/>
              <w:rPr>
                <w:color w:val="1C1C1C"/>
              </w:rPr>
            </w:pPr>
            <w:r>
              <w:rPr>
                <w:rFonts w:hint="eastAsia"/>
                <w:color w:val="1C1C1C"/>
              </w:rPr>
              <w:t>新疆维吾尔自治区</w:t>
            </w:r>
          </w:p>
        </w:tc>
        <w:tc>
          <w:tcPr>
            <w:tcW w:w="1546" w:type="dxa"/>
            <w:noWrap/>
            <w:vAlign w:val="center"/>
          </w:tcPr>
          <w:p>
            <w:pPr>
              <w:jc w:val="center"/>
              <w:rPr>
                <w:color w:val="1C1C1C"/>
              </w:rPr>
            </w:pPr>
            <w:r>
              <w:rPr>
                <w:rFonts w:hint="eastAsia"/>
                <w:color w:val="1C1C1C"/>
              </w:rPr>
              <w:t>乌鲁木齐市</w:t>
            </w:r>
          </w:p>
        </w:tc>
        <w:tc>
          <w:tcPr>
            <w:tcW w:w="1915" w:type="dxa"/>
            <w:noWrap/>
            <w:vAlign w:val="center"/>
          </w:tcPr>
          <w:p>
            <w:pPr>
              <w:jc w:val="center"/>
              <w:textAlignment w:val="center"/>
              <w:rPr>
                <w:color w:val="1C1C1C"/>
                <w:lang w:bidi="ar"/>
              </w:rPr>
            </w:pPr>
            <w:r>
              <w:rPr>
                <w:rFonts w:hint="eastAsia"/>
                <w:color w:val="1C1C1C"/>
                <w:lang w:bidi="ar"/>
              </w:rPr>
              <w:t xml:space="preserve">407 </w:t>
            </w:r>
          </w:p>
        </w:tc>
        <w:tc>
          <w:tcPr>
            <w:tcW w:w="2502" w:type="dxa"/>
            <w:noWrap/>
            <w:vAlign w:val="center"/>
          </w:tcPr>
          <w:p>
            <w:pPr>
              <w:jc w:val="center"/>
              <w:textAlignment w:val="center"/>
              <w:rPr>
                <w:color w:val="1C1C1C"/>
                <w:lang w:bidi="ar"/>
              </w:rPr>
            </w:pPr>
            <w:r>
              <w:rPr>
                <w:rFonts w:hint="eastAsia"/>
                <w:color w:val="1C1C1C"/>
                <w:lang w:bidi="ar"/>
              </w:rPr>
              <w:t xml:space="preserve">1171.9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99</w:t>
            </w:r>
          </w:p>
        </w:tc>
        <w:tc>
          <w:tcPr>
            <w:tcW w:w="2316" w:type="dxa"/>
            <w:noWrap/>
            <w:vAlign w:val="center"/>
          </w:tcPr>
          <w:p>
            <w:pPr>
              <w:jc w:val="center"/>
              <w:rPr>
                <w:color w:val="1C1C1C"/>
              </w:rPr>
            </w:pPr>
            <w:r>
              <w:rPr>
                <w:rFonts w:hint="eastAsia"/>
                <w:color w:val="1C1C1C"/>
              </w:rPr>
              <w:t>新疆维吾尔自治区</w:t>
            </w:r>
          </w:p>
        </w:tc>
        <w:tc>
          <w:tcPr>
            <w:tcW w:w="1546" w:type="dxa"/>
            <w:noWrap/>
            <w:vAlign w:val="center"/>
          </w:tcPr>
          <w:p>
            <w:pPr>
              <w:jc w:val="center"/>
              <w:rPr>
                <w:color w:val="1C1C1C"/>
              </w:rPr>
            </w:pPr>
            <w:r>
              <w:rPr>
                <w:rFonts w:hint="eastAsia"/>
                <w:color w:val="1C1C1C"/>
              </w:rPr>
              <w:t>克拉玛依市</w:t>
            </w:r>
          </w:p>
        </w:tc>
        <w:tc>
          <w:tcPr>
            <w:tcW w:w="1915" w:type="dxa"/>
            <w:noWrap/>
            <w:vAlign w:val="center"/>
          </w:tcPr>
          <w:p>
            <w:pPr>
              <w:jc w:val="center"/>
              <w:textAlignment w:val="center"/>
              <w:rPr>
                <w:color w:val="1C1C1C"/>
                <w:lang w:bidi="ar"/>
              </w:rPr>
            </w:pPr>
            <w:r>
              <w:rPr>
                <w:rFonts w:hint="eastAsia"/>
                <w:color w:val="1C1C1C"/>
                <w:lang w:bidi="ar"/>
              </w:rPr>
              <w:t xml:space="preserve">49 </w:t>
            </w:r>
          </w:p>
        </w:tc>
        <w:tc>
          <w:tcPr>
            <w:tcW w:w="2502" w:type="dxa"/>
            <w:noWrap/>
            <w:vAlign w:val="center"/>
          </w:tcPr>
          <w:p>
            <w:pPr>
              <w:jc w:val="center"/>
              <w:textAlignment w:val="center"/>
              <w:rPr>
                <w:color w:val="1C1C1C"/>
                <w:lang w:bidi="ar"/>
              </w:rPr>
            </w:pPr>
            <w:r>
              <w:rPr>
                <w:rFonts w:hint="eastAsia"/>
                <w:color w:val="1C1C1C"/>
                <w:lang w:bidi="ar"/>
              </w:rPr>
              <w:t xml:space="preserve">113.3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dxa"/>
            <w:noWrap/>
            <w:vAlign w:val="center"/>
          </w:tcPr>
          <w:p>
            <w:pPr>
              <w:jc w:val="center"/>
              <w:rPr>
                <w:color w:val="1C1C1C"/>
              </w:rPr>
            </w:pPr>
            <w:r>
              <w:rPr>
                <w:rFonts w:hint="eastAsia"/>
                <w:color w:val="1C1C1C"/>
              </w:rPr>
              <w:t>100</w:t>
            </w:r>
          </w:p>
        </w:tc>
        <w:tc>
          <w:tcPr>
            <w:tcW w:w="2316" w:type="dxa"/>
            <w:noWrap/>
            <w:vAlign w:val="center"/>
          </w:tcPr>
          <w:p>
            <w:pPr>
              <w:jc w:val="center"/>
              <w:rPr>
                <w:color w:val="1C1C1C"/>
              </w:rPr>
            </w:pPr>
            <w:r>
              <w:rPr>
                <w:rFonts w:hint="eastAsia"/>
                <w:color w:val="1C1C1C"/>
              </w:rPr>
              <w:t>新疆维吾尔自治区</w:t>
            </w:r>
          </w:p>
        </w:tc>
        <w:tc>
          <w:tcPr>
            <w:tcW w:w="1546" w:type="dxa"/>
            <w:noWrap/>
            <w:vAlign w:val="center"/>
          </w:tcPr>
          <w:p>
            <w:pPr>
              <w:jc w:val="center"/>
              <w:rPr>
                <w:color w:val="1C1C1C"/>
              </w:rPr>
            </w:pPr>
            <w:r>
              <w:rPr>
                <w:rFonts w:hint="eastAsia"/>
                <w:color w:val="1C1C1C"/>
              </w:rPr>
              <w:t>哈密市</w:t>
            </w:r>
          </w:p>
        </w:tc>
        <w:tc>
          <w:tcPr>
            <w:tcW w:w="1915" w:type="dxa"/>
            <w:noWrap/>
            <w:vAlign w:val="center"/>
          </w:tcPr>
          <w:p>
            <w:pPr>
              <w:jc w:val="center"/>
              <w:textAlignment w:val="center"/>
              <w:rPr>
                <w:color w:val="1C1C1C"/>
                <w:lang w:bidi="ar"/>
              </w:rPr>
            </w:pPr>
            <w:r>
              <w:rPr>
                <w:rFonts w:hint="eastAsia"/>
                <w:color w:val="1C1C1C"/>
                <w:lang w:bidi="ar"/>
              </w:rPr>
              <w:t xml:space="preserve">67 </w:t>
            </w:r>
          </w:p>
        </w:tc>
        <w:tc>
          <w:tcPr>
            <w:tcW w:w="2502" w:type="dxa"/>
            <w:noWrap/>
            <w:vAlign w:val="center"/>
          </w:tcPr>
          <w:p>
            <w:pPr>
              <w:jc w:val="center"/>
              <w:textAlignment w:val="center"/>
              <w:rPr>
                <w:color w:val="1C1C1C"/>
                <w:lang w:bidi="ar"/>
              </w:rPr>
            </w:pPr>
            <w:r>
              <w:rPr>
                <w:rFonts w:hint="eastAsia"/>
                <w:color w:val="1C1C1C"/>
                <w:lang w:bidi="ar"/>
              </w:rPr>
              <w:t xml:space="preserve">117.8 </w:t>
            </w:r>
          </w:p>
        </w:tc>
      </w:tr>
    </w:tbl>
    <w:p>
      <w:pPr>
        <w:rPr>
          <w:color w:val="1C1C1C"/>
          <w:szCs w:val="32"/>
        </w:rPr>
      </w:pPr>
    </w:p>
    <w:p>
      <w:pPr>
        <w:rPr>
          <w:rFonts w:ascii="楷体" w:hAnsi="楷体" w:eastAsia="楷体" w:cs="楷体"/>
          <w:color w:val="1C1C1C"/>
          <w:szCs w:val="32"/>
        </w:rPr>
        <w:sectPr>
          <w:pgSz w:w="11906" w:h="16838"/>
          <w:pgMar w:top="1531" w:right="1474" w:bottom="1531" w:left="1588" w:header="851" w:footer="992" w:gutter="0"/>
          <w:pgNumType w:fmt="numberInDash"/>
          <w:cols w:space="720" w:num="1"/>
          <w:docGrid w:type="linesAndChars" w:linePitch="312" w:charSpace="0"/>
        </w:sectPr>
      </w:pPr>
      <w:r>
        <w:rPr>
          <w:rFonts w:hint="eastAsia" w:ascii="楷体" w:hAnsi="楷体" w:eastAsia="楷体" w:cs="楷体"/>
          <w:color w:val="1C1C1C"/>
          <w:szCs w:val="32"/>
        </w:rPr>
        <w:t>数据来源：常住人口，除齐齐哈尔市、拉萨市、日喀则市、克拉玛依市采用第七次全国人口普查数据，其他城市均采用2021年末常住人口数据；社会消费品零售总额，均采用2021年社会消费品零售总额数据。数据来源于各级统计局数据库、各省市统计年鉴及统计公报。</w:t>
      </w:r>
    </w:p>
    <w:p>
      <w:pPr>
        <w:pStyle w:val="3"/>
        <w:jc w:val="center"/>
        <w:rPr>
          <w:rFonts w:ascii="黑体" w:hAnsi="黑体" w:eastAsia="黑体" w:cs="黑体"/>
          <w:b w:val="0"/>
          <w:bCs/>
          <w:i w:val="0"/>
          <w:iCs/>
          <w:sz w:val="32"/>
          <w:szCs w:val="28"/>
        </w:rPr>
      </w:pPr>
      <w:bookmarkStart w:id="86" w:name="_Toc1147523"/>
      <w:bookmarkStart w:id="87" w:name="_Toc62721788"/>
      <w:bookmarkStart w:id="88" w:name="_Toc19709"/>
      <w:bookmarkStart w:id="89" w:name="_Toc33719422"/>
      <w:r>
        <w:rPr>
          <w:rFonts w:hint="eastAsia" w:ascii="黑体" w:hAnsi="黑体" w:eastAsia="黑体" w:cs="黑体"/>
          <w:b w:val="0"/>
          <w:bCs/>
          <w:i w:val="0"/>
          <w:iCs/>
          <w:sz w:val="32"/>
          <w:szCs w:val="28"/>
        </w:rPr>
        <w:t>附录2  根据人口与行政层级对城市的划分结果</w:t>
      </w:r>
      <w:bookmarkEnd w:id="86"/>
      <w:bookmarkEnd w:id="87"/>
      <w:bookmarkEnd w:id="88"/>
      <w:bookmarkEnd w:id="89"/>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782"/>
        <w:gridCol w:w="2616"/>
        <w:gridCol w:w="2475"/>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blHeader/>
          <w:jc w:val="center"/>
        </w:trPr>
        <w:tc>
          <w:tcPr>
            <w:tcW w:w="453" w:type="pct"/>
            <w:shd w:val="clear" w:color="auto" w:fill="4472C4" w:themeFill="accent5"/>
            <w:noWrap/>
            <w:vAlign w:val="center"/>
          </w:tcPr>
          <w:p>
            <w:pPr>
              <w:jc w:val="center"/>
              <w:rPr>
                <w:rFonts w:ascii="黑体" w:hAnsi="黑体" w:eastAsia="黑体" w:cs="黑体"/>
                <w:color w:val="1C1C1C"/>
              </w:rPr>
            </w:pPr>
            <w:r>
              <w:rPr>
                <w:rFonts w:hint="eastAsia" w:ascii="黑体" w:hAnsi="黑体" w:eastAsia="黑体" w:cs="黑体"/>
                <w:color w:val="1C1C1C"/>
              </w:rPr>
              <w:t>序号</w:t>
            </w:r>
          </w:p>
        </w:tc>
        <w:tc>
          <w:tcPr>
            <w:tcW w:w="1091" w:type="pct"/>
            <w:shd w:val="clear" w:color="auto" w:fill="4472C4" w:themeFill="accent5"/>
            <w:noWrap/>
            <w:vAlign w:val="center"/>
          </w:tcPr>
          <w:p>
            <w:pPr>
              <w:jc w:val="center"/>
              <w:rPr>
                <w:rFonts w:ascii="黑体" w:hAnsi="黑体" w:eastAsia="黑体" w:cs="黑体"/>
                <w:color w:val="1C1C1C"/>
              </w:rPr>
            </w:pPr>
            <w:r>
              <w:rPr>
                <w:rFonts w:hint="eastAsia" w:ascii="黑体" w:hAnsi="黑体" w:eastAsia="黑体" w:cs="黑体"/>
                <w:color w:val="1C1C1C"/>
              </w:rPr>
              <w:t>省份</w:t>
            </w:r>
          </w:p>
        </w:tc>
        <w:tc>
          <w:tcPr>
            <w:tcW w:w="1090" w:type="pct"/>
            <w:shd w:val="clear" w:color="auto" w:fill="4472C4" w:themeFill="accent5"/>
            <w:noWrap/>
            <w:vAlign w:val="center"/>
          </w:tcPr>
          <w:p>
            <w:pPr>
              <w:jc w:val="center"/>
              <w:rPr>
                <w:rFonts w:ascii="黑体" w:hAnsi="黑体" w:eastAsia="黑体" w:cs="黑体"/>
                <w:color w:val="1C1C1C"/>
              </w:rPr>
            </w:pPr>
            <w:r>
              <w:rPr>
                <w:rFonts w:hint="eastAsia" w:ascii="黑体" w:hAnsi="黑体" w:eastAsia="黑体" w:cs="黑体"/>
                <w:color w:val="1C1C1C"/>
              </w:rPr>
              <w:t>城市</w:t>
            </w:r>
          </w:p>
        </w:tc>
        <w:tc>
          <w:tcPr>
            <w:tcW w:w="1454" w:type="pct"/>
            <w:shd w:val="clear" w:color="auto" w:fill="4472C4" w:themeFill="accent5"/>
            <w:vAlign w:val="center"/>
          </w:tcPr>
          <w:p>
            <w:pPr>
              <w:jc w:val="center"/>
              <w:rPr>
                <w:rFonts w:ascii="黑体" w:hAnsi="黑体" w:eastAsia="黑体" w:cs="黑体"/>
                <w:color w:val="1C1C1C"/>
              </w:rPr>
            </w:pPr>
            <w:r>
              <w:rPr>
                <w:rFonts w:hint="eastAsia" w:ascii="黑体" w:hAnsi="黑体" w:eastAsia="黑体" w:cs="黑体"/>
                <w:color w:val="1C1C1C"/>
              </w:rPr>
              <w:t>按七普城区人口划分城市规模</w:t>
            </w:r>
          </w:p>
        </w:tc>
        <w:tc>
          <w:tcPr>
            <w:tcW w:w="908" w:type="pct"/>
            <w:shd w:val="clear" w:color="auto" w:fill="4472C4" w:themeFill="accent5"/>
            <w:noWrap/>
            <w:vAlign w:val="center"/>
          </w:tcPr>
          <w:p>
            <w:pPr>
              <w:jc w:val="center"/>
              <w:rPr>
                <w:rFonts w:ascii="黑体" w:hAnsi="黑体" w:eastAsia="黑体" w:cs="黑体"/>
                <w:color w:val="1C1C1C"/>
              </w:rPr>
            </w:pPr>
            <w:r>
              <w:rPr>
                <w:rFonts w:hint="eastAsia" w:ascii="黑体" w:hAnsi="黑体" w:eastAsia="黑体" w:cs="黑体"/>
                <w:color w:val="1C1C1C"/>
              </w:rPr>
              <w:t>行政级别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w:t>
            </w:r>
          </w:p>
        </w:tc>
        <w:tc>
          <w:tcPr>
            <w:tcW w:w="1091" w:type="pct"/>
            <w:noWrap/>
            <w:vAlign w:val="center"/>
          </w:tcPr>
          <w:p>
            <w:pPr>
              <w:jc w:val="center"/>
              <w:rPr>
                <w:color w:val="1C1C1C"/>
              </w:rPr>
            </w:pPr>
            <w:r>
              <w:rPr>
                <w:rFonts w:hint="eastAsia"/>
                <w:color w:val="1C1C1C"/>
              </w:rPr>
              <w:t>北京市</w:t>
            </w:r>
          </w:p>
        </w:tc>
        <w:tc>
          <w:tcPr>
            <w:tcW w:w="1090" w:type="pct"/>
            <w:noWrap/>
            <w:vAlign w:val="center"/>
          </w:tcPr>
          <w:p>
            <w:pPr>
              <w:jc w:val="center"/>
              <w:rPr>
                <w:color w:val="1C1C1C"/>
              </w:rPr>
            </w:pPr>
            <w:r>
              <w:rPr>
                <w:rFonts w:hint="eastAsia"/>
                <w:color w:val="1C1C1C"/>
              </w:rPr>
              <w:t>北京市</w:t>
            </w:r>
          </w:p>
        </w:tc>
        <w:tc>
          <w:tcPr>
            <w:tcW w:w="1454" w:type="pct"/>
            <w:noWrap/>
            <w:vAlign w:val="center"/>
          </w:tcPr>
          <w:p>
            <w:pPr>
              <w:jc w:val="center"/>
              <w:rPr>
                <w:color w:val="1C1C1C"/>
              </w:rPr>
            </w:pPr>
            <w:r>
              <w:rPr>
                <w:rFonts w:hint="eastAsia"/>
                <w:color w:val="1C1C1C"/>
              </w:rPr>
              <w:t>超大城市</w:t>
            </w:r>
          </w:p>
        </w:tc>
        <w:tc>
          <w:tcPr>
            <w:tcW w:w="908" w:type="pct"/>
            <w:noWrap/>
            <w:vAlign w:val="center"/>
          </w:tcPr>
          <w:p>
            <w:pPr>
              <w:jc w:val="center"/>
              <w:rPr>
                <w:color w:val="1C1C1C"/>
              </w:rPr>
            </w:pPr>
            <w:r>
              <w:rPr>
                <w:rFonts w:hint="eastAsia"/>
                <w:color w:val="1C1C1C"/>
              </w:rPr>
              <w:t>直辖市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w:t>
            </w:r>
          </w:p>
        </w:tc>
        <w:tc>
          <w:tcPr>
            <w:tcW w:w="1091" w:type="pct"/>
            <w:noWrap/>
            <w:vAlign w:val="center"/>
          </w:tcPr>
          <w:p>
            <w:pPr>
              <w:jc w:val="center"/>
              <w:rPr>
                <w:color w:val="1C1C1C"/>
              </w:rPr>
            </w:pPr>
            <w:r>
              <w:rPr>
                <w:rFonts w:hint="eastAsia"/>
                <w:color w:val="1C1C1C"/>
              </w:rPr>
              <w:t>天津市</w:t>
            </w:r>
          </w:p>
        </w:tc>
        <w:tc>
          <w:tcPr>
            <w:tcW w:w="1090" w:type="pct"/>
            <w:noWrap/>
            <w:vAlign w:val="center"/>
          </w:tcPr>
          <w:p>
            <w:pPr>
              <w:jc w:val="center"/>
              <w:rPr>
                <w:color w:val="1C1C1C"/>
              </w:rPr>
            </w:pPr>
            <w:r>
              <w:rPr>
                <w:rFonts w:hint="eastAsia"/>
                <w:color w:val="1C1C1C"/>
              </w:rPr>
              <w:t>天津市</w:t>
            </w:r>
          </w:p>
        </w:tc>
        <w:tc>
          <w:tcPr>
            <w:tcW w:w="1454" w:type="pct"/>
            <w:noWrap/>
            <w:vAlign w:val="center"/>
          </w:tcPr>
          <w:p>
            <w:pPr>
              <w:jc w:val="center"/>
              <w:rPr>
                <w:color w:val="1C1C1C"/>
              </w:rPr>
            </w:pPr>
            <w:r>
              <w:rPr>
                <w:rFonts w:hint="eastAsia"/>
                <w:color w:val="1C1C1C"/>
              </w:rPr>
              <w:t>超大城市</w:t>
            </w:r>
          </w:p>
        </w:tc>
        <w:tc>
          <w:tcPr>
            <w:tcW w:w="908" w:type="pct"/>
            <w:noWrap/>
            <w:vAlign w:val="center"/>
          </w:tcPr>
          <w:p>
            <w:pPr>
              <w:jc w:val="center"/>
              <w:rPr>
                <w:color w:val="1C1C1C"/>
              </w:rPr>
            </w:pPr>
            <w:r>
              <w:rPr>
                <w:rFonts w:hint="eastAsia"/>
                <w:color w:val="1C1C1C"/>
              </w:rPr>
              <w:t>直辖市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w:t>
            </w:r>
          </w:p>
        </w:tc>
        <w:tc>
          <w:tcPr>
            <w:tcW w:w="1091" w:type="pct"/>
            <w:noWrap/>
            <w:vAlign w:val="center"/>
          </w:tcPr>
          <w:p>
            <w:pPr>
              <w:jc w:val="center"/>
              <w:rPr>
                <w:color w:val="1C1C1C"/>
              </w:rPr>
            </w:pPr>
            <w:r>
              <w:rPr>
                <w:rFonts w:hint="eastAsia"/>
                <w:color w:val="1C1C1C"/>
              </w:rPr>
              <w:t>河北省</w:t>
            </w:r>
          </w:p>
        </w:tc>
        <w:tc>
          <w:tcPr>
            <w:tcW w:w="1090" w:type="pct"/>
            <w:noWrap/>
            <w:vAlign w:val="center"/>
          </w:tcPr>
          <w:p>
            <w:pPr>
              <w:jc w:val="center"/>
              <w:rPr>
                <w:color w:val="1C1C1C"/>
              </w:rPr>
            </w:pPr>
            <w:r>
              <w:rPr>
                <w:rFonts w:hint="eastAsia"/>
                <w:color w:val="1C1C1C"/>
              </w:rPr>
              <w:t>石家庄市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w:t>
            </w:r>
          </w:p>
        </w:tc>
        <w:tc>
          <w:tcPr>
            <w:tcW w:w="1091" w:type="pct"/>
            <w:noWrap/>
            <w:vAlign w:val="center"/>
          </w:tcPr>
          <w:p>
            <w:pPr>
              <w:jc w:val="center"/>
              <w:rPr>
                <w:color w:val="1C1C1C"/>
              </w:rPr>
            </w:pPr>
            <w:r>
              <w:rPr>
                <w:rFonts w:hint="eastAsia"/>
                <w:color w:val="1C1C1C"/>
              </w:rPr>
              <w:t>河北省</w:t>
            </w:r>
          </w:p>
        </w:tc>
        <w:tc>
          <w:tcPr>
            <w:tcW w:w="1090" w:type="pct"/>
            <w:noWrap/>
            <w:vAlign w:val="center"/>
          </w:tcPr>
          <w:p>
            <w:pPr>
              <w:jc w:val="center"/>
              <w:rPr>
                <w:color w:val="1C1C1C"/>
              </w:rPr>
            </w:pPr>
            <w:r>
              <w:rPr>
                <w:rFonts w:hint="eastAsia"/>
                <w:color w:val="1C1C1C"/>
              </w:rPr>
              <w:t>唐山市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w:t>
            </w:r>
          </w:p>
        </w:tc>
        <w:tc>
          <w:tcPr>
            <w:tcW w:w="1091" w:type="pct"/>
            <w:noWrap/>
            <w:vAlign w:val="center"/>
          </w:tcPr>
          <w:p>
            <w:pPr>
              <w:jc w:val="center"/>
              <w:rPr>
                <w:color w:val="1C1C1C"/>
              </w:rPr>
            </w:pPr>
            <w:r>
              <w:rPr>
                <w:rFonts w:hint="eastAsia"/>
                <w:color w:val="1C1C1C"/>
              </w:rPr>
              <w:t>河北省</w:t>
            </w:r>
          </w:p>
        </w:tc>
        <w:tc>
          <w:tcPr>
            <w:tcW w:w="1090" w:type="pct"/>
            <w:noWrap/>
            <w:vAlign w:val="center"/>
          </w:tcPr>
          <w:p>
            <w:pPr>
              <w:jc w:val="center"/>
              <w:rPr>
                <w:color w:val="1C1C1C"/>
              </w:rPr>
            </w:pPr>
            <w:r>
              <w:rPr>
                <w:rFonts w:hint="eastAsia"/>
                <w:color w:val="1C1C1C"/>
              </w:rPr>
              <w:t>邯郸市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w:t>
            </w:r>
          </w:p>
        </w:tc>
        <w:tc>
          <w:tcPr>
            <w:tcW w:w="1091" w:type="pct"/>
            <w:noWrap/>
            <w:vAlign w:val="center"/>
          </w:tcPr>
          <w:p>
            <w:pPr>
              <w:jc w:val="center"/>
              <w:rPr>
                <w:color w:val="1C1C1C"/>
              </w:rPr>
            </w:pPr>
            <w:r>
              <w:rPr>
                <w:rFonts w:hint="eastAsia"/>
                <w:color w:val="1C1C1C"/>
              </w:rPr>
              <w:t>河北省</w:t>
            </w:r>
          </w:p>
        </w:tc>
        <w:tc>
          <w:tcPr>
            <w:tcW w:w="1090" w:type="pct"/>
            <w:noWrap/>
            <w:vAlign w:val="center"/>
          </w:tcPr>
          <w:p>
            <w:pPr>
              <w:jc w:val="center"/>
              <w:rPr>
                <w:color w:val="1C1C1C"/>
              </w:rPr>
            </w:pPr>
            <w:r>
              <w:rPr>
                <w:rFonts w:hint="eastAsia"/>
                <w:color w:val="1C1C1C"/>
              </w:rPr>
              <w:t>保定市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w:t>
            </w:r>
          </w:p>
        </w:tc>
        <w:tc>
          <w:tcPr>
            <w:tcW w:w="1091" w:type="pct"/>
            <w:noWrap/>
            <w:vAlign w:val="center"/>
          </w:tcPr>
          <w:p>
            <w:pPr>
              <w:jc w:val="center"/>
              <w:rPr>
                <w:color w:val="1C1C1C"/>
              </w:rPr>
            </w:pPr>
            <w:r>
              <w:rPr>
                <w:rFonts w:hint="eastAsia"/>
                <w:color w:val="1C1C1C"/>
              </w:rPr>
              <w:t>山西省</w:t>
            </w:r>
          </w:p>
        </w:tc>
        <w:tc>
          <w:tcPr>
            <w:tcW w:w="1090" w:type="pct"/>
            <w:noWrap/>
            <w:vAlign w:val="center"/>
          </w:tcPr>
          <w:p>
            <w:pPr>
              <w:jc w:val="center"/>
              <w:rPr>
                <w:color w:val="1C1C1C"/>
              </w:rPr>
            </w:pPr>
            <w:r>
              <w:rPr>
                <w:rFonts w:hint="eastAsia"/>
                <w:color w:val="1C1C1C"/>
              </w:rPr>
              <w:t>太原市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w:t>
            </w:r>
          </w:p>
        </w:tc>
        <w:tc>
          <w:tcPr>
            <w:tcW w:w="1091" w:type="pct"/>
            <w:noWrap/>
            <w:vAlign w:val="center"/>
          </w:tcPr>
          <w:p>
            <w:pPr>
              <w:jc w:val="center"/>
              <w:rPr>
                <w:color w:val="1C1C1C"/>
              </w:rPr>
            </w:pPr>
            <w:r>
              <w:rPr>
                <w:rFonts w:hint="eastAsia"/>
                <w:color w:val="1C1C1C"/>
              </w:rPr>
              <w:t>山西省</w:t>
            </w:r>
          </w:p>
        </w:tc>
        <w:tc>
          <w:tcPr>
            <w:tcW w:w="1090" w:type="pct"/>
            <w:noWrap/>
            <w:vAlign w:val="center"/>
          </w:tcPr>
          <w:p>
            <w:pPr>
              <w:jc w:val="center"/>
              <w:rPr>
                <w:color w:val="1C1C1C"/>
              </w:rPr>
            </w:pPr>
            <w:r>
              <w:rPr>
                <w:rFonts w:hint="eastAsia"/>
                <w:color w:val="1C1C1C"/>
              </w:rPr>
              <w:t>大同市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9</w:t>
            </w:r>
          </w:p>
        </w:tc>
        <w:tc>
          <w:tcPr>
            <w:tcW w:w="1091" w:type="pct"/>
            <w:noWrap/>
            <w:vAlign w:val="center"/>
          </w:tcPr>
          <w:p>
            <w:pPr>
              <w:jc w:val="center"/>
              <w:rPr>
                <w:color w:val="1C1C1C"/>
              </w:rPr>
            </w:pPr>
            <w:r>
              <w:rPr>
                <w:rFonts w:hint="eastAsia"/>
                <w:color w:val="1C1C1C"/>
              </w:rPr>
              <w:t>山西省</w:t>
            </w:r>
          </w:p>
        </w:tc>
        <w:tc>
          <w:tcPr>
            <w:tcW w:w="1090" w:type="pct"/>
            <w:noWrap/>
            <w:vAlign w:val="center"/>
          </w:tcPr>
          <w:p>
            <w:pPr>
              <w:jc w:val="center"/>
              <w:rPr>
                <w:color w:val="1C1C1C"/>
              </w:rPr>
            </w:pPr>
            <w:r>
              <w:rPr>
                <w:rFonts w:hint="eastAsia"/>
                <w:color w:val="1C1C1C"/>
              </w:rPr>
              <w:t>运城市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10</w:t>
            </w:r>
          </w:p>
        </w:tc>
        <w:tc>
          <w:tcPr>
            <w:tcW w:w="1091" w:type="pct"/>
            <w:noWrap/>
            <w:vAlign w:val="center"/>
          </w:tcPr>
          <w:p>
            <w:pPr>
              <w:jc w:val="center"/>
              <w:rPr>
                <w:color w:val="1C1C1C"/>
              </w:rPr>
            </w:pPr>
            <w:r>
              <w:rPr>
                <w:rFonts w:hint="eastAsia"/>
                <w:color w:val="1C1C1C"/>
              </w:rPr>
              <w:t>内蒙古自治区</w:t>
            </w:r>
          </w:p>
        </w:tc>
        <w:tc>
          <w:tcPr>
            <w:tcW w:w="1090" w:type="pct"/>
            <w:noWrap/>
            <w:vAlign w:val="center"/>
          </w:tcPr>
          <w:p>
            <w:pPr>
              <w:jc w:val="center"/>
              <w:rPr>
                <w:color w:val="1C1C1C"/>
              </w:rPr>
            </w:pPr>
            <w:r>
              <w:rPr>
                <w:rFonts w:hint="eastAsia"/>
                <w:color w:val="1C1C1C"/>
              </w:rPr>
              <w:t>呼和浩特市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首府城市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11</w:t>
            </w:r>
          </w:p>
        </w:tc>
        <w:tc>
          <w:tcPr>
            <w:tcW w:w="1091" w:type="pct"/>
            <w:noWrap/>
            <w:vAlign w:val="center"/>
          </w:tcPr>
          <w:p>
            <w:pPr>
              <w:jc w:val="center"/>
              <w:rPr>
                <w:color w:val="1C1C1C"/>
              </w:rPr>
            </w:pPr>
            <w:r>
              <w:rPr>
                <w:rFonts w:hint="eastAsia"/>
                <w:color w:val="1C1C1C"/>
              </w:rPr>
              <w:t>内蒙古自治区</w:t>
            </w:r>
          </w:p>
        </w:tc>
        <w:tc>
          <w:tcPr>
            <w:tcW w:w="1090" w:type="pct"/>
            <w:noWrap/>
            <w:vAlign w:val="center"/>
          </w:tcPr>
          <w:p>
            <w:pPr>
              <w:jc w:val="center"/>
              <w:rPr>
                <w:color w:val="1C1C1C"/>
              </w:rPr>
            </w:pPr>
            <w:r>
              <w:rPr>
                <w:rFonts w:hint="eastAsia"/>
                <w:color w:val="1C1C1C"/>
              </w:rPr>
              <w:t>包头市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12</w:t>
            </w:r>
          </w:p>
        </w:tc>
        <w:tc>
          <w:tcPr>
            <w:tcW w:w="1091" w:type="pct"/>
            <w:noWrap/>
            <w:vAlign w:val="center"/>
          </w:tcPr>
          <w:p>
            <w:pPr>
              <w:jc w:val="center"/>
              <w:rPr>
                <w:color w:val="1C1C1C"/>
              </w:rPr>
            </w:pPr>
            <w:r>
              <w:rPr>
                <w:rFonts w:hint="eastAsia"/>
                <w:color w:val="1C1C1C"/>
              </w:rPr>
              <w:t>内蒙古自治区</w:t>
            </w:r>
          </w:p>
        </w:tc>
        <w:tc>
          <w:tcPr>
            <w:tcW w:w="1090" w:type="pct"/>
            <w:noWrap/>
            <w:vAlign w:val="center"/>
          </w:tcPr>
          <w:p>
            <w:pPr>
              <w:jc w:val="center"/>
              <w:rPr>
                <w:color w:val="1C1C1C"/>
              </w:rPr>
            </w:pPr>
            <w:r>
              <w:rPr>
                <w:rFonts w:hint="eastAsia"/>
                <w:color w:val="1C1C1C"/>
              </w:rPr>
              <w:t>鄂尔多斯市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13</w:t>
            </w:r>
          </w:p>
        </w:tc>
        <w:tc>
          <w:tcPr>
            <w:tcW w:w="1091" w:type="pct"/>
            <w:noWrap/>
            <w:vAlign w:val="center"/>
          </w:tcPr>
          <w:p>
            <w:pPr>
              <w:jc w:val="center"/>
              <w:rPr>
                <w:color w:val="1C1C1C"/>
              </w:rPr>
            </w:pPr>
            <w:r>
              <w:rPr>
                <w:rFonts w:hint="eastAsia"/>
                <w:color w:val="1C1C1C"/>
              </w:rPr>
              <w:t>辽宁省</w:t>
            </w:r>
          </w:p>
        </w:tc>
        <w:tc>
          <w:tcPr>
            <w:tcW w:w="1090" w:type="pct"/>
            <w:noWrap/>
            <w:vAlign w:val="center"/>
          </w:tcPr>
          <w:p>
            <w:pPr>
              <w:jc w:val="center"/>
              <w:rPr>
                <w:color w:val="1C1C1C"/>
              </w:rPr>
            </w:pPr>
            <w:r>
              <w:rPr>
                <w:rFonts w:hint="eastAsia"/>
                <w:color w:val="1C1C1C"/>
              </w:rPr>
              <w:t>沈阳市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14</w:t>
            </w:r>
          </w:p>
        </w:tc>
        <w:tc>
          <w:tcPr>
            <w:tcW w:w="1091" w:type="pct"/>
            <w:noWrap/>
            <w:vAlign w:val="center"/>
          </w:tcPr>
          <w:p>
            <w:pPr>
              <w:jc w:val="center"/>
              <w:rPr>
                <w:color w:val="1C1C1C"/>
              </w:rPr>
            </w:pPr>
            <w:r>
              <w:rPr>
                <w:rFonts w:hint="eastAsia"/>
                <w:color w:val="1C1C1C"/>
              </w:rPr>
              <w:t>辽宁省</w:t>
            </w:r>
          </w:p>
        </w:tc>
        <w:tc>
          <w:tcPr>
            <w:tcW w:w="1090" w:type="pct"/>
            <w:noWrap/>
            <w:vAlign w:val="center"/>
          </w:tcPr>
          <w:p>
            <w:pPr>
              <w:jc w:val="center"/>
              <w:rPr>
                <w:color w:val="1C1C1C"/>
              </w:rPr>
            </w:pPr>
            <w:r>
              <w:rPr>
                <w:rFonts w:hint="eastAsia"/>
                <w:color w:val="1C1C1C"/>
              </w:rPr>
              <w:t>大连市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计划单列市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15</w:t>
            </w:r>
          </w:p>
        </w:tc>
        <w:tc>
          <w:tcPr>
            <w:tcW w:w="1091" w:type="pct"/>
            <w:noWrap/>
            <w:vAlign w:val="center"/>
          </w:tcPr>
          <w:p>
            <w:pPr>
              <w:jc w:val="center"/>
              <w:rPr>
                <w:color w:val="1C1C1C"/>
              </w:rPr>
            </w:pPr>
            <w:r>
              <w:rPr>
                <w:rFonts w:hint="eastAsia"/>
                <w:color w:val="1C1C1C"/>
              </w:rPr>
              <w:t>辽宁省</w:t>
            </w:r>
          </w:p>
        </w:tc>
        <w:tc>
          <w:tcPr>
            <w:tcW w:w="1090" w:type="pct"/>
            <w:noWrap/>
            <w:vAlign w:val="center"/>
          </w:tcPr>
          <w:p>
            <w:pPr>
              <w:jc w:val="center"/>
              <w:rPr>
                <w:color w:val="1C1C1C"/>
              </w:rPr>
            </w:pPr>
            <w:r>
              <w:rPr>
                <w:rFonts w:hint="eastAsia"/>
                <w:color w:val="1C1C1C"/>
              </w:rPr>
              <w:t>鞍山市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16</w:t>
            </w:r>
          </w:p>
        </w:tc>
        <w:tc>
          <w:tcPr>
            <w:tcW w:w="1091" w:type="pct"/>
            <w:noWrap/>
            <w:vAlign w:val="center"/>
          </w:tcPr>
          <w:p>
            <w:pPr>
              <w:jc w:val="center"/>
              <w:rPr>
                <w:color w:val="1C1C1C"/>
              </w:rPr>
            </w:pPr>
            <w:r>
              <w:rPr>
                <w:rFonts w:hint="eastAsia"/>
                <w:color w:val="1C1C1C"/>
              </w:rPr>
              <w:t>吉林省</w:t>
            </w:r>
          </w:p>
        </w:tc>
        <w:tc>
          <w:tcPr>
            <w:tcW w:w="1090" w:type="pct"/>
            <w:noWrap/>
            <w:vAlign w:val="center"/>
          </w:tcPr>
          <w:p>
            <w:pPr>
              <w:jc w:val="center"/>
              <w:rPr>
                <w:color w:val="1C1C1C"/>
              </w:rPr>
            </w:pPr>
            <w:r>
              <w:rPr>
                <w:rFonts w:hint="eastAsia"/>
                <w:color w:val="1C1C1C"/>
              </w:rPr>
              <w:t>长春市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17</w:t>
            </w:r>
          </w:p>
        </w:tc>
        <w:tc>
          <w:tcPr>
            <w:tcW w:w="1091" w:type="pct"/>
            <w:noWrap/>
            <w:vAlign w:val="center"/>
          </w:tcPr>
          <w:p>
            <w:pPr>
              <w:jc w:val="center"/>
              <w:rPr>
                <w:color w:val="1C1C1C"/>
              </w:rPr>
            </w:pPr>
            <w:r>
              <w:rPr>
                <w:rFonts w:hint="eastAsia"/>
                <w:color w:val="1C1C1C"/>
              </w:rPr>
              <w:t>吉林省</w:t>
            </w:r>
          </w:p>
        </w:tc>
        <w:tc>
          <w:tcPr>
            <w:tcW w:w="1090" w:type="pct"/>
            <w:noWrap/>
            <w:vAlign w:val="center"/>
          </w:tcPr>
          <w:p>
            <w:pPr>
              <w:jc w:val="center"/>
              <w:rPr>
                <w:color w:val="1C1C1C"/>
              </w:rPr>
            </w:pPr>
            <w:r>
              <w:rPr>
                <w:rFonts w:hint="eastAsia"/>
                <w:color w:val="1C1C1C"/>
              </w:rPr>
              <w:t>吉林市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18</w:t>
            </w:r>
          </w:p>
        </w:tc>
        <w:tc>
          <w:tcPr>
            <w:tcW w:w="1091" w:type="pct"/>
            <w:noWrap/>
            <w:vAlign w:val="center"/>
          </w:tcPr>
          <w:p>
            <w:pPr>
              <w:jc w:val="center"/>
              <w:rPr>
                <w:color w:val="1C1C1C"/>
              </w:rPr>
            </w:pPr>
            <w:r>
              <w:rPr>
                <w:rFonts w:hint="eastAsia"/>
                <w:color w:val="1C1C1C"/>
              </w:rPr>
              <w:t>吉林省</w:t>
            </w:r>
          </w:p>
        </w:tc>
        <w:tc>
          <w:tcPr>
            <w:tcW w:w="1090" w:type="pct"/>
            <w:noWrap/>
            <w:vAlign w:val="center"/>
          </w:tcPr>
          <w:p>
            <w:pPr>
              <w:jc w:val="center"/>
              <w:rPr>
                <w:color w:val="1C1C1C"/>
              </w:rPr>
            </w:pPr>
            <w:r>
              <w:rPr>
                <w:rFonts w:hint="eastAsia"/>
                <w:color w:val="1C1C1C"/>
              </w:rPr>
              <w:t>松原市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19</w:t>
            </w:r>
          </w:p>
        </w:tc>
        <w:tc>
          <w:tcPr>
            <w:tcW w:w="1091" w:type="pct"/>
            <w:noWrap/>
            <w:vAlign w:val="center"/>
          </w:tcPr>
          <w:p>
            <w:pPr>
              <w:jc w:val="center"/>
              <w:rPr>
                <w:color w:val="1C1C1C"/>
              </w:rPr>
            </w:pPr>
            <w:r>
              <w:rPr>
                <w:rFonts w:hint="eastAsia"/>
                <w:color w:val="1C1C1C"/>
              </w:rPr>
              <w:t>黑龙江省</w:t>
            </w:r>
          </w:p>
        </w:tc>
        <w:tc>
          <w:tcPr>
            <w:tcW w:w="1090" w:type="pct"/>
            <w:noWrap/>
            <w:vAlign w:val="center"/>
          </w:tcPr>
          <w:p>
            <w:pPr>
              <w:jc w:val="center"/>
              <w:rPr>
                <w:color w:val="1C1C1C"/>
              </w:rPr>
            </w:pPr>
            <w:r>
              <w:rPr>
                <w:rFonts w:hint="eastAsia"/>
                <w:color w:val="1C1C1C"/>
              </w:rPr>
              <w:t>哈尔滨市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20</w:t>
            </w:r>
          </w:p>
        </w:tc>
        <w:tc>
          <w:tcPr>
            <w:tcW w:w="1091" w:type="pct"/>
            <w:noWrap/>
            <w:vAlign w:val="center"/>
          </w:tcPr>
          <w:p>
            <w:pPr>
              <w:jc w:val="center"/>
              <w:rPr>
                <w:color w:val="1C1C1C"/>
              </w:rPr>
            </w:pPr>
            <w:r>
              <w:rPr>
                <w:rFonts w:hint="eastAsia"/>
                <w:color w:val="1C1C1C"/>
              </w:rPr>
              <w:t>黑龙江省</w:t>
            </w:r>
          </w:p>
        </w:tc>
        <w:tc>
          <w:tcPr>
            <w:tcW w:w="1090" w:type="pct"/>
            <w:noWrap/>
            <w:vAlign w:val="center"/>
          </w:tcPr>
          <w:p>
            <w:pPr>
              <w:jc w:val="center"/>
              <w:rPr>
                <w:color w:val="1C1C1C"/>
              </w:rPr>
            </w:pPr>
            <w:r>
              <w:rPr>
                <w:rFonts w:hint="eastAsia"/>
                <w:color w:val="1C1C1C"/>
              </w:rPr>
              <w:t>齐齐哈尔市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21</w:t>
            </w:r>
          </w:p>
        </w:tc>
        <w:tc>
          <w:tcPr>
            <w:tcW w:w="1091" w:type="pct"/>
            <w:noWrap/>
            <w:vAlign w:val="center"/>
          </w:tcPr>
          <w:p>
            <w:pPr>
              <w:jc w:val="center"/>
              <w:rPr>
                <w:color w:val="1C1C1C"/>
              </w:rPr>
            </w:pPr>
            <w:r>
              <w:rPr>
                <w:rFonts w:hint="eastAsia"/>
                <w:color w:val="1C1C1C"/>
              </w:rPr>
              <w:t>黑龙江省</w:t>
            </w:r>
          </w:p>
        </w:tc>
        <w:tc>
          <w:tcPr>
            <w:tcW w:w="1090" w:type="pct"/>
            <w:noWrap/>
            <w:vAlign w:val="center"/>
          </w:tcPr>
          <w:p>
            <w:pPr>
              <w:jc w:val="center"/>
              <w:rPr>
                <w:color w:val="1C1C1C"/>
              </w:rPr>
            </w:pPr>
            <w:r>
              <w:rPr>
                <w:rFonts w:hint="eastAsia"/>
                <w:color w:val="1C1C1C"/>
              </w:rPr>
              <w:t>大庆市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22</w:t>
            </w:r>
          </w:p>
        </w:tc>
        <w:tc>
          <w:tcPr>
            <w:tcW w:w="1091" w:type="pct"/>
            <w:noWrap/>
            <w:vAlign w:val="center"/>
          </w:tcPr>
          <w:p>
            <w:pPr>
              <w:jc w:val="center"/>
              <w:rPr>
                <w:color w:val="1C1C1C"/>
              </w:rPr>
            </w:pPr>
            <w:r>
              <w:rPr>
                <w:rFonts w:hint="eastAsia"/>
                <w:color w:val="1C1C1C"/>
              </w:rPr>
              <w:t>上海市</w:t>
            </w:r>
          </w:p>
        </w:tc>
        <w:tc>
          <w:tcPr>
            <w:tcW w:w="1090" w:type="pct"/>
            <w:noWrap/>
            <w:vAlign w:val="center"/>
          </w:tcPr>
          <w:p>
            <w:pPr>
              <w:jc w:val="center"/>
              <w:rPr>
                <w:color w:val="1C1C1C"/>
              </w:rPr>
            </w:pPr>
            <w:r>
              <w:rPr>
                <w:rFonts w:hint="eastAsia"/>
                <w:color w:val="1C1C1C"/>
              </w:rPr>
              <w:t>上海市</w:t>
            </w:r>
          </w:p>
        </w:tc>
        <w:tc>
          <w:tcPr>
            <w:tcW w:w="1454" w:type="pct"/>
            <w:noWrap/>
            <w:vAlign w:val="center"/>
          </w:tcPr>
          <w:p>
            <w:pPr>
              <w:jc w:val="center"/>
              <w:rPr>
                <w:color w:val="1C1C1C"/>
              </w:rPr>
            </w:pPr>
            <w:r>
              <w:rPr>
                <w:rFonts w:hint="eastAsia"/>
                <w:color w:val="1C1C1C"/>
              </w:rPr>
              <w:t>超大城市</w:t>
            </w:r>
          </w:p>
        </w:tc>
        <w:tc>
          <w:tcPr>
            <w:tcW w:w="908" w:type="pct"/>
            <w:noWrap/>
            <w:vAlign w:val="center"/>
          </w:tcPr>
          <w:p>
            <w:pPr>
              <w:jc w:val="center"/>
              <w:rPr>
                <w:color w:val="1C1C1C"/>
              </w:rPr>
            </w:pPr>
            <w:r>
              <w:rPr>
                <w:rFonts w:hint="eastAsia"/>
                <w:color w:val="1C1C1C"/>
              </w:rPr>
              <w:t>直辖市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23</w:t>
            </w:r>
          </w:p>
        </w:tc>
        <w:tc>
          <w:tcPr>
            <w:tcW w:w="1091" w:type="pct"/>
            <w:noWrap/>
            <w:vAlign w:val="center"/>
          </w:tcPr>
          <w:p>
            <w:pPr>
              <w:jc w:val="center"/>
              <w:rPr>
                <w:color w:val="1C1C1C"/>
              </w:rPr>
            </w:pPr>
            <w:r>
              <w:rPr>
                <w:rFonts w:hint="eastAsia"/>
                <w:color w:val="1C1C1C"/>
              </w:rPr>
              <w:t>江苏省</w:t>
            </w:r>
          </w:p>
        </w:tc>
        <w:tc>
          <w:tcPr>
            <w:tcW w:w="1090" w:type="pct"/>
            <w:noWrap/>
            <w:vAlign w:val="center"/>
          </w:tcPr>
          <w:p>
            <w:pPr>
              <w:jc w:val="center"/>
              <w:rPr>
                <w:color w:val="1C1C1C"/>
              </w:rPr>
            </w:pPr>
            <w:r>
              <w:rPr>
                <w:rFonts w:hint="eastAsia"/>
                <w:color w:val="1C1C1C"/>
              </w:rPr>
              <w:t>南京市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24</w:t>
            </w:r>
          </w:p>
        </w:tc>
        <w:tc>
          <w:tcPr>
            <w:tcW w:w="1091" w:type="pct"/>
            <w:noWrap/>
            <w:vAlign w:val="center"/>
          </w:tcPr>
          <w:p>
            <w:pPr>
              <w:jc w:val="center"/>
              <w:rPr>
                <w:color w:val="1C1C1C"/>
              </w:rPr>
            </w:pPr>
            <w:r>
              <w:rPr>
                <w:rFonts w:hint="eastAsia"/>
                <w:color w:val="1C1C1C"/>
              </w:rPr>
              <w:t>江苏省</w:t>
            </w:r>
          </w:p>
        </w:tc>
        <w:tc>
          <w:tcPr>
            <w:tcW w:w="1090" w:type="pct"/>
            <w:noWrap/>
            <w:vAlign w:val="center"/>
          </w:tcPr>
          <w:p>
            <w:pPr>
              <w:jc w:val="center"/>
              <w:rPr>
                <w:color w:val="1C1C1C"/>
              </w:rPr>
            </w:pPr>
            <w:r>
              <w:rPr>
                <w:rFonts w:hint="eastAsia"/>
                <w:color w:val="1C1C1C"/>
              </w:rPr>
              <w:t>无锡市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25</w:t>
            </w:r>
          </w:p>
        </w:tc>
        <w:tc>
          <w:tcPr>
            <w:tcW w:w="1091" w:type="pct"/>
            <w:noWrap/>
            <w:vAlign w:val="center"/>
          </w:tcPr>
          <w:p>
            <w:pPr>
              <w:jc w:val="center"/>
              <w:rPr>
                <w:color w:val="1C1C1C"/>
              </w:rPr>
            </w:pPr>
            <w:r>
              <w:rPr>
                <w:rFonts w:hint="eastAsia"/>
                <w:color w:val="1C1C1C"/>
              </w:rPr>
              <w:t>江苏省</w:t>
            </w:r>
          </w:p>
        </w:tc>
        <w:tc>
          <w:tcPr>
            <w:tcW w:w="1090" w:type="pct"/>
            <w:noWrap/>
            <w:vAlign w:val="center"/>
          </w:tcPr>
          <w:p>
            <w:pPr>
              <w:jc w:val="center"/>
              <w:rPr>
                <w:color w:val="1C1C1C"/>
              </w:rPr>
            </w:pPr>
            <w:r>
              <w:rPr>
                <w:rFonts w:hint="eastAsia"/>
                <w:color w:val="1C1C1C"/>
              </w:rPr>
              <w:t>徐州市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26</w:t>
            </w:r>
          </w:p>
        </w:tc>
        <w:tc>
          <w:tcPr>
            <w:tcW w:w="1091" w:type="pct"/>
            <w:noWrap/>
            <w:vAlign w:val="center"/>
          </w:tcPr>
          <w:p>
            <w:pPr>
              <w:jc w:val="center"/>
              <w:rPr>
                <w:color w:val="1C1C1C"/>
              </w:rPr>
            </w:pPr>
            <w:r>
              <w:rPr>
                <w:rFonts w:hint="eastAsia"/>
                <w:color w:val="1C1C1C"/>
              </w:rPr>
              <w:t>江苏省</w:t>
            </w:r>
          </w:p>
        </w:tc>
        <w:tc>
          <w:tcPr>
            <w:tcW w:w="1090" w:type="pct"/>
            <w:noWrap/>
            <w:vAlign w:val="center"/>
          </w:tcPr>
          <w:p>
            <w:pPr>
              <w:jc w:val="center"/>
              <w:rPr>
                <w:color w:val="1C1C1C"/>
              </w:rPr>
            </w:pPr>
            <w:r>
              <w:rPr>
                <w:rFonts w:hint="eastAsia"/>
                <w:color w:val="1C1C1C"/>
              </w:rPr>
              <w:t>常州市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27</w:t>
            </w:r>
          </w:p>
        </w:tc>
        <w:tc>
          <w:tcPr>
            <w:tcW w:w="1091" w:type="pct"/>
            <w:noWrap/>
            <w:vAlign w:val="center"/>
          </w:tcPr>
          <w:p>
            <w:pPr>
              <w:jc w:val="center"/>
              <w:rPr>
                <w:color w:val="1C1C1C"/>
              </w:rPr>
            </w:pPr>
            <w:r>
              <w:rPr>
                <w:rFonts w:hint="eastAsia"/>
                <w:color w:val="1C1C1C"/>
              </w:rPr>
              <w:t>江苏省</w:t>
            </w:r>
          </w:p>
        </w:tc>
        <w:tc>
          <w:tcPr>
            <w:tcW w:w="1090" w:type="pct"/>
            <w:noWrap/>
            <w:vAlign w:val="center"/>
          </w:tcPr>
          <w:p>
            <w:pPr>
              <w:jc w:val="center"/>
              <w:rPr>
                <w:color w:val="1C1C1C"/>
              </w:rPr>
            </w:pPr>
            <w:r>
              <w:rPr>
                <w:rFonts w:hint="eastAsia"/>
                <w:color w:val="1C1C1C"/>
              </w:rPr>
              <w:t>苏州市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28</w:t>
            </w:r>
          </w:p>
        </w:tc>
        <w:tc>
          <w:tcPr>
            <w:tcW w:w="1091" w:type="pct"/>
            <w:noWrap/>
            <w:vAlign w:val="center"/>
          </w:tcPr>
          <w:p>
            <w:pPr>
              <w:jc w:val="center"/>
              <w:rPr>
                <w:color w:val="1C1C1C"/>
              </w:rPr>
            </w:pPr>
            <w:r>
              <w:rPr>
                <w:rFonts w:hint="eastAsia"/>
                <w:color w:val="1C1C1C"/>
              </w:rPr>
              <w:t>江苏省</w:t>
            </w:r>
          </w:p>
        </w:tc>
        <w:tc>
          <w:tcPr>
            <w:tcW w:w="1090" w:type="pct"/>
            <w:noWrap/>
            <w:vAlign w:val="center"/>
          </w:tcPr>
          <w:p>
            <w:pPr>
              <w:jc w:val="center"/>
              <w:rPr>
                <w:color w:val="1C1C1C"/>
              </w:rPr>
            </w:pPr>
            <w:r>
              <w:rPr>
                <w:rFonts w:hint="eastAsia"/>
                <w:color w:val="1C1C1C"/>
              </w:rPr>
              <w:t>南通市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29</w:t>
            </w:r>
          </w:p>
        </w:tc>
        <w:tc>
          <w:tcPr>
            <w:tcW w:w="1091" w:type="pct"/>
            <w:noWrap/>
            <w:vAlign w:val="center"/>
          </w:tcPr>
          <w:p>
            <w:pPr>
              <w:jc w:val="center"/>
              <w:rPr>
                <w:color w:val="1C1C1C"/>
              </w:rPr>
            </w:pPr>
            <w:r>
              <w:rPr>
                <w:rFonts w:hint="eastAsia"/>
                <w:color w:val="1C1C1C"/>
              </w:rPr>
              <w:t>江苏省</w:t>
            </w:r>
          </w:p>
        </w:tc>
        <w:tc>
          <w:tcPr>
            <w:tcW w:w="1090" w:type="pct"/>
            <w:noWrap/>
            <w:vAlign w:val="center"/>
          </w:tcPr>
          <w:p>
            <w:pPr>
              <w:jc w:val="center"/>
              <w:rPr>
                <w:color w:val="1C1C1C"/>
              </w:rPr>
            </w:pPr>
            <w:r>
              <w:rPr>
                <w:rFonts w:hint="eastAsia"/>
                <w:color w:val="1C1C1C"/>
              </w:rPr>
              <w:t>盐城市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30</w:t>
            </w:r>
          </w:p>
        </w:tc>
        <w:tc>
          <w:tcPr>
            <w:tcW w:w="1091" w:type="pct"/>
            <w:noWrap/>
            <w:vAlign w:val="center"/>
          </w:tcPr>
          <w:p>
            <w:pPr>
              <w:jc w:val="center"/>
              <w:rPr>
                <w:color w:val="1C1C1C"/>
              </w:rPr>
            </w:pPr>
            <w:r>
              <w:rPr>
                <w:rFonts w:hint="eastAsia"/>
                <w:color w:val="1C1C1C"/>
              </w:rPr>
              <w:t>浙江省</w:t>
            </w:r>
          </w:p>
        </w:tc>
        <w:tc>
          <w:tcPr>
            <w:tcW w:w="1090" w:type="pct"/>
            <w:noWrap/>
            <w:vAlign w:val="center"/>
          </w:tcPr>
          <w:p>
            <w:pPr>
              <w:jc w:val="center"/>
              <w:rPr>
                <w:color w:val="1C1C1C"/>
              </w:rPr>
            </w:pPr>
            <w:r>
              <w:rPr>
                <w:rFonts w:hint="eastAsia"/>
                <w:color w:val="1C1C1C"/>
              </w:rPr>
              <w:t>杭州市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31</w:t>
            </w:r>
          </w:p>
        </w:tc>
        <w:tc>
          <w:tcPr>
            <w:tcW w:w="1091" w:type="pct"/>
            <w:noWrap/>
            <w:vAlign w:val="center"/>
          </w:tcPr>
          <w:p>
            <w:pPr>
              <w:jc w:val="center"/>
              <w:rPr>
                <w:color w:val="1C1C1C"/>
              </w:rPr>
            </w:pPr>
            <w:r>
              <w:rPr>
                <w:rFonts w:hint="eastAsia"/>
                <w:color w:val="1C1C1C"/>
              </w:rPr>
              <w:t>浙江省</w:t>
            </w:r>
          </w:p>
        </w:tc>
        <w:tc>
          <w:tcPr>
            <w:tcW w:w="1090" w:type="pct"/>
            <w:noWrap/>
            <w:vAlign w:val="center"/>
          </w:tcPr>
          <w:p>
            <w:pPr>
              <w:jc w:val="center"/>
              <w:rPr>
                <w:color w:val="1C1C1C"/>
              </w:rPr>
            </w:pPr>
            <w:r>
              <w:rPr>
                <w:rFonts w:hint="eastAsia"/>
                <w:color w:val="1C1C1C"/>
              </w:rPr>
              <w:t>宁波市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计划单列市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32</w:t>
            </w:r>
          </w:p>
        </w:tc>
        <w:tc>
          <w:tcPr>
            <w:tcW w:w="1091" w:type="pct"/>
            <w:noWrap/>
            <w:vAlign w:val="center"/>
          </w:tcPr>
          <w:p>
            <w:pPr>
              <w:jc w:val="center"/>
              <w:rPr>
                <w:color w:val="1C1C1C"/>
              </w:rPr>
            </w:pPr>
            <w:r>
              <w:rPr>
                <w:rFonts w:hint="eastAsia"/>
                <w:color w:val="1C1C1C"/>
              </w:rPr>
              <w:t>浙江省</w:t>
            </w:r>
          </w:p>
        </w:tc>
        <w:tc>
          <w:tcPr>
            <w:tcW w:w="1090" w:type="pct"/>
            <w:noWrap/>
            <w:vAlign w:val="center"/>
          </w:tcPr>
          <w:p>
            <w:pPr>
              <w:jc w:val="center"/>
              <w:rPr>
                <w:color w:val="1C1C1C"/>
              </w:rPr>
            </w:pPr>
            <w:r>
              <w:rPr>
                <w:rFonts w:hint="eastAsia"/>
                <w:color w:val="1C1C1C"/>
              </w:rPr>
              <w:t>温州市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33</w:t>
            </w:r>
          </w:p>
        </w:tc>
        <w:tc>
          <w:tcPr>
            <w:tcW w:w="1091" w:type="pct"/>
            <w:noWrap/>
            <w:vAlign w:val="center"/>
          </w:tcPr>
          <w:p>
            <w:pPr>
              <w:jc w:val="center"/>
              <w:rPr>
                <w:color w:val="1C1C1C"/>
              </w:rPr>
            </w:pPr>
            <w:r>
              <w:rPr>
                <w:rFonts w:hint="eastAsia"/>
                <w:color w:val="1C1C1C"/>
              </w:rPr>
              <w:t>浙江省</w:t>
            </w:r>
          </w:p>
        </w:tc>
        <w:tc>
          <w:tcPr>
            <w:tcW w:w="1090" w:type="pct"/>
            <w:noWrap/>
            <w:vAlign w:val="center"/>
          </w:tcPr>
          <w:p>
            <w:pPr>
              <w:jc w:val="center"/>
              <w:rPr>
                <w:color w:val="1C1C1C"/>
              </w:rPr>
            </w:pPr>
            <w:r>
              <w:rPr>
                <w:rFonts w:hint="eastAsia"/>
                <w:color w:val="1C1C1C"/>
              </w:rPr>
              <w:t>嘉兴市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34</w:t>
            </w:r>
          </w:p>
        </w:tc>
        <w:tc>
          <w:tcPr>
            <w:tcW w:w="1091" w:type="pct"/>
            <w:noWrap/>
            <w:vAlign w:val="center"/>
          </w:tcPr>
          <w:p>
            <w:pPr>
              <w:jc w:val="center"/>
              <w:rPr>
                <w:color w:val="1C1C1C"/>
              </w:rPr>
            </w:pPr>
            <w:r>
              <w:rPr>
                <w:rFonts w:hint="eastAsia"/>
                <w:color w:val="1C1C1C"/>
              </w:rPr>
              <w:t>浙江省</w:t>
            </w:r>
          </w:p>
        </w:tc>
        <w:tc>
          <w:tcPr>
            <w:tcW w:w="1090" w:type="pct"/>
            <w:noWrap/>
            <w:vAlign w:val="center"/>
          </w:tcPr>
          <w:p>
            <w:pPr>
              <w:jc w:val="center"/>
              <w:rPr>
                <w:color w:val="1C1C1C"/>
              </w:rPr>
            </w:pPr>
            <w:r>
              <w:rPr>
                <w:rFonts w:hint="eastAsia"/>
                <w:color w:val="1C1C1C"/>
              </w:rPr>
              <w:t>绍兴市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35</w:t>
            </w:r>
          </w:p>
        </w:tc>
        <w:tc>
          <w:tcPr>
            <w:tcW w:w="1091" w:type="pct"/>
            <w:noWrap/>
            <w:vAlign w:val="center"/>
          </w:tcPr>
          <w:p>
            <w:pPr>
              <w:jc w:val="center"/>
              <w:rPr>
                <w:color w:val="1C1C1C"/>
              </w:rPr>
            </w:pPr>
            <w:r>
              <w:rPr>
                <w:rFonts w:hint="eastAsia"/>
                <w:color w:val="1C1C1C"/>
              </w:rPr>
              <w:t>浙江省</w:t>
            </w:r>
          </w:p>
        </w:tc>
        <w:tc>
          <w:tcPr>
            <w:tcW w:w="1090" w:type="pct"/>
            <w:noWrap/>
            <w:vAlign w:val="center"/>
          </w:tcPr>
          <w:p>
            <w:pPr>
              <w:jc w:val="center"/>
              <w:rPr>
                <w:color w:val="1C1C1C"/>
              </w:rPr>
            </w:pPr>
            <w:r>
              <w:rPr>
                <w:rFonts w:hint="eastAsia"/>
                <w:color w:val="1C1C1C"/>
              </w:rPr>
              <w:t>金华市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36</w:t>
            </w:r>
          </w:p>
        </w:tc>
        <w:tc>
          <w:tcPr>
            <w:tcW w:w="1091" w:type="pct"/>
            <w:noWrap/>
            <w:vAlign w:val="center"/>
          </w:tcPr>
          <w:p>
            <w:pPr>
              <w:jc w:val="center"/>
              <w:rPr>
                <w:color w:val="1C1C1C"/>
              </w:rPr>
            </w:pPr>
            <w:r>
              <w:rPr>
                <w:rFonts w:hint="eastAsia"/>
                <w:color w:val="1C1C1C"/>
              </w:rPr>
              <w:t>浙江省</w:t>
            </w:r>
          </w:p>
        </w:tc>
        <w:tc>
          <w:tcPr>
            <w:tcW w:w="1090" w:type="pct"/>
            <w:noWrap/>
            <w:vAlign w:val="center"/>
          </w:tcPr>
          <w:p>
            <w:pPr>
              <w:jc w:val="center"/>
              <w:rPr>
                <w:color w:val="1C1C1C"/>
              </w:rPr>
            </w:pPr>
            <w:r>
              <w:rPr>
                <w:rFonts w:hint="eastAsia"/>
                <w:color w:val="1C1C1C"/>
              </w:rPr>
              <w:t>台州市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37</w:t>
            </w:r>
          </w:p>
        </w:tc>
        <w:tc>
          <w:tcPr>
            <w:tcW w:w="1091" w:type="pct"/>
            <w:noWrap/>
            <w:vAlign w:val="center"/>
          </w:tcPr>
          <w:p>
            <w:pPr>
              <w:jc w:val="center"/>
              <w:rPr>
                <w:color w:val="1C1C1C"/>
              </w:rPr>
            </w:pPr>
            <w:r>
              <w:rPr>
                <w:rFonts w:hint="eastAsia"/>
                <w:color w:val="1C1C1C"/>
              </w:rPr>
              <w:t>安徽省</w:t>
            </w:r>
          </w:p>
        </w:tc>
        <w:tc>
          <w:tcPr>
            <w:tcW w:w="1090" w:type="pct"/>
            <w:noWrap/>
            <w:vAlign w:val="center"/>
          </w:tcPr>
          <w:p>
            <w:pPr>
              <w:jc w:val="center"/>
              <w:rPr>
                <w:color w:val="1C1C1C"/>
              </w:rPr>
            </w:pPr>
            <w:r>
              <w:rPr>
                <w:rFonts w:hint="eastAsia"/>
                <w:color w:val="1C1C1C"/>
              </w:rPr>
              <w:t>合肥市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38</w:t>
            </w:r>
          </w:p>
        </w:tc>
        <w:tc>
          <w:tcPr>
            <w:tcW w:w="1091" w:type="pct"/>
            <w:noWrap/>
            <w:vAlign w:val="center"/>
          </w:tcPr>
          <w:p>
            <w:pPr>
              <w:jc w:val="center"/>
              <w:rPr>
                <w:color w:val="1C1C1C"/>
              </w:rPr>
            </w:pPr>
            <w:r>
              <w:rPr>
                <w:rFonts w:hint="eastAsia"/>
                <w:color w:val="1C1C1C"/>
              </w:rPr>
              <w:t>安徽省</w:t>
            </w:r>
          </w:p>
        </w:tc>
        <w:tc>
          <w:tcPr>
            <w:tcW w:w="1090" w:type="pct"/>
            <w:noWrap/>
            <w:vAlign w:val="center"/>
          </w:tcPr>
          <w:p>
            <w:pPr>
              <w:jc w:val="center"/>
              <w:rPr>
                <w:color w:val="1C1C1C"/>
              </w:rPr>
            </w:pPr>
            <w:r>
              <w:rPr>
                <w:rFonts w:hint="eastAsia"/>
                <w:color w:val="1C1C1C"/>
              </w:rPr>
              <w:t>芜湖市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39</w:t>
            </w:r>
          </w:p>
        </w:tc>
        <w:tc>
          <w:tcPr>
            <w:tcW w:w="1091" w:type="pct"/>
            <w:noWrap/>
            <w:vAlign w:val="center"/>
          </w:tcPr>
          <w:p>
            <w:pPr>
              <w:jc w:val="center"/>
              <w:rPr>
                <w:color w:val="1C1C1C"/>
              </w:rPr>
            </w:pPr>
            <w:r>
              <w:rPr>
                <w:rFonts w:hint="eastAsia"/>
                <w:color w:val="1C1C1C"/>
              </w:rPr>
              <w:t>安徽省</w:t>
            </w:r>
          </w:p>
        </w:tc>
        <w:tc>
          <w:tcPr>
            <w:tcW w:w="1090" w:type="pct"/>
            <w:noWrap/>
            <w:vAlign w:val="center"/>
          </w:tcPr>
          <w:p>
            <w:pPr>
              <w:jc w:val="center"/>
              <w:rPr>
                <w:color w:val="1C1C1C"/>
              </w:rPr>
            </w:pPr>
            <w:r>
              <w:rPr>
                <w:rFonts w:hint="eastAsia"/>
                <w:color w:val="1C1C1C"/>
              </w:rPr>
              <w:t>阜阳市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40</w:t>
            </w:r>
          </w:p>
        </w:tc>
        <w:tc>
          <w:tcPr>
            <w:tcW w:w="1091" w:type="pct"/>
            <w:noWrap/>
            <w:vAlign w:val="center"/>
          </w:tcPr>
          <w:p>
            <w:pPr>
              <w:jc w:val="center"/>
              <w:rPr>
                <w:color w:val="1C1C1C"/>
              </w:rPr>
            </w:pPr>
            <w:r>
              <w:rPr>
                <w:rFonts w:hint="eastAsia"/>
                <w:color w:val="1C1C1C"/>
              </w:rPr>
              <w:t>福建省</w:t>
            </w:r>
          </w:p>
        </w:tc>
        <w:tc>
          <w:tcPr>
            <w:tcW w:w="1090" w:type="pct"/>
            <w:noWrap/>
            <w:vAlign w:val="center"/>
          </w:tcPr>
          <w:p>
            <w:pPr>
              <w:jc w:val="center"/>
              <w:rPr>
                <w:color w:val="1C1C1C"/>
              </w:rPr>
            </w:pPr>
            <w:r>
              <w:rPr>
                <w:rFonts w:hint="eastAsia"/>
                <w:color w:val="1C1C1C"/>
              </w:rPr>
              <w:t>福州市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41</w:t>
            </w:r>
          </w:p>
        </w:tc>
        <w:tc>
          <w:tcPr>
            <w:tcW w:w="1091" w:type="pct"/>
            <w:noWrap/>
            <w:vAlign w:val="center"/>
          </w:tcPr>
          <w:p>
            <w:pPr>
              <w:jc w:val="center"/>
              <w:rPr>
                <w:color w:val="1C1C1C"/>
              </w:rPr>
            </w:pPr>
            <w:r>
              <w:rPr>
                <w:rFonts w:hint="eastAsia"/>
                <w:color w:val="1C1C1C"/>
              </w:rPr>
              <w:t>福建省</w:t>
            </w:r>
          </w:p>
        </w:tc>
        <w:tc>
          <w:tcPr>
            <w:tcW w:w="1090" w:type="pct"/>
            <w:noWrap/>
            <w:vAlign w:val="center"/>
          </w:tcPr>
          <w:p>
            <w:pPr>
              <w:jc w:val="center"/>
              <w:rPr>
                <w:color w:val="1C1C1C"/>
              </w:rPr>
            </w:pPr>
            <w:r>
              <w:rPr>
                <w:rFonts w:hint="eastAsia"/>
                <w:color w:val="1C1C1C"/>
              </w:rPr>
              <w:t>厦门市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计划单列市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42</w:t>
            </w:r>
          </w:p>
        </w:tc>
        <w:tc>
          <w:tcPr>
            <w:tcW w:w="1091" w:type="pct"/>
            <w:noWrap/>
            <w:vAlign w:val="center"/>
          </w:tcPr>
          <w:p>
            <w:pPr>
              <w:jc w:val="center"/>
              <w:rPr>
                <w:color w:val="1C1C1C"/>
              </w:rPr>
            </w:pPr>
            <w:r>
              <w:rPr>
                <w:rFonts w:hint="eastAsia"/>
                <w:color w:val="1C1C1C"/>
              </w:rPr>
              <w:t>福建省</w:t>
            </w:r>
          </w:p>
        </w:tc>
        <w:tc>
          <w:tcPr>
            <w:tcW w:w="1090" w:type="pct"/>
            <w:noWrap/>
            <w:vAlign w:val="center"/>
          </w:tcPr>
          <w:p>
            <w:pPr>
              <w:jc w:val="center"/>
              <w:rPr>
                <w:color w:val="1C1C1C"/>
              </w:rPr>
            </w:pPr>
            <w:r>
              <w:rPr>
                <w:rFonts w:hint="eastAsia"/>
                <w:color w:val="1C1C1C"/>
              </w:rPr>
              <w:t>泉州市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43</w:t>
            </w:r>
          </w:p>
        </w:tc>
        <w:tc>
          <w:tcPr>
            <w:tcW w:w="1091" w:type="pct"/>
            <w:noWrap/>
            <w:vAlign w:val="center"/>
          </w:tcPr>
          <w:p>
            <w:pPr>
              <w:jc w:val="center"/>
              <w:rPr>
                <w:color w:val="1C1C1C"/>
              </w:rPr>
            </w:pPr>
            <w:r>
              <w:rPr>
                <w:rFonts w:hint="eastAsia"/>
                <w:color w:val="1C1C1C"/>
              </w:rPr>
              <w:t>江西省</w:t>
            </w:r>
          </w:p>
        </w:tc>
        <w:tc>
          <w:tcPr>
            <w:tcW w:w="1090" w:type="pct"/>
            <w:noWrap/>
            <w:vAlign w:val="center"/>
          </w:tcPr>
          <w:p>
            <w:pPr>
              <w:jc w:val="center"/>
              <w:rPr>
                <w:color w:val="1C1C1C"/>
              </w:rPr>
            </w:pPr>
            <w:r>
              <w:rPr>
                <w:rFonts w:hint="eastAsia"/>
                <w:color w:val="1C1C1C"/>
              </w:rPr>
              <w:t>南昌市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44</w:t>
            </w:r>
          </w:p>
        </w:tc>
        <w:tc>
          <w:tcPr>
            <w:tcW w:w="1091" w:type="pct"/>
            <w:noWrap/>
            <w:vAlign w:val="center"/>
          </w:tcPr>
          <w:p>
            <w:pPr>
              <w:jc w:val="center"/>
              <w:rPr>
                <w:color w:val="1C1C1C"/>
              </w:rPr>
            </w:pPr>
            <w:r>
              <w:rPr>
                <w:rFonts w:hint="eastAsia"/>
                <w:color w:val="1C1C1C"/>
              </w:rPr>
              <w:t>江西省</w:t>
            </w:r>
          </w:p>
        </w:tc>
        <w:tc>
          <w:tcPr>
            <w:tcW w:w="1090" w:type="pct"/>
            <w:noWrap/>
            <w:vAlign w:val="center"/>
          </w:tcPr>
          <w:p>
            <w:pPr>
              <w:jc w:val="center"/>
              <w:rPr>
                <w:color w:val="1C1C1C"/>
              </w:rPr>
            </w:pPr>
            <w:r>
              <w:rPr>
                <w:rFonts w:hint="eastAsia"/>
                <w:color w:val="1C1C1C"/>
              </w:rPr>
              <w:t>赣州市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45</w:t>
            </w:r>
          </w:p>
        </w:tc>
        <w:tc>
          <w:tcPr>
            <w:tcW w:w="1091" w:type="pct"/>
            <w:noWrap/>
            <w:vAlign w:val="center"/>
          </w:tcPr>
          <w:p>
            <w:pPr>
              <w:jc w:val="center"/>
              <w:rPr>
                <w:color w:val="1C1C1C"/>
              </w:rPr>
            </w:pPr>
            <w:r>
              <w:rPr>
                <w:rFonts w:hint="eastAsia"/>
                <w:color w:val="1C1C1C"/>
              </w:rPr>
              <w:t>江西省</w:t>
            </w:r>
          </w:p>
        </w:tc>
        <w:tc>
          <w:tcPr>
            <w:tcW w:w="1090" w:type="pct"/>
            <w:noWrap/>
            <w:vAlign w:val="center"/>
          </w:tcPr>
          <w:p>
            <w:pPr>
              <w:jc w:val="center"/>
              <w:rPr>
                <w:color w:val="1C1C1C"/>
              </w:rPr>
            </w:pPr>
            <w:r>
              <w:rPr>
                <w:rFonts w:hint="eastAsia"/>
                <w:color w:val="1C1C1C"/>
              </w:rPr>
              <w:t>上饶市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46</w:t>
            </w:r>
          </w:p>
        </w:tc>
        <w:tc>
          <w:tcPr>
            <w:tcW w:w="1091" w:type="pct"/>
            <w:noWrap/>
            <w:vAlign w:val="center"/>
          </w:tcPr>
          <w:p>
            <w:pPr>
              <w:jc w:val="center"/>
              <w:rPr>
                <w:color w:val="1C1C1C"/>
              </w:rPr>
            </w:pPr>
            <w:r>
              <w:rPr>
                <w:rFonts w:hint="eastAsia"/>
                <w:color w:val="1C1C1C"/>
              </w:rPr>
              <w:t>山东省</w:t>
            </w:r>
          </w:p>
        </w:tc>
        <w:tc>
          <w:tcPr>
            <w:tcW w:w="1090" w:type="pct"/>
            <w:noWrap/>
            <w:vAlign w:val="center"/>
          </w:tcPr>
          <w:p>
            <w:pPr>
              <w:jc w:val="center"/>
              <w:rPr>
                <w:color w:val="1C1C1C"/>
              </w:rPr>
            </w:pPr>
            <w:r>
              <w:rPr>
                <w:rFonts w:hint="eastAsia"/>
                <w:color w:val="1C1C1C"/>
              </w:rPr>
              <w:t>济南市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47</w:t>
            </w:r>
          </w:p>
        </w:tc>
        <w:tc>
          <w:tcPr>
            <w:tcW w:w="1091" w:type="pct"/>
            <w:noWrap/>
            <w:vAlign w:val="center"/>
          </w:tcPr>
          <w:p>
            <w:pPr>
              <w:jc w:val="center"/>
              <w:rPr>
                <w:color w:val="1C1C1C"/>
              </w:rPr>
            </w:pPr>
            <w:r>
              <w:rPr>
                <w:rFonts w:hint="eastAsia"/>
                <w:color w:val="1C1C1C"/>
              </w:rPr>
              <w:t>山东省</w:t>
            </w:r>
          </w:p>
        </w:tc>
        <w:tc>
          <w:tcPr>
            <w:tcW w:w="1090" w:type="pct"/>
            <w:noWrap/>
            <w:vAlign w:val="center"/>
          </w:tcPr>
          <w:p>
            <w:pPr>
              <w:jc w:val="center"/>
              <w:rPr>
                <w:color w:val="1C1C1C"/>
              </w:rPr>
            </w:pPr>
            <w:r>
              <w:rPr>
                <w:rFonts w:hint="eastAsia"/>
                <w:color w:val="1C1C1C"/>
              </w:rPr>
              <w:t>青岛市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计划单列市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48</w:t>
            </w:r>
          </w:p>
        </w:tc>
        <w:tc>
          <w:tcPr>
            <w:tcW w:w="1091" w:type="pct"/>
            <w:noWrap/>
            <w:tcMar>
              <w:left w:w="28" w:type="dxa"/>
              <w:right w:w="28" w:type="dxa"/>
            </w:tcMar>
            <w:vAlign w:val="center"/>
          </w:tcPr>
          <w:p>
            <w:pPr>
              <w:jc w:val="center"/>
              <w:rPr>
                <w:color w:val="1C1C1C"/>
              </w:rPr>
            </w:pPr>
            <w:r>
              <w:rPr>
                <w:rFonts w:hint="eastAsia"/>
                <w:color w:val="1C1C1C"/>
              </w:rPr>
              <w:t>山东省</w:t>
            </w:r>
          </w:p>
        </w:tc>
        <w:tc>
          <w:tcPr>
            <w:tcW w:w="1090" w:type="pct"/>
            <w:noWrap/>
            <w:vAlign w:val="center"/>
          </w:tcPr>
          <w:p>
            <w:pPr>
              <w:jc w:val="center"/>
              <w:rPr>
                <w:color w:val="1C1C1C"/>
              </w:rPr>
            </w:pPr>
            <w:r>
              <w:rPr>
                <w:rFonts w:hint="eastAsia"/>
                <w:color w:val="1C1C1C"/>
              </w:rPr>
              <w:t>淄博市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49</w:t>
            </w:r>
          </w:p>
        </w:tc>
        <w:tc>
          <w:tcPr>
            <w:tcW w:w="1091" w:type="pct"/>
            <w:noWrap/>
            <w:tcMar>
              <w:left w:w="28" w:type="dxa"/>
              <w:right w:w="28" w:type="dxa"/>
            </w:tcMar>
            <w:vAlign w:val="center"/>
          </w:tcPr>
          <w:p>
            <w:pPr>
              <w:jc w:val="center"/>
              <w:rPr>
                <w:color w:val="1C1C1C"/>
              </w:rPr>
            </w:pPr>
            <w:r>
              <w:rPr>
                <w:rFonts w:hint="eastAsia"/>
                <w:color w:val="1C1C1C"/>
              </w:rPr>
              <w:t>山东省</w:t>
            </w:r>
          </w:p>
        </w:tc>
        <w:tc>
          <w:tcPr>
            <w:tcW w:w="1090" w:type="pct"/>
            <w:noWrap/>
            <w:vAlign w:val="center"/>
          </w:tcPr>
          <w:p>
            <w:pPr>
              <w:jc w:val="center"/>
              <w:rPr>
                <w:color w:val="1C1C1C"/>
              </w:rPr>
            </w:pPr>
            <w:r>
              <w:rPr>
                <w:rFonts w:hint="eastAsia"/>
                <w:color w:val="1C1C1C"/>
              </w:rPr>
              <w:t>烟台市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50</w:t>
            </w:r>
          </w:p>
        </w:tc>
        <w:tc>
          <w:tcPr>
            <w:tcW w:w="1091" w:type="pct"/>
            <w:noWrap/>
            <w:vAlign w:val="center"/>
          </w:tcPr>
          <w:p>
            <w:pPr>
              <w:jc w:val="center"/>
              <w:rPr>
                <w:color w:val="1C1C1C"/>
              </w:rPr>
            </w:pPr>
            <w:r>
              <w:rPr>
                <w:rFonts w:hint="eastAsia"/>
                <w:color w:val="1C1C1C"/>
              </w:rPr>
              <w:t>山东省</w:t>
            </w:r>
          </w:p>
        </w:tc>
        <w:tc>
          <w:tcPr>
            <w:tcW w:w="1090" w:type="pct"/>
            <w:noWrap/>
            <w:vAlign w:val="center"/>
          </w:tcPr>
          <w:p>
            <w:pPr>
              <w:jc w:val="center"/>
              <w:rPr>
                <w:color w:val="1C1C1C"/>
              </w:rPr>
            </w:pPr>
            <w:r>
              <w:rPr>
                <w:rFonts w:hint="eastAsia"/>
                <w:color w:val="1C1C1C"/>
              </w:rPr>
              <w:t>潍坊市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51</w:t>
            </w:r>
          </w:p>
        </w:tc>
        <w:tc>
          <w:tcPr>
            <w:tcW w:w="1091" w:type="pct"/>
            <w:noWrap/>
            <w:vAlign w:val="center"/>
          </w:tcPr>
          <w:p>
            <w:pPr>
              <w:jc w:val="center"/>
              <w:rPr>
                <w:color w:val="1C1C1C"/>
              </w:rPr>
            </w:pPr>
            <w:r>
              <w:rPr>
                <w:rFonts w:hint="eastAsia"/>
                <w:color w:val="1C1C1C"/>
              </w:rPr>
              <w:t>山东省</w:t>
            </w:r>
          </w:p>
        </w:tc>
        <w:tc>
          <w:tcPr>
            <w:tcW w:w="1090" w:type="pct"/>
            <w:noWrap/>
            <w:vAlign w:val="center"/>
          </w:tcPr>
          <w:p>
            <w:pPr>
              <w:jc w:val="center"/>
              <w:rPr>
                <w:color w:val="1C1C1C"/>
              </w:rPr>
            </w:pPr>
            <w:r>
              <w:rPr>
                <w:rFonts w:hint="eastAsia"/>
                <w:color w:val="1C1C1C"/>
              </w:rPr>
              <w:t>济宁市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52</w:t>
            </w:r>
          </w:p>
        </w:tc>
        <w:tc>
          <w:tcPr>
            <w:tcW w:w="1091" w:type="pct"/>
            <w:noWrap/>
            <w:vAlign w:val="center"/>
          </w:tcPr>
          <w:p>
            <w:pPr>
              <w:jc w:val="center"/>
              <w:rPr>
                <w:color w:val="1C1C1C"/>
              </w:rPr>
            </w:pPr>
            <w:r>
              <w:rPr>
                <w:rFonts w:hint="eastAsia"/>
                <w:color w:val="1C1C1C"/>
              </w:rPr>
              <w:t>山东省</w:t>
            </w:r>
          </w:p>
        </w:tc>
        <w:tc>
          <w:tcPr>
            <w:tcW w:w="1090" w:type="pct"/>
            <w:noWrap/>
            <w:vAlign w:val="center"/>
          </w:tcPr>
          <w:p>
            <w:pPr>
              <w:jc w:val="center"/>
              <w:rPr>
                <w:color w:val="1C1C1C"/>
              </w:rPr>
            </w:pPr>
            <w:r>
              <w:rPr>
                <w:rFonts w:hint="eastAsia"/>
                <w:color w:val="1C1C1C"/>
              </w:rPr>
              <w:t>临沂市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53</w:t>
            </w:r>
          </w:p>
        </w:tc>
        <w:tc>
          <w:tcPr>
            <w:tcW w:w="1091" w:type="pct"/>
            <w:noWrap/>
            <w:vAlign w:val="center"/>
          </w:tcPr>
          <w:p>
            <w:pPr>
              <w:jc w:val="center"/>
              <w:rPr>
                <w:color w:val="1C1C1C"/>
              </w:rPr>
            </w:pPr>
            <w:r>
              <w:rPr>
                <w:rFonts w:hint="eastAsia"/>
                <w:color w:val="1C1C1C"/>
              </w:rPr>
              <w:t>河南省</w:t>
            </w:r>
          </w:p>
        </w:tc>
        <w:tc>
          <w:tcPr>
            <w:tcW w:w="1090" w:type="pct"/>
            <w:noWrap/>
            <w:vAlign w:val="center"/>
          </w:tcPr>
          <w:p>
            <w:pPr>
              <w:jc w:val="center"/>
              <w:rPr>
                <w:color w:val="1C1C1C"/>
              </w:rPr>
            </w:pPr>
            <w:r>
              <w:rPr>
                <w:rFonts w:hint="eastAsia"/>
                <w:color w:val="1C1C1C"/>
              </w:rPr>
              <w:t>郑州市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54</w:t>
            </w:r>
          </w:p>
        </w:tc>
        <w:tc>
          <w:tcPr>
            <w:tcW w:w="1091" w:type="pct"/>
            <w:noWrap/>
            <w:vAlign w:val="center"/>
          </w:tcPr>
          <w:p>
            <w:pPr>
              <w:jc w:val="center"/>
              <w:rPr>
                <w:color w:val="1C1C1C"/>
              </w:rPr>
            </w:pPr>
            <w:r>
              <w:rPr>
                <w:rFonts w:hint="eastAsia"/>
                <w:color w:val="1C1C1C"/>
              </w:rPr>
              <w:t>河南省</w:t>
            </w:r>
          </w:p>
        </w:tc>
        <w:tc>
          <w:tcPr>
            <w:tcW w:w="1090" w:type="pct"/>
            <w:noWrap/>
            <w:vAlign w:val="center"/>
          </w:tcPr>
          <w:p>
            <w:pPr>
              <w:jc w:val="center"/>
              <w:rPr>
                <w:color w:val="1C1C1C"/>
              </w:rPr>
            </w:pPr>
            <w:r>
              <w:rPr>
                <w:rFonts w:hint="eastAsia"/>
                <w:color w:val="1C1C1C"/>
              </w:rPr>
              <w:t>洛阳市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55</w:t>
            </w:r>
          </w:p>
        </w:tc>
        <w:tc>
          <w:tcPr>
            <w:tcW w:w="1091" w:type="pct"/>
            <w:noWrap/>
            <w:vAlign w:val="center"/>
          </w:tcPr>
          <w:p>
            <w:pPr>
              <w:jc w:val="center"/>
              <w:rPr>
                <w:color w:val="1C1C1C"/>
              </w:rPr>
            </w:pPr>
            <w:r>
              <w:rPr>
                <w:rFonts w:hint="eastAsia"/>
                <w:color w:val="1C1C1C"/>
              </w:rPr>
              <w:t>河南省</w:t>
            </w:r>
          </w:p>
        </w:tc>
        <w:tc>
          <w:tcPr>
            <w:tcW w:w="1090" w:type="pct"/>
            <w:noWrap/>
            <w:vAlign w:val="center"/>
          </w:tcPr>
          <w:p>
            <w:pPr>
              <w:jc w:val="center"/>
              <w:rPr>
                <w:color w:val="1C1C1C"/>
              </w:rPr>
            </w:pPr>
            <w:r>
              <w:rPr>
                <w:rFonts w:hint="eastAsia"/>
                <w:color w:val="1C1C1C"/>
              </w:rPr>
              <w:t>南阳市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56</w:t>
            </w:r>
          </w:p>
        </w:tc>
        <w:tc>
          <w:tcPr>
            <w:tcW w:w="1091" w:type="pct"/>
            <w:noWrap/>
            <w:vAlign w:val="center"/>
          </w:tcPr>
          <w:p>
            <w:pPr>
              <w:jc w:val="center"/>
              <w:rPr>
                <w:color w:val="1C1C1C"/>
              </w:rPr>
            </w:pPr>
            <w:r>
              <w:rPr>
                <w:rFonts w:hint="eastAsia"/>
                <w:color w:val="1C1C1C"/>
              </w:rPr>
              <w:t>湖北省</w:t>
            </w:r>
          </w:p>
        </w:tc>
        <w:tc>
          <w:tcPr>
            <w:tcW w:w="1090" w:type="pct"/>
            <w:noWrap/>
            <w:vAlign w:val="center"/>
          </w:tcPr>
          <w:p>
            <w:pPr>
              <w:jc w:val="center"/>
              <w:rPr>
                <w:color w:val="1C1C1C"/>
              </w:rPr>
            </w:pPr>
            <w:r>
              <w:rPr>
                <w:rFonts w:hint="eastAsia"/>
                <w:color w:val="1C1C1C"/>
              </w:rPr>
              <w:t>武汉市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57</w:t>
            </w:r>
          </w:p>
        </w:tc>
        <w:tc>
          <w:tcPr>
            <w:tcW w:w="1091" w:type="pct"/>
            <w:noWrap/>
            <w:vAlign w:val="center"/>
          </w:tcPr>
          <w:p>
            <w:pPr>
              <w:jc w:val="center"/>
              <w:rPr>
                <w:color w:val="1C1C1C"/>
              </w:rPr>
            </w:pPr>
            <w:r>
              <w:rPr>
                <w:rFonts w:hint="eastAsia"/>
                <w:color w:val="1C1C1C"/>
              </w:rPr>
              <w:t>湖北省</w:t>
            </w:r>
          </w:p>
        </w:tc>
        <w:tc>
          <w:tcPr>
            <w:tcW w:w="1090" w:type="pct"/>
            <w:noWrap/>
            <w:vAlign w:val="center"/>
          </w:tcPr>
          <w:p>
            <w:pPr>
              <w:jc w:val="center"/>
              <w:rPr>
                <w:color w:val="1C1C1C"/>
              </w:rPr>
            </w:pPr>
            <w:r>
              <w:rPr>
                <w:rFonts w:hint="eastAsia"/>
                <w:color w:val="1C1C1C"/>
              </w:rPr>
              <w:t>宜昌市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58</w:t>
            </w:r>
          </w:p>
        </w:tc>
        <w:tc>
          <w:tcPr>
            <w:tcW w:w="1091" w:type="pct"/>
            <w:noWrap/>
            <w:vAlign w:val="center"/>
          </w:tcPr>
          <w:p>
            <w:pPr>
              <w:jc w:val="center"/>
              <w:rPr>
                <w:color w:val="1C1C1C"/>
              </w:rPr>
            </w:pPr>
            <w:r>
              <w:rPr>
                <w:rFonts w:hint="eastAsia"/>
                <w:color w:val="1C1C1C"/>
              </w:rPr>
              <w:t>湖北省</w:t>
            </w:r>
          </w:p>
        </w:tc>
        <w:tc>
          <w:tcPr>
            <w:tcW w:w="1090" w:type="pct"/>
            <w:noWrap/>
            <w:vAlign w:val="center"/>
          </w:tcPr>
          <w:p>
            <w:pPr>
              <w:jc w:val="center"/>
              <w:rPr>
                <w:color w:val="1C1C1C"/>
              </w:rPr>
            </w:pPr>
            <w:r>
              <w:rPr>
                <w:rFonts w:hint="eastAsia"/>
                <w:color w:val="1C1C1C"/>
              </w:rPr>
              <w:t>襄阳市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59</w:t>
            </w:r>
          </w:p>
        </w:tc>
        <w:tc>
          <w:tcPr>
            <w:tcW w:w="1091" w:type="pct"/>
            <w:noWrap/>
            <w:vAlign w:val="center"/>
          </w:tcPr>
          <w:p>
            <w:pPr>
              <w:jc w:val="center"/>
              <w:rPr>
                <w:color w:val="1C1C1C"/>
              </w:rPr>
            </w:pPr>
            <w:r>
              <w:rPr>
                <w:rFonts w:hint="eastAsia"/>
                <w:color w:val="1C1C1C"/>
              </w:rPr>
              <w:t>湖南省</w:t>
            </w:r>
          </w:p>
        </w:tc>
        <w:tc>
          <w:tcPr>
            <w:tcW w:w="1090" w:type="pct"/>
            <w:noWrap/>
            <w:vAlign w:val="center"/>
          </w:tcPr>
          <w:p>
            <w:pPr>
              <w:jc w:val="center"/>
              <w:rPr>
                <w:color w:val="1C1C1C"/>
              </w:rPr>
            </w:pPr>
            <w:r>
              <w:rPr>
                <w:rFonts w:hint="eastAsia"/>
                <w:color w:val="1C1C1C"/>
              </w:rPr>
              <w:t>长沙市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60</w:t>
            </w:r>
          </w:p>
        </w:tc>
        <w:tc>
          <w:tcPr>
            <w:tcW w:w="1091" w:type="pct"/>
            <w:noWrap/>
            <w:vAlign w:val="center"/>
          </w:tcPr>
          <w:p>
            <w:pPr>
              <w:jc w:val="center"/>
              <w:rPr>
                <w:color w:val="1C1C1C"/>
              </w:rPr>
            </w:pPr>
            <w:r>
              <w:rPr>
                <w:rFonts w:hint="eastAsia"/>
                <w:color w:val="1C1C1C"/>
              </w:rPr>
              <w:t>湖南省</w:t>
            </w:r>
          </w:p>
        </w:tc>
        <w:tc>
          <w:tcPr>
            <w:tcW w:w="1090" w:type="pct"/>
            <w:noWrap/>
            <w:vAlign w:val="center"/>
          </w:tcPr>
          <w:p>
            <w:pPr>
              <w:jc w:val="center"/>
              <w:rPr>
                <w:color w:val="1C1C1C"/>
              </w:rPr>
            </w:pPr>
            <w:r>
              <w:rPr>
                <w:rFonts w:hint="eastAsia"/>
                <w:color w:val="1C1C1C"/>
              </w:rPr>
              <w:t>衡阳市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61</w:t>
            </w:r>
          </w:p>
        </w:tc>
        <w:tc>
          <w:tcPr>
            <w:tcW w:w="1091" w:type="pct"/>
            <w:noWrap/>
            <w:vAlign w:val="center"/>
          </w:tcPr>
          <w:p>
            <w:pPr>
              <w:jc w:val="center"/>
              <w:rPr>
                <w:color w:val="1C1C1C"/>
              </w:rPr>
            </w:pPr>
            <w:r>
              <w:rPr>
                <w:rFonts w:hint="eastAsia"/>
                <w:color w:val="1C1C1C"/>
              </w:rPr>
              <w:t>湖南省</w:t>
            </w:r>
          </w:p>
        </w:tc>
        <w:tc>
          <w:tcPr>
            <w:tcW w:w="1090" w:type="pct"/>
            <w:noWrap/>
            <w:vAlign w:val="center"/>
          </w:tcPr>
          <w:p>
            <w:pPr>
              <w:jc w:val="center"/>
              <w:rPr>
                <w:color w:val="1C1C1C"/>
              </w:rPr>
            </w:pPr>
            <w:r>
              <w:rPr>
                <w:rFonts w:hint="eastAsia"/>
                <w:color w:val="1C1C1C"/>
              </w:rPr>
              <w:t>岳阳市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62</w:t>
            </w:r>
          </w:p>
        </w:tc>
        <w:tc>
          <w:tcPr>
            <w:tcW w:w="1091" w:type="pct"/>
            <w:noWrap/>
            <w:vAlign w:val="center"/>
          </w:tcPr>
          <w:p>
            <w:pPr>
              <w:jc w:val="center"/>
              <w:rPr>
                <w:color w:val="1C1C1C"/>
              </w:rPr>
            </w:pPr>
            <w:r>
              <w:rPr>
                <w:rFonts w:hint="eastAsia"/>
                <w:color w:val="1C1C1C"/>
              </w:rPr>
              <w:t>广东省</w:t>
            </w:r>
          </w:p>
        </w:tc>
        <w:tc>
          <w:tcPr>
            <w:tcW w:w="1090" w:type="pct"/>
            <w:noWrap/>
            <w:vAlign w:val="center"/>
          </w:tcPr>
          <w:p>
            <w:pPr>
              <w:jc w:val="center"/>
              <w:rPr>
                <w:color w:val="1C1C1C"/>
              </w:rPr>
            </w:pPr>
            <w:r>
              <w:rPr>
                <w:rFonts w:hint="eastAsia"/>
                <w:color w:val="1C1C1C"/>
              </w:rPr>
              <w:t>广州市</w:t>
            </w:r>
          </w:p>
        </w:tc>
        <w:tc>
          <w:tcPr>
            <w:tcW w:w="1454" w:type="pct"/>
            <w:noWrap/>
            <w:vAlign w:val="center"/>
          </w:tcPr>
          <w:p>
            <w:pPr>
              <w:jc w:val="center"/>
              <w:rPr>
                <w:color w:val="1C1C1C"/>
              </w:rPr>
            </w:pPr>
            <w:r>
              <w:rPr>
                <w:rFonts w:hint="eastAsia"/>
                <w:color w:val="1C1C1C"/>
              </w:rPr>
              <w:t>超大城市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63</w:t>
            </w:r>
          </w:p>
        </w:tc>
        <w:tc>
          <w:tcPr>
            <w:tcW w:w="1091" w:type="pct"/>
            <w:noWrap/>
            <w:vAlign w:val="center"/>
          </w:tcPr>
          <w:p>
            <w:pPr>
              <w:jc w:val="center"/>
              <w:rPr>
                <w:color w:val="1C1C1C"/>
              </w:rPr>
            </w:pPr>
            <w:r>
              <w:rPr>
                <w:rFonts w:hint="eastAsia"/>
                <w:color w:val="1C1C1C"/>
              </w:rPr>
              <w:t>广东省</w:t>
            </w:r>
          </w:p>
        </w:tc>
        <w:tc>
          <w:tcPr>
            <w:tcW w:w="1090" w:type="pct"/>
            <w:noWrap/>
            <w:vAlign w:val="center"/>
          </w:tcPr>
          <w:p>
            <w:pPr>
              <w:jc w:val="center"/>
              <w:rPr>
                <w:color w:val="1C1C1C"/>
              </w:rPr>
            </w:pPr>
            <w:r>
              <w:rPr>
                <w:rFonts w:hint="eastAsia"/>
                <w:color w:val="1C1C1C"/>
              </w:rPr>
              <w:t>深圳市</w:t>
            </w:r>
          </w:p>
        </w:tc>
        <w:tc>
          <w:tcPr>
            <w:tcW w:w="1454" w:type="pct"/>
            <w:noWrap/>
            <w:vAlign w:val="center"/>
          </w:tcPr>
          <w:p>
            <w:pPr>
              <w:jc w:val="center"/>
              <w:rPr>
                <w:color w:val="1C1C1C"/>
              </w:rPr>
            </w:pPr>
            <w:r>
              <w:rPr>
                <w:rFonts w:hint="eastAsia"/>
                <w:color w:val="1C1C1C"/>
              </w:rPr>
              <w:t>超大城市</w:t>
            </w:r>
          </w:p>
        </w:tc>
        <w:tc>
          <w:tcPr>
            <w:tcW w:w="908" w:type="pct"/>
            <w:noWrap/>
            <w:vAlign w:val="center"/>
          </w:tcPr>
          <w:p>
            <w:pPr>
              <w:jc w:val="center"/>
              <w:rPr>
                <w:color w:val="1C1C1C"/>
              </w:rPr>
            </w:pPr>
            <w:r>
              <w:rPr>
                <w:rFonts w:hint="eastAsia"/>
                <w:color w:val="1C1C1C"/>
              </w:rPr>
              <w:t>计划单列市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64</w:t>
            </w:r>
          </w:p>
        </w:tc>
        <w:tc>
          <w:tcPr>
            <w:tcW w:w="1091" w:type="pct"/>
            <w:noWrap/>
            <w:vAlign w:val="center"/>
          </w:tcPr>
          <w:p>
            <w:pPr>
              <w:jc w:val="center"/>
              <w:rPr>
                <w:color w:val="1C1C1C"/>
              </w:rPr>
            </w:pPr>
            <w:r>
              <w:rPr>
                <w:rFonts w:hint="eastAsia"/>
                <w:color w:val="1C1C1C"/>
              </w:rPr>
              <w:t>广东省</w:t>
            </w:r>
          </w:p>
        </w:tc>
        <w:tc>
          <w:tcPr>
            <w:tcW w:w="1090" w:type="pct"/>
            <w:noWrap/>
            <w:vAlign w:val="center"/>
          </w:tcPr>
          <w:p>
            <w:pPr>
              <w:jc w:val="center"/>
              <w:rPr>
                <w:color w:val="1C1C1C"/>
              </w:rPr>
            </w:pPr>
            <w:r>
              <w:rPr>
                <w:rFonts w:hint="eastAsia"/>
                <w:color w:val="1C1C1C"/>
              </w:rPr>
              <w:t>汕头市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65</w:t>
            </w:r>
          </w:p>
        </w:tc>
        <w:tc>
          <w:tcPr>
            <w:tcW w:w="1091" w:type="pct"/>
            <w:noWrap/>
            <w:vAlign w:val="center"/>
          </w:tcPr>
          <w:p>
            <w:pPr>
              <w:jc w:val="center"/>
              <w:rPr>
                <w:color w:val="1C1C1C"/>
              </w:rPr>
            </w:pPr>
            <w:r>
              <w:rPr>
                <w:rFonts w:hint="eastAsia"/>
                <w:color w:val="1C1C1C"/>
              </w:rPr>
              <w:t>广东省</w:t>
            </w:r>
          </w:p>
        </w:tc>
        <w:tc>
          <w:tcPr>
            <w:tcW w:w="1090" w:type="pct"/>
            <w:noWrap/>
            <w:vAlign w:val="center"/>
          </w:tcPr>
          <w:p>
            <w:pPr>
              <w:jc w:val="center"/>
              <w:rPr>
                <w:color w:val="1C1C1C"/>
              </w:rPr>
            </w:pPr>
            <w:r>
              <w:rPr>
                <w:rFonts w:hint="eastAsia"/>
                <w:color w:val="1C1C1C"/>
              </w:rPr>
              <w:t>佛山市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66</w:t>
            </w:r>
          </w:p>
        </w:tc>
        <w:tc>
          <w:tcPr>
            <w:tcW w:w="1091" w:type="pct"/>
            <w:noWrap/>
            <w:vAlign w:val="center"/>
          </w:tcPr>
          <w:p>
            <w:pPr>
              <w:jc w:val="center"/>
              <w:rPr>
                <w:color w:val="1C1C1C"/>
              </w:rPr>
            </w:pPr>
            <w:r>
              <w:rPr>
                <w:rFonts w:hint="eastAsia"/>
                <w:color w:val="1C1C1C"/>
              </w:rPr>
              <w:t>广东省</w:t>
            </w:r>
          </w:p>
        </w:tc>
        <w:tc>
          <w:tcPr>
            <w:tcW w:w="1090" w:type="pct"/>
            <w:noWrap/>
            <w:vAlign w:val="center"/>
          </w:tcPr>
          <w:p>
            <w:pPr>
              <w:jc w:val="center"/>
              <w:rPr>
                <w:color w:val="1C1C1C"/>
              </w:rPr>
            </w:pPr>
            <w:r>
              <w:rPr>
                <w:rFonts w:hint="eastAsia"/>
                <w:color w:val="1C1C1C"/>
              </w:rPr>
              <w:t>东莞市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67</w:t>
            </w:r>
          </w:p>
        </w:tc>
        <w:tc>
          <w:tcPr>
            <w:tcW w:w="1091" w:type="pct"/>
            <w:noWrap/>
            <w:tcMar>
              <w:left w:w="28" w:type="dxa"/>
              <w:right w:w="28" w:type="dxa"/>
            </w:tcMar>
            <w:vAlign w:val="center"/>
          </w:tcPr>
          <w:p>
            <w:pPr>
              <w:jc w:val="center"/>
              <w:rPr>
                <w:color w:val="1C1C1C"/>
                <w:spacing w:val="-8"/>
              </w:rPr>
            </w:pPr>
            <w:r>
              <w:rPr>
                <w:rFonts w:hint="eastAsia"/>
                <w:color w:val="1C1C1C"/>
                <w:spacing w:val="-8"/>
              </w:rPr>
              <w:t>广西壮族自治区</w:t>
            </w:r>
          </w:p>
        </w:tc>
        <w:tc>
          <w:tcPr>
            <w:tcW w:w="1090" w:type="pct"/>
            <w:noWrap/>
            <w:vAlign w:val="center"/>
          </w:tcPr>
          <w:p>
            <w:pPr>
              <w:jc w:val="center"/>
              <w:rPr>
                <w:color w:val="1C1C1C"/>
              </w:rPr>
            </w:pPr>
            <w:r>
              <w:rPr>
                <w:rFonts w:hint="eastAsia"/>
                <w:color w:val="1C1C1C"/>
              </w:rPr>
              <w:t>南宁市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首府城市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68</w:t>
            </w:r>
          </w:p>
        </w:tc>
        <w:tc>
          <w:tcPr>
            <w:tcW w:w="1091" w:type="pct"/>
            <w:noWrap/>
            <w:tcMar>
              <w:left w:w="28" w:type="dxa"/>
              <w:right w:w="28" w:type="dxa"/>
            </w:tcMar>
            <w:vAlign w:val="center"/>
          </w:tcPr>
          <w:p>
            <w:pPr>
              <w:jc w:val="center"/>
              <w:rPr>
                <w:color w:val="1C1C1C"/>
              </w:rPr>
            </w:pPr>
            <w:r>
              <w:rPr>
                <w:rFonts w:hint="eastAsia"/>
                <w:color w:val="1C1C1C"/>
                <w:spacing w:val="-8"/>
              </w:rPr>
              <w:t>广西壮族自治区</w:t>
            </w:r>
          </w:p>
        </w:tc>
        <w:tc>
          <w:tcPr>
            <w:tcW w:w="1090" w:type="pct"/>
            <w:noWrap/>
            <w:vAlign w:val="center"/>
          </w:tcPr>
          <w:p>
            <w:pPr>
              <w:jc w:val="center"/>
              <w:rPr>
                <w:color w:val="1C1C1C"/>
              </w:rPr>
            </w:pPr>
            <w:r>
              <w:rPr>
                <w:rFonts w:hint="eastAsia"/>
                <w:color w:val="1C1C1C"/>
              </w:rPr>
              <w:t>柳州市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69</w:t>
            </w:r>
          </w:p>
        </w:tc>
        <w:tc>
          <w:tcPr>
            <w:tcW w:w="1091" w:type="pct"/>
            <w:noWrap/>
            <w:tcMar>
              <w:left w:w="28" w:type="dxa"/>
              <w:right w:w="28" w:type="dxa"/>
            </w:tcMar>
            <w:vAlign w:val="center"/>
          </w:tcPr>
          <w:p>
            <w:pPr>
              <w:jc w:val="center"/>
              <w:rPr>
                <w:color w:val="1C1C1C"/>
              </w:rPr>
            </w:pPr>
            <w:r>
              <w:rPr>
                <w:rFonts w:hint="eastAsia"/>
                <w:color w:val="1C1C1C"/>
                <w:spacing w:val="-8"/>
              </w:rPr>
              <w:t>广西壮族自治区</w:t>
            </w:r>
          </w:p>
        </w:tc>
        <w:tc>
          <w:tcPr>
            <w:tcW w:w="1090" w:type="pct"/>
            <w:noWrap/>
            <w:vAlign w:val="center"/>
          </w:tcPr>
          <w:p>
            <w:pPr>
              <w:jc w:val="center"/>
              <w:rPr>
                <w:color w:val="1C1C1C"/>
              </w:rPr>
            </w:pPr>
            <w:r>
              <w:rPr>
                <w:rFonts w:hint="eastAsia"/>
                <w:color w:val="1C1C1C"/>
              </w:rPr>
              <w:t>桂林市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70</w:t>
            </w:r>
          </w:p>
        </w:tc>
        <w:tc>
          <w:tcPr>
            <w:tcW w:w="1091" w:type="pct"/>
            <w:noWrap/>
            <w:tcMar>
              <w:left w:w="28" w:type="dxa"/>
              <w:right w:w="28" w:type="dxa"/>
            </w:tcMar>
            <w:vAlign w:val="center"/>
          </w:tcPr>
          <w:p>
            <w:pPr>
              <w:jc w:val="center"/>
              <w:rPr>
                <w:color w:val="1C1C1C"/>
              </w:rPr>
            </w:pPr>
            <w:r>
              <w:rPr>
                <w:rFonts w:hint="eastAsia"/>
                <w:color w:val="1C1C1C"/>
              </w:rPr>
              <w:t>海南省</w:t>
            </w:r>
          </w:p>
        </w:tc>
        <w:tc>
          <w:tcPr>
            <w:tcW w:w="1090" w:type="pct"/>
            <w:noWrap/>
            <w:vAlign w:val="center"/>
          </w:tcPr>
          <w:p>
            <w:pPr>
              <w:jc w:val="center"/>
              <w:rPr>
                <w:color w:val="1C1C1C"/>
              </w:rPr>
            </w:pPr>
            <w:r>
              <w:rPr>
                <w:rFonts w:hint="eastAsia"/>
                <w:color w:val="1C1C1C"/>
              </w:rPr>
              <w:t>海口市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71</w:t>
            </w:r>
          </w:p>
        </w:tc>
        <w:tc>
          <w:tcPr>
            <w:tcW w:w="1091" w:type="pct"/>
            <w:noWrap/>
            <w:tcMar>
              <w:left w:w="28" w:type="dxa"/>
              <w:right w:w="28" w:type="dxa"/>
            </w:tcMar>
            <w:vAlign w:val="center"/>
          </w:tcPr>
          <w:p>
            <w:pPr>
              <w:jc w:val="center"/>
              <w:rPr>
                <w:color w:val="1C1C1C"/>
              </w:rPr>
            </w:pPr>
            <w:r>
              <w:rPr>
                <w:rFonts w:hint="eastAsia"/>
                <w:color w:val="1C1C1C"/>
              </w:rPr>
              <w:t>海南省</w:t>
            </w:r>
          </w:p>
        </w:tc>
        <w:tc>
          <w:tcPr>
            <w:tcW w:w="1090" w:type="pct"/>
            <w:noWrap/>
            <w:vAlign w:val="center"/>
          </w:tcPr>
          <w:p>
            <w:pPr>
              <w:jc w:val="center"/>
              <w:rPr>
                <w:color w:val="1C1C1C"/>
              </w:rPr>
            </w:pPr>
            <w:r>
              <w:rPr>
                <w:rFonts w:hint="eastAsia"/>
                <w:color w:val="1C1C1C"/>
              </w:rPr>
              <w:t>三亚市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72</w:t>
            </w:r>
          </w:p>
        </w:tc>
        <w:tc>
          <w:tcPr>
            <w:tcW w:w="1091" w:type="pct"/>
            <w:noWrap/>
            <w:tcMar>
              <w:left w:w="28" w:type="dxa"/>
              <w:right w:w="28" w:type="dxa"/>
            </w:tcMar>
            <w:vAlign w:val="center"/>
          </w:tcPr>
          <w:p>
            <w:pPr>
              <w:jc w:val="center"/>
              <w:rPr>
                <w:color w:val="1C1C1C"/>
              </w:rPr>
            </w:pPr>
            <w:r>
              <w:rPr>
                <w:rFonts w:hint="eastAsia"/>
                <w:color w:val="1C1C1C"/>
              </w:rPr>
              <w:t>海南省</w:t>
            </w:r>
          </w:p>
        </w:tc>
        <w:tc>
          <w:tcPr>
            <w:tcW w:w="1090" w:type="pct"/>
            <w:noWrap/>
            <w:vAlign w:val="center"/>
          </w:tcPr>
          <w:p>
            <w:pPr>
              <w:jc w:val="center"/>
              <w:rPr>
                <w:color w:val="1C1C1C"/>
              </w:rPr>
            </w:pPr>
            <w:r>
              <w:rPr>
                <w:rFonts w:hint="eastAsia"/>
                <w:color w:val="1C1C1C"/>
              </w:rPr>
              <w:t>儋州市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73</w:t>
            </w:r>
          </w:p>
        </w:tc>
        <w:tc>
          <w:tcPr>
            <w:tcW w:w="1091" w:type="pct"/>
            <w:noWrap/>
            <w:tcMar>
              <w:left w:w="28" w:type="dxa"/>
              <w:right w:w="28" w:type="dxa"/>
            </w:tcMar>
            <w:vAlign w:val="center"/>
          </w:tcPr>
          <w:p>
            <w:pPr>
              <w:jc w:val="center"/>
              <w:rPr>
                <w:color w:val="1C1C1C"/>
              </w:rPr>
            </w:pPr>
            <w:r>
              <w:rPr>
                <w:rFonts w:hint="eastAsia"/>
                <w:color w:val="1C1C1C"/>
              </w:rPr>
              <w:t>重庆市</w:t>
            </w:r>
          </w:p>
        </w:tc>
        <w:tc>
          <w:tcPr>
            <w:tcW w:w="1090" w:type="pct"/>
            <w:noWrap/>
            <w:vAlign w:val="center"/>
          </w:tcPr>
          <w:p>
            <w:pPr>
              <w:jc w:val="center"/>
              <w:rPr>
                <w:color w:val="1C1C1C"/>
              </w:rPr>
            </w:pPr>
            <w:r>
              <w:rPr>
                <w:rFonts w:hint="eastAsia"/>
                <w:color w:val="1C1C1C"/>
              </w:rPr>
              <w:t>重庆市</w:t>
            </w:r>
          </w:p>
        </w:tc>
        <w:tc>
          <w:tcPr>
            <w:tcW w:w="1454" w:type="pct"/>
            <w:noWrap/>
            <w:vAlign w:val="center"/>
          </w:tcPr>
          <w:p>
            <w:pPr>
              <w:jc w:val="center"/>
              <w:rPr>
                <w:color w:val="1C1C1C"/>
              </w:rPr>
            </w:pPr>
            <w:r>
              <w:rPr>
                <w:rFonts w:hint="eastAsia"/>
                <w:color w:val="1C1C1C"/>
              </w:rPr>
              <w:t>超大城市</w:t>
            </w:r>
          </w:p>
        </w:tc>
        <w:tc>
          <w:tcPr>
            <w:tcW w:w="908" w:type="pct"/>
            <w:noWrap/>
            <w:vAlign w:val="center"/>
          </w:tcPr>
          <w:p>
            <w:pPr>
              <w:jc w:val="center"/>
              <w:rPr>
                <w:color w:val="1C1C1C"/>
              </w:rPr>
            </w:pPr>
            <w:r>
              <w:rPr>
                <w:rFonts w:hint="eastAsia"/>
                <w:color w:val="1C1C1C"/>
              </w:rPr>
              <w:t>直辖市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74</w:t>
            </w:r>
          </w:p>
        </w:tc>
        <w:tc>
          <w:tcPr>
            <w:tcW w:w="1091" w:type="pct"/>
            <w:noWrap/>
            <w:tcMar>
              <w:left w:w="28" w:type="dxa"/>
              <w:right w:w="28" w:type="dxa"/>
            </w:tcMar>
            <w:vAlign w:val="center"/>
          </w:tcPr>
          <w:p>
            <w:pPr>
              <w:jc w:val="center"/>
              <w:rPr>
                <w:color w:val="1C1C1C"/>
              </w:rPr>
            </w:pPr>
            <w:r>
              <w:rPr>
                <w:rFonts w:hint="eastAsia"/>
                <w:color w:val="1C1C1C"/>
              </w:rPr>
              <w:t>四川省</w:t>
            </w:r>
          </w:p>
        </w:tc>
        <w:tc>
          <w:tcPr>
            <w:tcW w:w="1090" w:type="pct"/>
            <w:noWrap/>
            <w:vAlign w:val="center"/>
          </w:tcPr>
          <w:p>
            <w:pPr>
              <w:jc w:val="center"/>
              <w:rPr>
                <w:color w:val="1C1C1C"/>
              </w:rPr>
            </w:pPr>
            <w:r>
              <w:rPr>
                <w:rFonts w:hint="eastAsia"/>
                <w:color w:val="1C1C1C"/>
              </w:rPr>
              <w:t>成都市</w:t>
            </w:r>
          </w:p>
        </w:tc>
        <w:tc>
          <w:tcPr>
            <w:tcW w:w="1454" w:type="pct"/>
            <w:noWrap/>
            <w:vAlign w:val="center"/>
          </w:tcPr>
          <w:p>
            <w:pPr>
              <w:jc w:val="center"/>
              <w:rPr>
                <w:color w:val="1C1C1C"/>
              </w:rPr>
            </w:pPr>
            <w:r>
              <w:rPr>
                <w:rFonts w:hint="eastAsia"/>
                <w:color w:val="1C1C1C"/>
              </w:rPr>
              <w:t>超大城市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75</w:t>
            </w:r>
          </w:p>
        </w:tc>
        <w:tc>
          <w:tcPr>
            <w:tcW w:w="1091" w:type="pct"/>
            <w:noWrap/>
            <w:tcMar>
              <w:left w:w="28" w:type="dxa"/>
              <w:right w:w="28" w:type="dxa"/>
            </w:tcMar>
            <w:vAlign w:val="center"/>
          </w:tcPr>
          <w:p>
            <w:pPr>
              <w:jc w:val="center"/>
              <w:rPr>
                <w:color w:val="1C1C1C"/>
              </w:rPr>
            </w:pPr>
            <w:r>
              <w:rPr>
                <w:rFonts w:hint="eastAsia"/>
                <w:color w:val="1C1C1C"/>
              </w:rPr>
              <w:t>四川省</w:t>
            </w:r>
          </w:p>
        </w:tc>
        <w:tc>
          <w:tcPr>
            <w:tcW w:w="1090" w:type="pct"/>
            <w:noWrap/>
            <w:vAlign w:val="center"/>
          </w:tcPr>
          <w:p>
            <w:pPr>
              <w:jc w:val="center"/>
              <w:rPr>
                <w:color w:val="1C1C1C"/>
              </w:rPr>
            </w:pPr>
            <w:r>
              <w:rPr>
                <w:rFonts w:hint="eastAsia"/>
                <w:color w:val="1C1C1C"/>
              </w:rPr>
              <w:t>绵阳市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76</w:t>
            </w:r>
          </w:p>
        </w:tc>
        <w:tc>
          <w:tcPr>
            <w:tcW w:w="1091" w:type="pct"/>
            <w:noWrap/>
            <w:tcMar>
              <w:left w:w="28" w:type="dxa"/>
              <w:right w:w="28" w:type="dxa"/>
            </w:tcMar>
            <w:vAlign w:val="center"/>
          </w:tcPr>
          <w:p>
            <w:pPr>
              <w:jc w:val="center"/>
              <w:rPr>
                <w:color w:val="1C1C1C"/>
              </w:rPr>
            </w:pPr>
            <w:r>
              <w:rPr>
                <w:rFonts w:hint="eastAsia"/>
                <w:color w:val="1C1C1C"/>
              </w:rPr>
              <w:t>四川省</w:t>
            </w:r>
          </w:p>
        </w:tc>
        <w:tc>
          <w:tcPr>
            <w:tcW w:w="1090" w:type="pct"/>
            <w:noWrap/>
            <w:vAlign w:val="center"/>
          </w:tcPr>
          <w:p>
            <w:pPr>
              <w:jc w:val="center"/>
              <w:rPr>
                <w:color w:val="1C1C1C"/>
              </w:rPr>
            </w:pPr>
            <w:r>
              <w:rPr>
                <w:rFonts w:hint="eastAsia"/>
                <w:color w:val="1C1C1C"/>
              </w:rPr>
              <w:t>南充市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77</w:t>
            </w:r>
          </w:p>
        </w:tc>
        <w:tc>
          <w:tcPr>
            <w:tcW w:w="1091" w:type="pct"/>
            <w:noWrap/>
            <w:tcMar>
              <w:left w:w="28" w:type="dxa"/>
              <w:right w:w="28" w:type="dxa"/>
            </w:tcMar>
            <w:vAlign w:val="center"/>
          </w:tcPr>
          <w:p>
            <w:pPr>
              <w:jc w:val="center"/>
              <w:rPr>
                <w:color w:val="1C1C1C"/>
              </w:rPr>
            </w:pPr>
            <w:r>
              <w:rPr>
                <w:rFonts w:hint="eastAsia"/>
                <w:color w:val="1C1C1C"/>
              </w:rPr>
              <w:t>贵州省</w:t>
            </w:r>
          </w:p>
        </w:tc>
        <w:tc>
          <w:tcPr>
            <w:tcW w:w="1090" w:type="pct"/>
            <w:noWrap/>
            <w:vAlign w:val="center"/>
          </w:tcPr>
          <w:p>
            <w:pPr>
              <w:jc w:val="center"/>
              <w:rPr>
                <w:color w:val="1C1C1C"/>
              </w:rPr>
            </w:pPr>
            <w:r>
              <w:rPr>
                <w:rFonts w:hint="eastAsia"/>
                <w:color w:val="1C1C1C"/>
              </w:rPr>
              <w:t>贵阳市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78</w:t>
            </w:r>
          </w:p>
        </w:tc>
        <w:tc>
          <w:tcPr>
            <w:tcW w:w="1091" w:type="pct"/>
            <w:noWrap/>
            <w:tcMar>
              <w:left w:w="28" w:type="dxa"/>
              <w:right w:w="28" w:type="dxa"/>
            </w:tcMar>
            <w:vAlign w:val="center"/>
          </w:tcPr>
          <w:p>
            <w:pPr>
              <w:jc w:val="center"/>
              <w:rPr>
                <w:color w:val="1C1C1C"/>
              </w:rPr>
            </w:pPr>
            <w:r>
              <w:rPr>
                <w:rFonts w:hint="eastAsia"/>
                <w:color w:val="1C1C1C"/>
              </w:rPr>
              <w:t>贵州省</w:t>
            </w:r>
          </w:p>
        </w:tc>
        <w:tc>
          <w:tcPr>
            <w:tcW w:w="1090" w:type="pct"/>
            <w:noWrap/>
            <w:vAlign w:val="center"/>
          </w:tcPr>
          <w:p>
            <w:pPr>
              <w:jc w:val="center"/>
              <w:rPr>
                <w:color w:val="1C1C1C"/>
              </w:rPr>
            </w:pPr>
            <w:r>
              <w:rPr>
                <w:rFonts w:hint="eastAsia"/>
                <w:color w:val="1C1C1C"/>
              </w:rPr>
              <w:t>遵义市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79</w:t>
            </w:r>
          </w:p>
        </w:tc>
        <w:tc>
          <w:tcPr>
            <w:tcW w:w="1091" w:type="pct"/>
            <w:noWrap/>
            <w:tcMar>
              <w:left w:w="28" w:type="dxa"/>
              <w:right w:w="28" w:type="dxa"/>
            </w:tcMar>
            <w:vAlign w:val="center"/>
          </w:tcPr>
          <w:p>
            <w:pPr>
              <w:jc w:val="center"/>
              <w:rPr>
                <w:color w:val="1C1C1C"/>
              </w:rPr>
            </w:pPr>
            <w:r>
              <w:rPr>
                <w:rFonts w:hint="eastAsia"/>
                <w:color w:val="1C1C1C"/>
              </w:rPr>
              <w:t>贵州省</w:t>
            </w:r>
          </w:p>
        </w:tc>
        <w:tc>
          <w:tcPr>
            <w:tcW w:w="1090" w:type="pct"/>
            <w:noWrap/>
            <w:vAlign w:val="center"/>
          </w:tcPr>
          <w:p>
            <w:pPr>
              <w:jc w:val="center"/>
              <w:rPr>
                <w:color w:val="1C1C1C"/>
              </w:rPr>
            </w:pPr>
            <w:r>
              <w:rPr>
                <w:rFonts w:hint="eastAsia"/>
                <w:color w:val="1C1C1C"/>
              </w:rPr>
              <w:t>毕节市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80</w:t>
            </w:r>
          </w:p>
        </w:tc>
        <w:tc>
          <w:tcPr>
            <w:tcW w:w="1091" w:type="pct"/>
            <w:noWrap/>
            <w:tcMar>
              <w:left w:w="28" w:type="dxa"/>
              <w:right w:w="28" w:type="dxa"/>
            </w:tcMar>
            <w:vAlign w:val="center"/>
          </w:tcPr>
          <w:p>
            <w:pPr>
              <w:jc w:val="center"/>
              <w:rPr>
                <w:color w:val="1C1C1C"/>
              </w:rPr>
            </w:pPr>
            <w:r>
              <w:rPr>
                <w:rFonts w:hint="eastAsia"/>
                <w:color w:val="1C1C1C"/>
              </w:rPr>
              <w:t>云南省</w:t>
            </w:r>
          </w:p>
        </w:tc>
        <w:tc>
          <w:tcPr>
            <w:tcW w:w="1090" w:type="pct"/>
            <w:noWrap/>
            <w:vAlign w:val="center"/>
          </w:tcPr>
          <w:p>
            <w:pPr>
              <w:jc w:val="center"/>
              <w:rPr>
                <w:color w:val="1C1C1C"/>
              </w:rPr>
            </w:pPr>
            <w:r>
              <w:rPr>
                <w:rFonts w:hint="eastAsia"/>
                <w:color w:val="1C1C1C"/>
              </w:rPr>
              <w:t>昆明市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81</w:t>
            </w:r>
          </w:p>
        </w:tc>
        <w:tc>
          <w:tcPr>
            <w:tcW w:w="1091" w:type="pct"/>
            <w:noWrap/>
            <w:tcMar>
              <w:left w:w="28" w:type="dxa"/>
              <w:right w:w="28" w:type="dxa"/>
            </w:tcMar>
            <w:vAlign w:val="center"/>
          </w:tcPr>
          <w:p>
            <w:pPr>
              <w:jc w:val="center"/>
              <w:rPr>
                <w:color w:val="1C1C1C"/>
              </w:rPr>
            </w:pPr>
            <w:r>
              <w:rPr>
                <w:rFonts w:hint="eastAsia"/>
                <w:color w:val="1C1C1C"/>
              </w:rPr>
              <w:t>云南省</w:t>
            </w:r>
          </w:p>
        </w:tc>
        <w:tc>
          <w:tcPr>
            <w:tcW w:w="1090" w:type="pct"/>
            <w:noWrap/>
            <w:vAlign w:val="center"/>
          </w:tcPr>
          <w:p>
            <w:pPr>
              <w:jc w:val="center"/>
              <w:rPr>
                <w:color w:val="1C1C1C"/>
              </w:rPr>
            </w:pPr>
            <w:r>
              <w:rPr>
                <w:rFonts w:hint="eastAsia"/>
                <w:color w:val="1C1C1C"/>
              </w:rPr>
              <w:t>曲靖市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82</w:t>
            </w:r>
          </w:p>
        </w:tc>
        <w:tc>
          <w:tcPr>
            <w:tcW w:w="1091" w:type="pct"/>
            <w:noWrap/>
            <w:tcMar>
              <w:left w:w="28" w:type="dxa"/>
              <w:right w:w="28" w:type="dxa"/>
            </w:tcMar>
            <w:vAlign w:val="center"/>
          </w:tcPr>
          <w:p>
            <w:pPr>
              <w:jc w:val="center"/>
              <w:rPr>
                <w:color w:val="1C1C1C"/>
              </w:rPr>
            </w:pPr>
            <w:r>
              <w:rPr>
                <w:rFonts w:hint="eastAsia"/>
                <w:color w:val="1C1C1C"/>
              </w:rPr>
              <w:t>云南省</w:t>
            </w:r>
          </w:p>
        </w:tc>
        <w:tc>
          <w:tcPr>
            <w:tcW w:w="1090" w:type="pct"/>
            <w:noWrap/>
            <w:vAlign w:val="center"/>
          </w:tcPr>
          <w:p>
            <w:pPr>
              <w:jc w:val="center"/>
              <w:rPr>
                <w:color w:val="1C1C1C"/>
              </w:rPr>
            </w:pPr>
            <w:r>
              <w:rPr>
                <w:rFonts w:hint="eastAsia"/>
                <w:color w:val="1C1C1C"/>
              </w:rPr>
              <w:t>玉溪市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83</w:t>
            </w:r>
          </w:p>
        </w:tc>
        <w:tc>
          <w:tcPr>
            <w:tcW w:w="1091" w:type="pct"/>
            <w:noWrap/>
            <w:tcMar>
              <w:left w:w="28" w:type="dxa"/>
              <w:right w:w="28" w:type="dxa"/>
            </w:tcMar>
            <w:vAlign w:val="center"/>
          </w:tcPr>
          <w:p>
            <w:pPr>
              <w:jc w:val="center"/>
              <w:rPr>
                <w:color w:val="1C1C1C"/>
              </w:rPr>
            </w:pPr>
            <w:r>
              <w:rPr>
                <w:rFonts w:hint="eastAsia"/>
                <w:color w:val="1C1C1C"/>
              </w:rPr>
              <w:t>西藏自治区</w:t>
            </w:r>
          </w:p>
        </w:tc>
        <w:tc>
          <w:tcPr>
            <w:tcW w:w="1090" w:type="pct"/>
            <w:noWrap/>
            <w:vAlign w:val="center"/>
          </w:tcPr>
          <w:p>
            <w:pPr>
              <w:jc w:val="center"/>
              <w:rPr>
                <w:color w:val="1C1C1C"/>
              </w:rPr>
            </w:pPr>
            <w:r>
              <w:rPr>
                <w:rFonts w:hint="eastAsia"/>
                <w:color w:val="1C1C1C"/>
              </w:rPr>
              <w:t>拉萨市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首府城市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84</w:t>
            </w:r>
          </w:p>
        </w:tc>
        <w:tc>
          <w:tcPr>
            <w:tcW w:w="1091" w:type="pct"/>
            <w:noWrap/>
            <w:tcMar>
              <w:left w:w="28" w:type="dxa"/>
              <w:right w:w="28" w:type="dxa"/>
            </w:tcMar>
            <w:vAlign w:val="center"/>
          </w:tcPr>
          <w:p>
            <w:pPr>
              <w:jc w:val="center"/>
              <w:rPr>
                <w:color w:val="1C1C1C"/>
              </w:rPr>
            </w:pPr>
            <w:r>
              <w:rPr>
                <w:rFonts w:hint="eastAsia"/>
                <w:color w:val="1C1C1C"/>
              </w:rPr>
              <w:t>西藏自治区</w:t>
            </w:r>
          </w:p>
        </w:tc>
        <w:tc>
          <w:tcPr>
            <w:tcW w:w="1090" w:type="pct"/>
            <w:noWrap/>
            <w:vAlign w:val="center"/>
          </w:tcPr>
          <w:p>
            <w:pPr>
              <w:jc w:val="center"/>
              <w:rPr>
                <w:color w:val="1C1C1C"/>
              </w:rPr>
            </w:pPr>
            <w:r>
              <w:rPr>
                <w:rFonts w:hint="eastAsia"/>
                <w:color w:val="1C1C1C"/>
              </w:rPr>
              <w:t>日喀则市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85</w:t>
            </w:r>
          </w:p>
        </w:tc>
        <w:tc>
          <w:tcPr>
            <w:tcW w:w="1091" w:type="pct"/>
            <w:noWrap/>
            <w:tcMar>
              <w:left w:w="28" w:type="dxa"/>
              <w:right w:w="28" w:type="dxa"/>
            </w:tcMar>
            <w:vAlign w:val="center"/>
          </w:tcPr>
          <w:p>
            <w:pPr>
              <w:jc w:val="center"/>
              <w:rPr>
                <w:color w:val="1C1C1C"/>
              </w:rPr>
            </w:pPr>
            <w:r>
              <w:rPr>
                <w:rFonts w:hint="eastAsia"/>
                <w:color w:val="1C1C1C"/>
              </w:rPr>
              <w:t>西藏自治区</w:t>
            </w:r>
          </w:p>
        </w:tc>
        <w:tc>
          <w:tcPr>
            <w:tcW w:w="1090" w:type="pct"/>
            <w:noWrap/>
            <w:vAlign w:val="center"/>
          </w:tcPr>
          <w:p>
            <w:pPr>
              <w:jc w:val="center"/>
              <w:rPr>
                <w:color w:val="1C1C1C"/>
              </w:rPr>
            </w:pPr>
            <w:r>
              <w:rPr>
                <w:rFonts w:hint="eastAsia"/>
                <w:color w:val="1C1C1C"/>
              </w:rPr>
              <w:t>山南市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86</w:t>
            </w:r>
          </w:p>
        </w:tc>
        <w:tc>
          <w:tcPr>
            <w:tcW w:w="1091" w:type="pct"/>
            <w:noWrap/>
            <w:tcMar>
              <w:left w:w="28" w:type="dxa"/>
              <w:right w:w="28" w:type="dxa"/>
            </w:tcMar>
            <w:vAlign w:val="center"/>
          </w:tcPr>
          <w:p>
            <w:pPr>
              <w:jc w:val="center"/>
              <w:rPr>
                <w:color w:val="1C1C1C"/>
              </w:rPr>
            </w:pPr>
            <w:r>
              <w:rPr>
                <w:rFonts w:hint="eastAsia"/>
                <w:color w:val="1C1C1C"/>
              </w:rPr>
              <w:t>陕西省</w:t>
            </w:r>
          </w:p>
        </w:tc>
        <w:tc>
          <w:tcPr>
            <w:tcW w:w="1090" w:type="pct"/>
            <w:noWrap/>
            <w:vAlign w:val="center"/>
          </w:tcPr>
          <w:p>
            <w:pPr>
              <w:jc w:val="center"/>
              <w:rPr>
                <w:color w:val="1C1C1C"/>
              </w:rPr>
            </w:pPr>
            <w:r>
              <w:rPr>
                <w:rFonts w:hint="eastAsia"/>
                <w:color w:val="1C1C1C"/>
              </w:rPr>
              <w:t>西安市</w:t>
            </w:r>
          </w:p>
        </w:tc>
        <w:tc>
          <w:tcPr>
            <w:tcW w:w="1454" w:type="pct"/>
            <w:noWrap/>
            <w:vAlign w:val="center"/>
          </w:tcPr>
          <w:p>
            <w:pPr>
              <w:jc w:val="center"/>
              <w:rPr>
                <w:color w:val="1C1C1C"/>
              </w:rPr>
            </w:pPr>
            <w:r>
              <w:rPr>
                <w:rFonts w:hint="eastAsia"/>
                <w:color w:val="1C1C1C"/>
              </w:rPr>
              <w:t>特大城市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87</w:t>
            </w:r>
          </w:p>
        </w:tc>
        <w:tc>
          <w:tcPr>
            <w:tcW w:w="1091" w:type="pct"/>
            <w:noWrap/>
            <w:tcMar>
              <w:left w:w="28" w:type="dxa"/>
              <w:right w:w="28" w:type="dxa"/>
            </w:tcMar>
            <w:vAlign w:val="center"/>
          </w:tcPr>
          <w:p>
            <w:pPr>
              <w:jc w:val="center"/>
              <w:rPr>
                <w:color w:val="1C1C1C"/>
              </w:rPr>
            </w:pPr>
            <w:r>
              <w:rPr>
                <w:rFonts w:hint="eastAsia"/>
                <w:color w:val="1C1C1C"/>
              </w:rPr>
              <w:t>陕西省</w:t>
            </w:r>
          </w:p>
        </w:tc>
        <w:tc>
          <w:tcPr>
            <w:tcW w:w="1090" w:type="pct"/>
            <w:noWrap/>
            <w:vAlign w:val="center"/>
          </w:tcPr>
          <w:p>
            <w:pPr>
              <w:jc w:val="center"/>
              <w:rPr>
                <w:color w:val="1C1C1C"/>
              </w:rPr>
            </w:pPr>
            <w:r>
              <w:rPr>
                <w:rFonts w:hint="eastAsia"/>
                <w:color w:val="1C1C1C"/>
              </w:rPr>
              <w:t>宝鸡市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88</w:t>
            </w:r>
          </w:p>
        </w:tc>
        <w:tc>
          <w:tcPr>
            <w:tcW w:w="1091" w:type="pct"/>
            <w:noWrap/>
            <w:tcMar>
              <w:left w:w="28" w:type="dxa"/>
              <w:right w:w="28" w:type="dxa"/>
            </w:tcMar>
            <w:vAlign w:val="center"/>
          </w:tcPr>
          <w:p>
            <w:pPr>
              <w:jc w:val="center"/>
              <w:rPr>
                <w:color w:val="1C1C1C"/>
              </w:rPr>
            </w:pPr>
            <w:r>
              <w:rPr>
                <w:rFonts w:hint="eastAsia"/>
                <w:color w:val="1C1C1C"/>
              </w:rPr>
              <w:t>陕西省</w:t>
            </w:r>
          </w:p>
        </w:tc>
        <w:tc>
          <w:tcPr>
            <w:tcW w:w="1090" w:type="pct"/>
            <w:noWrap/>
            <w:vAlign w:val="center"/>
          </w:tcPr>
          <w:p>
            <w:pPr>
              <w:jc w:val="center"/>
              <w:rPr>
                <w:color w:val="1C1C1C"/>
              </w:rPr>
            </w:pPr>
            <w:r>
              <w:rPr>
                <w:rFonts w:hint="eastAsia"/>
                <w:color w:val="1C1C1C"/>
              </w:rPr>
              <w:t>渭南市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89</w:t>
            </w:r>
          </w:p>
        </w:tc>
        <w:tc>
          <w:tcPr>
            <w:tcW w:w="1091" w:type="pct"/>
            <w:noWrap/>
            <w:tcMar>
              <w:left w:w="28" w:type="dxa"/>
              <w:right w:w="28" w:type="dxa"/>
            </w:tcMar>
            <w:vAlign w:val="center"/>
          </w:tcPr>
          <w:p>
            <w:pPr>
              <w:jc w:val="center"/>
              <w:rPr>
                <w:color w:val="1C1C1C"/>
              </w:rPr>
            </w:pPr>
            <w:r>
              <w:rPr>
                <w:rFonts w:hint="eastAsia"/>
                <w:color w:val="1C1C1C"/>
              </w:rPr>
              <w:t>甘肃省</w:t>
            </w:r>
          </w:p>
        </w:tc>
        <w:tc>
          <w:tcPr>
            <w:tcW w:w="1090" w:type="pct"/>
            <w:noWrap/>
            <w:vAlign w:val="center"/>
          </w:tcPr>
          <w:p>
            <w:pPr>
              <w:jc w:val="center"/>
              <w:rPr>
                <w:color w:val="1C1C1C"/>
              </w:rPr>
            </w:pPr>
            <w:r>
              <w:rPr>
                <w:rFonts w:hint="eastAsia"/>
                <w:color w:val="1C1C1C"/>
              </w:rPr>
              <w:t>兰州市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90</w:t>
            </w:r>
          </w:p>
        </w:tc>
        <w:tc>
          <w:tcPr>
            <w:tcW w:w="1091" w:type="pct"/>
            <w:noWrap/>
            <w:tcMar>
              <w:left w:w="28" w:type="dxa"/>
              <w:right w:w="28" w:type="dxa"/>
            </w:tcMar>
            <w:vAlign w:val="center"/>
          </w:tcPr>
          <w:p>
            <w:pPr>
              <w:jc w:val="center"/>
              <w:rPr>
                <w:color w:val="1C1C1C"/>
              </w:rPr>
            </w:pPr>
            <w:r>
              <w:rPr>
                <w:rFonts w:hint="eastAsia"/>
                <w:color w:val="1C1C1C"/>
              </w:rPr>
              <w:t>甘肃省</w:t>
            </w:r>
          </w:p>
        </w:tc>
        <w:tc>
          <w:tcPr>
            <w:tcW w:w="1090" w:type="pct"/>
            <w:noWrap/>
            <w:vAlign w:val="center"/>
          </w:tcPr>
          <w:p>
            <w:pPr>
              <w:jc w:val="center"/>
              <w:rPr>
                <w:color w:val="1C1C1C"/>
              </w:rPr>
            </w:pPr>
            <w:r>
              <w:rPr>
                <w:rFonts w:hint="eastAsia"/>
                <w:color w:val="1C1C1C"/>
              </w:rPr>
              <w:t>天水市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91</w:t>
            </w:r>
          </w:p>
        </w:tc>
        <w:tc>
          <w:tcPr>
            <w:tcW w:w="1091" w:type="pct"/>
            <w:noWrap/>
            <w:tcMar>
              <w:left w:w="28" w:type="dxa"/>
              <w:right w:w="28" w:type="dxa"/>
            </w:tcMar>
            <w:vAlign w:val="center"/>
          </w:tcPr>
          <w:p>
            <w:pPr>
              <w:jc w:val="center"/>
              <w:rPr>
                <w:color w:val="1C1C1C"/>
              </w:rPr>
            </w:pPr>
            <w:r>
              <w:rPr>
                <w:rFonts w:hint="eastAsia"/>
                <w:color w:val="1C1C1C"/>
              </w:rPr>
              <w:t>甘肃省</w:t>
            </w:r>
          </w:p>
        </w:tc>
        <w:tc>
          <w:tcPr>
            <w:tcW w:w="1090" w:type="pct"/>
            <w:noWrap/>
            <w:vAlign w:val="center"/>
          </w:tcPr>
          <w:p>
            <w:pPr>
              <w:jc w:val="center"/>
              <w:rPr>
                <w:color w:val="1C1C1C"/>
              </w:rPr>
            </w:pPr>
            <w:r>
              <w:rPr>
                <w:rFonts w:hint="eastAsia"/>
                <w:color w:val="1C1C1C"/>
              </w:rPr>
              <w:t>庆阳市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92</w:t>
            </w:r>
          </w:p>
        </w:tc>
        <w:tc>
          <w:tcPr>
            <w:tcW w:w="1091" w:type="pct"/>
            <w:noWrap/>
            <w:tcMar>
              <w:left w:w="28" w:type="dxa"/>
              <w:right w:w="28" w:type="dxa"/>
            </w:tcMar>
            <w:vAlign w:val="center"/>
          </w:tcPr>
          <w:p>
            <w:pPr>
              <w:jc w:val="center"/>
              <w:rPr>
                <w:color w:val="1C1C1C"/>
              </w:rPr>
            </w:pPr>
            <w:r>
              <w:rPr>
                <w:rFonts w:hint="eastAsia"/>
                <w:color w:val="1C1C1C"/>
              </w:rPr>
              <w:t>青海省</w:t>
            </w:r>
          </w:p>
        </w:tc>
        <w:tc>
          <w:tcPr>
            <w:tcW w:w="1090" w:type="pct"/>
            <w:noWrap/>
            <w:vAlign w:val="center"/>
          </w:tcPr>
          <w:p>
            <w:pPr>
              <w:jc w:val="center"/>
              <w:rPr>
                <w:color w:val="1C1C1C"/>
              </w:rPr>
            </w:pPr>
            <w:r>
              <w:rPr>
                <w:rFonts w:hint="eastAsia"/>
                <w:color w:val="1C1C1C"/>
              </w:rPr>
              <w:t>西宁市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省会城市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93</w:t>
            </w:r>
          </w:p>
        </w:tc>
        <w:tc>
          <w:tcPr>
            <w:tcW w:w="1091" w:type="pct"/>
            <w:noWrap/>
            <w:tcMar>
              <w:left w:w="28" w:type="dxa"/>
              <w:right w:w="28" w:type="dxa"/>
            </w:tcMar>
            <w:vAlign w:val="center"/>
          </w:tcPr>
          <w:p>
            <w:pPr>
              <w:jc w:val="center"/>
              <w:rPr>
                <w:color w:val="1C1C1C"/>
              </w:rPr>
            </w:pPr>
            <w:r>
              <w:rPr>
                <w:rFonts w:hint="eastAsia"/>
                <w:color w:val="1C1C1C"/>
              </w:rPr>
              <w:t>青海省</w:t>
            </w:r>
          </w:p>
        </w:tc>
        <w:tc>
          <w:tcPr>
            <w:tcW w:w="1090" w:type="pct"/>
            <w:noWrap/>
            <w:vAlign w:val="center"/>
          </w:tcPr>
          <w:p>
            <w:pPr>
              <w:jc w:val="center"/>
              <w:rPr>
                <w:color w:val="1C1C1C"/>
              </w:rPr>
            </w:pPr>
            <w:r>
              <w:rPr>
                <w:rFonts w:hint="eastAsia"/>
                <w:color w:val="1C1C1C"/>
              </w:rPr>
              <w:t>海东市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94</w:t>
            </w:r>
          </w:p>
        </w:tc>
        <w:tc>
          <w:tcPr>
            <w:tcW w:w="1091" w:type="pct"/>
            <w:noWrap/>
            <w:tcMar>
              <w:left w:w="28" w:type="dxa"/>
              <w:right w:w="28" w:type="dxa"/>
            </w:tcMar>
            <w:vAlign w:val="center"/>
          </w:tcPr>
          <w:p>
            <w:pPr>
              <w:jc w:val="center"/>
              <w:rPr>
                <w:color w:val="1C1C1C"/>
              </w:rPr>
            </w:pPr>
            <w:r>
              <w:rPr>
                <w:rFonts w:hint="eastAsia"/>
                <w:color w:val="1C1C1C"/>
              </w:rPr>
              <w:t>青海省</w:t>
            </w:r>
          </w:p>
        </w:tc>
        <w:tc>
          <w:tcPr>
            <w:tcW w:w="1090" w:type="pct"/>
            <w:noWrap/>
            <w:vAlign w:val="center"/>
          </w:tcPr>
          <w:p>
            <w:pPr>
              <w:jc w:val="center"/>
              <w:rPr>
                <w:color w:val="1C1C1C"/>
              </w:rPr>
            </w:pPr>
            <w:r>
              <w:rPr>
                <w:rFonts w:hint="eastAsia"/>
                <w:color w:val="1C1C1C"/>
              </w:rPr>
              <w:t>海西蒙古族藏族自治州</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95</w:t>
            </w:r>
          </w:p>
        </w:tc>
        <w:tc>
          <w:tcPr>
            <w:tcW w:w="1091" w:type="pct"/>
            <w:noWrap/>
            <w:tcMar>
              <w:left w:w="28" w:type="dxa"/>
              <w:right w:w="28" w:type="dxa"/>
            </w:tcMar>
            <w:vAlign w:val="center"/>
          </w:tcPr>
          <w:p>
            <w:pPr>
              <w:jc w:val="center"/>
              <w:rPr>
                <w:color w:val="1C1C1C"/>
              </w:rPr>
            </w:pPr>
            <w:r>
              <w:rPr>
                <w:rFonts w:hint="eastAsia"/>
                <w:color w:val="1C1C1C"/>
                <w:spacing w:val="-8"/>
              </w:rPr>
              <w:t>宁夏回族自治区</w:t>
            </w:r>
          </w:p>
        </w:tc>
        <w:tc>
          <w:tcPr>
            <w:tcW w:w="1090" w:type="pct"/>
            <w:noWrap/>
            <w:vAlign w:val="center"/>
          </w:tcPr>
          <w:p>
            <w:pPr>
              <w:jc w:val="center"/>
              <w:rPr>
                <w:color w:val="1C1C1C"/>
              </w:rPr>
            </w:pPr>
            <w:r>
              <w:rPr>
                <w:rFonts w:hint="eastAsia"/>
                <w:color w:val="1C1C1C"/>
              </w:rPr>
              <w:t>银川市</w:t>
            </w:r>
          </w:p>
        </w:tc>
        <w:tc>
          <w:tcPr>
            <w:tcW w:w="1454" w:type="pct"/>
            <w:noWrap/>
            <w:vAlign w:val="center"/>
          </w:tcPr>
          <w:p>
            <w:pPr>
              <w:jc w:val="center"/>
              <w:rPr>
                <w:color w:val="1C1C1C"/>
              </w:rPr>
            </w:pPr>
            <w:r>
              <w:rPr>
                <w:rFonts w:hint="eastAsia"/>
                <w:color w:val="1C1C1C"/>
              </w:rPr>
              <w:t>Ⅱ型大城市</w:t>
            </w:r>
          </w:p>
        </w:tc>
        <w:tc>
          <w:tcPr>
            <w:tcW w:w="908" w:type="pct"/>
            <w:noWrap/>
            <w:vAlign w:val="center"/>
          </w:tcPr>
          <w:p>
            <w:pPr>
              <w:jc w:val="center"/>
              <w:rPr>
                <w:color w:val="1C1C1C"/>
              </w:rPr>
            </w:pPr>
            <w:r>
              <w:rPr>
                <w:rFonts w:hint="eastAsia"/>
                <w:color w:val="1C1C1C"/>
              </w:rPr>
              <w:t>首府城市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96</w:t>
            </w:r>
          </w:p>
        </w:tc>
        <w:tc>
          <w:tcPr>
            <w:tcW w:w="1091" w:type="pct"/>
            <w:noWrap/>
            <w:tcMar>
              <w:left w:w="28" w:type="dxa"/>
              <w:right w:w="28" w:type="dxa"/>
            </w:tcMar>
            <w:vAlign w:val="center"/>
          </w:tcPr>
          <w:p>
            <w:pPr>
              <w:jc w:val="center"/>
              <w:rPr>
                <w:color w:val="1C1C1C"/>
              </w:rPr>
            </w:pPr>
            <w:r>
              <w:rPr>
                <w:rFonts w:hint="eastAsia"/>
                <w:color w:val="1C1C1C"/>
                <w:spacing w:val="-8"/>
              </w:rPr>
              <w:t>宁夏回族自治区</w:t>
            </w:r>
          </w:p>
        </w:tc>
        <w:tc>
          <w:tcPr>
            <w:tcW w:w="1090" w:type="pct"/>
            <w:noWrap/>
            <w:vAlign w:val="center"/>
          </w:tcPr>
          <w:p>
            <w:pPr>
              <w:jc w:val="center"/>
              <w:rPr>
                <w:color w:val="1C1C1C"/>
              </w:rPr>
            </w:pPr>
            <w:r>
              <w:rPr>
                <w:rFonts w:hint="eastAsia"/>
                <w:color w:val="1C1C1C"/>
              </w:rPr>
              <w:t>石嘴山市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spacing w:val="-8"/>
              </w:rPr>
            </w:pPr>
            <w:r>
              <w:rPr>
                <w:rFonts w:hint="eastAsia"/>
                <w:color w:val="1C1C1C"/>
                <w:spacing w:val="-8"/>
              </w:rPr>
              <w:t>97</w:t>
            </w:r>
          </w:p>
        </w:tc>
        <w:tc>
          <w:tcPr>
            <w:tcW w:w="1091" w:type="pct"/>
            <w:noWrap/>
            <w:tcMar>
              <w:left w:w="28" w:type="dxa"/>
              <w:right w:w="28" w:type="dxa"/>
            </w:tcMar>
            <w:vAlign w:val="center"/>
          </w:tcPr>
          <w:p>
            <w:pPr>
              <w:jc w:val="center"/>
              <w:rPr>
                <w:color w:val="1C1C1C"/>
                <w:spacing w:val="-8"/>
              </w:rPr>
            </w:pPr>
            <w:r>
              <w:rPr>
                <w:rFonts w:hint="eastAsia"/>
                <w:color w:val="1C1C1C"/>
                <w:spacing w:val="-8"/>
              </w:rPr>
              <w:t>宁夏回族自治区</w:t>
            </w:r>
          </w:p>
        </w:tc>
        <w:tc>
          <w:tcPr>
            <w:tcW w:w="1090" w:type="pct"/>
            <w:noWrap/>
            <w:vAlign w:val="center"/>
          </w:tcPr>
          <w:p>
            <w:pPr>
              <w:jc w:val="center"/>
              <w:rPr>
                <w:color w:val="1C1C1C"/>
              </w:rPr>
            </w:pPr>
            <w:r>
              <w:rPr>
                <w:rFonts w:hint="eastAsia"/>
                <w:color w:val="1C1C1C"/>
              </w:rPr>
              <w:t>吴忠市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spacing w:val="-8"/>
              </w:rPr>
            </w:pPr>
            <w:r>
              <w:rPr>
                <w:rFonts w:hint="eastAsia"/>
                <w:color w:val="1C1C1C"/>
                <w:spacing w:val="-8"/>
              </w:rPr>
              <w:t>98</w:t>
            </w:r>
          </w:p>
        </w:tc>
        <w:tc>
          <w:tcPr>
            <w:tcW w:w="1091" w:type="pct"/>
            <w:noWrap/>
            <w:tcMar>
              <w:left w:w="28" w:type="dxa"/>
              <w:right w:w="0" w:type="dxa"/>
            </w:tcMar>
            <w:vAlign w:val="center"/>
          </w:tcPr>
          <w:p>
            <w:pPr>
              <w:jc w:val="center"/>
              <w:rPr>
                <w:color w:val="1C1C1C"/>
                <w:spacing w:val="-16"/>
              </w:rPr>
            </w:pPr>
            <w:r>
              <w:rPr>
                <w:rFonts w:hint="eastAsia"/>
                <w:color w:val="1C1C1C"/>
                <w:spacing w:val="-16"/>
              </w:rPr>
              <w:t>新疆维吾尔自治区</w:t>
            </w:r>
          </w:p>
        </w:tc>
        <w:tc>
          <w:tcPr>
            <w:tcW w:w="1090" w:type="pct"/>
            <w:noWrap/>
            <w:vAlign w:val="center"/>
          </w:tcPr>
          <w:p>
            <w:pPr>
              <w:jc w:val="center"/>
              <w:rPr>
                <w:color w:val="1C1C1C"/>
              </w:rPr>
            </w:pPr>
            <w:r>
              <w:rPr>
                <w:rFonts w:hint="eastAsia"/>
                <w:color w:val="1C1C1C"/>
              </w:rPr>
              <w:t>乌鲁木齐市</w:t>
            </w:r>
          </w:p>
        </w:tc>
        <w:tc>
          <w:tcPr>
            <w:tcW w:w="1454" w:type="pct"/>
            <w:noWrap/>
            <w:vAlign w:val="center"/>
          </w:tcPr>
          <w:p>
            <w:pPr>
              <w:jc w:val="center"/>
              <w:rPr>
                <w:color w:val="1C1C1C"/>
              </w:rPr>
            </w:pPr>
            <w:r>
              <w:rPr>
                <w:rFonts w:hint="eastAsia"/>
                <w:color w:val="1C1C1C"/>
              </w:rPr>
              <w:t>Ⅰ型大城市</w:t>
            </w:r>
          </w:p>
        </w:tc>
        <w:tc>
          <w:tcPr>
            <w:tcW w:w="908" w:type="pct"/>
            <w:noWrap/>
            <w:vAlign w:val="center"/>
          </w:tcPr>
          <w:p>
            <w:pPr>
              <w:jc w:val="center"/>
              <w:rPr>
                <w:color w:val="1C1C1C"/>
              </w:rPr>
            </w:pPr>
            <w:r>
              <w:rPr>
                <w:rFonts w:hint="eastAsia"/>
                <w:color w:val="1C1C1C"/>
              </w:rPr>
              <w:t>首府城市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99</w:t>
            </w:r>
          </w:p>
        </w:tc>
        <w:tc>
          <w:tcPr>
            <w:tcW w:w="1091" w:type="pct"/>
            <w:noWrap/>
            <w:tcMar>
              <w:left w:w="28" w:type="dxa"/>
              <w:right w:w="0" w:type="dxa"/>
            </w:tcMar>
            <w:vAlign w:val="center"/>
          </w:tcPr>
          <w:p>
            <w:pPr>
              <w:jc w:val="center"/>
              <w:rPr>
                <w:color w:val="1C1C1C"/>
                <w:spacing w:val="-16"/>
              </w:rPr>
            </w:pPr>
            <w:r>
              <w:rPr>
                <w:rFonts w:hint="eastAsia"/>
                <w:color w:val="1C1C1C"/>
                <w:spacing w:val="-16"/>
              </w:rPr>
              <w:t>新疆维吾尔自治区</w:t>
            </w:r>
          </w:p>
        </w:tc>
        <w:tc>
          <w:tcPr>
            <w:tcW w:w="1090" w:type="pct"/>
            <w:noWrap/>
            <w:vAlign w:val="center"/>
          </w:tcPr>
          <w:p>
            <w:pPr>
              <w:jc w:val="center"/>
              <w:rPr>
                <w:color w:val="1C1C1C"/>
              </w:rPr>
            </w:pPr>
            <w:r>
              <w:rPr>
                <w:rFonts w:hint="eastAsia"/>
                <w:color w:val="1C1C1C"/>
              </w:rPr>
              <w:t>克拉玛依市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3" w:type="pct"/>
            <w:noWrap/>
            <w:vAlign w:val="center"/>
          </w:tcPr>
          <w:p>
            <w:pPr>
              <w:jc w:val="center"/>
              <w:rPr>
                <w:color w:val="1C1C1C"/>
              </w:rPr>
            </w:pPr>
            <w:r>
              <w:rPr>
                <w:rFonts w:hint="eastAsia"/>
                <w:color w:val="1C1C1C"/>
              </w:rPr>
              <w:t>100</w:t>
            </w:r>
          </w:p>
        </w:tc>
        <w:tc>
          <w:tcPr>
            <w:tcW w:w="1091" w:type="pct"/>
            <w:noWrap/>
            <w:tcMar>
              <w:left w:w="28" w:type="dxa"/>
              <w:right w:w="0" w:type="dxa"/>
            </w:tcMar>
            <w:vAlign w:val="center"/>
          </w:tcPr>
          <w:p>
            <w:pPr>
              <w:jc w:val="center"/>
              <w:rPr>
                <w:color w:val="1C1C1C"/>
                <w:spacing w:val="-16"/>
              </w:rPr>
            </w:pPr>
            <w:r>
              <w:rPr>
                <w:rFonts w:hint="eastAsia"/>
                <w:color w:val="1C1C1C"/>
                <w:spacing w:val="-16"/>
              </w:rPr>
              <w:t>新疆维吾尔自治区</w:t>
            </w:r>
          </w:p>
        </w:tc>
        <w:tc>
          <w:tcPr>
            <w:tcW w:w="1090" w:type="pct"/>
            <w:noWrap/>
            <w:vAlign w:val="center"/>
          </w:tcPr>
          <w:p>
            <w:pPr>
              <w:jc w:val="center"/>
              <w:rPr>
                <w:color w:val="1C1C1C"/>
              </w:rPr>
            </w:pPr>
            <w:r>
              <w:rPr>
                <w:rFonts w:hint="eastAsia"/>
                <w:color w:val="1C1C1C"/>
              </w:rPr>
              <w:t>哈密市</w:t>
            </w:r>
          </w:p>
        </w:tc>
        <w:tc>
          <w:tcPr>
            <w:tcW w:w="1454" w:type="pct"/>
            <w:noWrap/>
            <w:vAlign w:val="center"/>
          </w:tcPr>
          <w:p>
            <w:pPr>
              <w:jc w:val="center"/>
              <w:rPr>
                <w:color w:val="1C1C1C"/>
              </w:rPr>
            </w:pPr>
            <w:r>
              <w:rPr>
                <w:rFonts w:hint="eastAsia"/>
                <w:color w:val="1C1C1C"/>
              </w:rPr>
              <w:t>中小型城市</w:t>
            </w:r>
          </w:p>
        </w:tc>
        <w:tc>
          <w:tcPr>
            <w:tcW w:w="908" w:type="pct"/>
            <w:noWrap/>
            <w:vAlign w:val="center"/>
          </w:tcPr>
          <w:p>
            <w:pPr>
              <w:jc w:val="center"/>
              <w:rPr>
                <w:color w:val="1C1C1C"/>
              </w:rPr>
            </w:pPr>
            <w:r>
              <w:rPr>
                <w:rFonts w:hint="eastAsia"/>
                <w:color w:val="1C1C1C"/>
              </w:rPr>
              <w:t>其他城市</w:t>
            </w:r>
          </w:p>
        </w:tc>
      </w:tr>
    </w:tbl>
    <w:p>
      <w:pPr>
        <w:rPr>
          <w:color w:val="1C1C1C"/>
          <w:szCs w:val="32"/>
        </w:rPr>
        <w:sectPr>
          <w:pgSz w:w="11906" w:h="16838"/>
          <w:pgMar w:top="1531" w:right="1474" w:bottom="1531" w:left="1588" w:header="851" w:footer="992" w:gutter="0"/>
          <w:pgNumType w:fmt="numberInDash"/>
          <w:cols w:space="720" w:num="1"/>
          <w:docGrid w:type="linesAndChars" w:linePitch="312" w:charSpace="0"/>
        </w:sectPr>
      </w:pPr>
    </w:p>
    <w:p>
      <w:pPr>
        <w:spacing w:before="156" w:beforeLines="50" w:after="156" w:afterLines="50" w:line="700" w:lineRule="exact"/>
        <w:rPr>
          <w:rFonts w:ascii="黑体" w:hAnsi="黑体" w:eastAsia="黑体"/>
          <w:color w:val="1C1C1C"/>
        </w:rPr>
      </w:pPr>
      <w:r>
        <w:rPr>
          <w:rFonts w:hint="eastAsia" w:ascii="黑体" w:hAnsi="黑体" w:eastAsia="黑体"/>
          <w:color w:val="1C1C1C"/>
        </w:rPr>
        <w:t>说  明：</w:t>
      </w:r>
    </w:p>
    <w:p>
      <w:pPr>
        <w:spacing w:line="600" w:lineRule="exact"/>
        <w:ind w:firstLine="480" w:firstLineChars="200"/>
        <w:jc w:val="both"/>
        <w:rPr>
          <w:color w:val="1C1C1C"/>
          <w:szCs w:val="32"/>
        </w:rPr>
      </w:pPr>
      <w:r>
        <w:rPr>
          <w:rFonts w:hint="eastAsia"/>
          <w:color w:val="1C1C1C"/>
          <w:szCs w:val="32"/>
        </w:rPr>
        <w:t>城市规模划分依据2014年国务院《关于调整城市规模划分标准的通知》。以城区常住人口为统计口径，将城市划分为五类七档。城区常住人口50万以下的城市为小城市，其中20万以上50万以下的城市为Ⅰ型小城市，20万以下的城市为Ⅱ型小城市；城区常住人口50万以上100万以下的城市为中等城市；城区常住人口100万以上500万以下的城市为大城市，其中300万以上500万以下的城市为Ⅰ型大城市，100万以上300万以下的城市为Ⅱ型大城市；城区常住人口500万以上1,000万以下的城市为特大城市；城区常住人口1,000万以上的城市为超大城市。本文将Ⅰ型小城市、Ⅱ型小城市和中等城市合并为中小型城市。</w:t>
      </w:r>
    </w:p>
    <w:p>
      <w:pPr>
        <w:spacing w:line="600" w:lineRule="exact"/>
        <w:ind w:firstLine="480" w:firstLineChars="200"/>
        <w:jc w:val="both"/>
        <w:rPr>
          <w:color w:val="1C1C1C"/>
          <w:szCs w:val="32"/>
        </w:rPr>
      </w:pPr>
      <w:r>
        <w:rPr>
          <w:rFonts w:hint="eastAsia"/>
          <w:color w:val="1C1C1C"/>
          <w:szCs w:val="32"/>
        </w:rPr>
        <w:t>城区常住人口数量主要依据七普数据中城区人口加总统计而来，只有6个城市由于特殊情况，统计口径略有不同，具体如下：海西蒙古族藏族自治州根据其州政府所在地德令哈市的七普常住人口统计，东莞市不设区，根据七普东莞市城镇人口统计，儋州市不设区，根据七普儋州市常住人口统计，乌鲁木齐市、克拉玛依市、哈密市分别根据其七普常住人口统计。</w:t>
      </w:r>
    </w:p>
    <w:p>
      <w:pPr>
        <w:pStyle w:val="3"/>
        <w:jc w:val="center"/>
        <w:rPr>
          <w:rFonts w:ascii="黑体" w:hAnsi="黑体" w:eastAsia="黑体" w:cs="黑体"/>
          <w:b w:val="0"/>
          <w:bCs/>
          <w:i w:val="0"/>
          <w:iCs/>
          <w:sz w:val="32"/>
          <w:szCs w:val="28"/>
        </w:rPr>
      </w:pPr>
      <w:r>
        <w:rPr>
          <w:color w:val="1C1C1C"/>
        </w:rPr>
        <w:br w:type="page"/>
      </w:r>
      <w:bookmarkStart w:id="90" w:name="_Toc1147524"/>
      <w:bookmarkStart w:id="91" w:name="_Toc8756"/>
      <w:bookmarkStart w:id="92" w:name="_Toc62721789"/>
      <w:bookmarkStart w:id="93" w:name="_Toc33719423"/>
      <w:r>
        <w:rPr>
          <w:rFonts w:hint="eastAsia" w:ascii="黑体" w:hAnsi="黑体" w:eastAsia="黑体" w:cs="黑体"/>
          <w:b w:val="0"/>
          <w:bCs/>
          <w:i w:val="0"/>
          <w:iCs/>
          <w:sz w:val="32"/>
          <w:szCs w:val="28"/>
        </w:rPr>
        <w:t>附录3  根据地理位置对城市的划分结果</w:t>
      </w:r>
      <w:bookmarkEnd w:id="90"/>
      <w:bookmarkEnd w:id="91"/>
      <w:bookmarkEnd w:id="92"/>
      <w:bookmarkEnd w:id="9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330"/>
        <w:gridCol w:w="1544"/>
        <w:gridCol w:w="2681"/>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blHeader/>
          <w:jc w:val="center"/>
        </w:trPr>
        <w:tc>
          <w:tcPr>
            <w:tcW w:w="766" w:type="dxa"/>
            <w:shd w:val="clear" w:color="auto" w:fill="4472C4" w:themeFill="accent5"/>
            <w:noWrap/>
            <w:vAlign w:val="center"/>
          </w:tcPr>
          <w:p>
            <w:pPr>
              <w:spacing w:line="320" w:lineRule="exact"/>
              <w:jc w:val="center"/>
              <w:rPr>
                <w:rFonts w:ascii="黑体" w:hAnsi="黑体" w:eastAsia="黑体" w:cs="黑体"/>
                <w:bCs/>
                <w:color w:val="1C1C1C"/>
              </w:rPr>
            </w:pPr>
            <w:r>
              <w:rPr>
                <w:rFonts w:hint="eastAsia" w:ascii="黑体" w:hAnsi="黑体" w:eastAsia="黑体" w:cs="黑体"/>
                <w:bCs/>
                <w:color w:val="1C1C1C"/>
              </w:rPr>
              <w:t>序号</w:t>
            </w:r>
          </w:p>
        </w:tc>
        <w:tc>
          <w:tcPr>
            <w:tcW w:w="2330" w:type="dxa"/>
            <w:shd w:val="clear" w:color="auto" w:fill="4472C4" w:themeFill="accent5"/>
            <w:noWrap/>
            <w:vAlign w:val="center"/>
          </w:tcPr>
          <w:p>
            <w:pPr>
              <w:spacing w:line="320" w:lineRule="exact"/>
              <w:jc w:val="center"/>
              <w:rPr>
                <w:rFonts w:ascii="黑体" w:hAnsi="黑体" w:eastAsia="黑体" w:cs="黑体"/>
                <w:bCs/>
                <w:color w:val="1C1C1C"/>
              </w:rPr>
            </w:pPr>
            <w:r>
              <w:rPr>
                <w:rFonts w:hint="eastAsia" w:ascii="黑体" w:hAnsi="黑体" w:eastAsia="黑体" w:cs="黑体"/>
                <w:bCs/>
                <w:color w:val="1C1C1C"/>
              </w:rPr>
              <w:t>省份</w:t>
            </w:r>
          </w:p>
        </w:tc>
        <w:tc>
          <w:tcPr>
            <w:tcW w:w="1544" w:type="dxa"/>
            <w:shd w:val="clear" w:color="auto" w:fill="4472C4" w:themeFill="accent5"/>
            <w:noWrap/>
            <w:vAlign w:val="center"/>
          </w:tcPr>
          <w:p>
            <w:pPr>
              <w:spacing w:line="320" w:lineRule="exact"/>
              <w:jc w:val="center"/>
              <w:rPr>
                <w:rFonts w:ascii="黑体" w:hAnsi="黑体" w:eastAsia="黑体" w:cs="黑体"/>
                <w:bCs/>
                <w:color w:val="1C1C1C"/>
              </w:rPr>
            </w:pPr>
            <w:r>
              <w:rPr>
                <w:rFonts w:hint="eastAsia" w:ascii="黑体" w:hAnsi="黑体" w:eastAsia="黑体" w:cs="黑体"/>
                <w:bCs/>
                <w:color w:val="1C1C1C"/>
              </w:rPr>
              <w:t>城市</w:t>
            </w:r>
          </w:p>
        </w:tc>
        <w:tc>
          <w:tcPr>
            <w:tcW w:w="2681" w:type="dxa"/>
            <w:shd w:val="clear" w:color="auto" w:fill="4472C4" w:themeFill="accent5"/>
            <w:vAlign w:val="center"/>
          </w:tcPr>
          <w:p>
            <w:pPr>
              <w:spacing w:line="320" w:lineRule="exact"/>
              <w:jc w:val="center"/>
              <w:rPr>
                <w:rFonts w:ascii="黑体" w:hAnsi="黑体" w:eastAsia="黑体" w:cs="黑体"/>
                <w:bCs/>
                <w:color w:val="1C1C1C"/>
              </w:rPr>
            </w:pPr>
            <w:r>
              <w:rPr>
                <w:rFonts w:hint="eastAsia" w:ascii="黑体" w:hAnsi="黑体" w:eastAsia="黑体" w:cs="黑体"/>
                <w:bCs/>
                <w:color w:val="1C1C1C"/>
              </w:rPr>
              <w:t>按照三大地理区域划分</w:t>
            </w:r>
          </w:p>
        </w:tc>
        <w:tc>
          <w:tcPr>
            <w:tcW w:w="2681" w:type="dxa"/>
            <w:shd w:val="clear" w:color="auto" w:fill="4472C4" w:themeFill="accent5"/>
            <w:vAlign w:val="center"/>
          </w:tcPr>
          <w:p>
            <w:pPr>
              <w:spacing w:line="320" w:lineRule="exact"/>
              <w:jc w:val="center"/>
              <w:rPr>
                <w:rFonts w:ascii="黑体" w:hAnsi="黑体" w:eastAsia="黑体" w:cs="黑体"/>
                <w:bCs/>
                <w:color w:val="1C1C1C"/>
              </w:rPr>
            </w:pPr>
            <w:r>
              <w:rPr>
                <w:rFonts w:hint="eastAsia" w:ascii="黑体" w:hAnsi="黑体" w:eastAsia="黑体" w:cs="黑体"/>
                <w:bCs/>
                <w:color w:val="1C1C1C"/>
              </w:rPr>
              <w:t>按照七大地理区域划分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w:t>
            </w:r>
          </w:p>
        </w:tc>
        <w:tc>
          <w:tcPr>
            <w:tcW w:w="2330" w:type="dxa"/>
            <w:noWrap/>
            <w:vAlign w:val="center"/>
          </w:tcPr>
          <w:p>
            <w:pPr>
              <w:jc w:val="center"/>
              <w:rPr>
                <w:color w:val="1C1C1C"/>
              </w:rPr>
            </w:pPr>
            <w:r>
              <w:rPr>
                <w:rFonts w:hint="eastAsia"/>
                <w:color w:val="1C1C1C"/>
              </w:rPr>
              <w:t>北京市</w:t>
            </w:r>
          </w:p>
        </w:tc>
        <w:tc>
          <w:tcPr>
            <w:tcW w:w="1544" w:type="dxa"/>
            <w:noWrap/>
            <w:vAlign w:val="center"/>
          </w:tcPr>
          <w:p>
            <w:pPr>
              <w:jc w:val="center"/>
              <w:rPr>
                <w:color w:val="1C1C1C"/>
              </w:rPr>
            </w:pPr>
            <w:r>
              <w:rPr>
                <w:rFonts w:hint="eastAsia"/>
                <w:color w:val="1C1C1C"/>
              </w:rPr>
              <w:t>北京市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w:t>
            </w:r>
          </w:p>
        </w:tc>
        <w:tc>
          <w:tcPr>
            <w:tcW w:w="2330" w:type="dxa"/>
            <w:noWrap/>
            <w:vAlign w:val="center"/>
          </w:tcPr>
          <w:p>
            <w:pPr>
              <w:jc w:val="center"/>
              <w:rPr>
                <w:color w:val="1C1C1C"/>
              </w:rPr>
            </w:pPr>
            <w:r>
              <w:rPr>
                <w:rFonts w:hint="eastAsia"/>
                <w:color w:val="1C1C1C"/>
              </w:rPr>
              <w:t>天津市</w:t>
            </w:r>
          </w:p>
        </w:tc>
        <w:tc>
          <w:tcPr>
            <w:tcW w:w="1544" w:type="dxa"/>
            <w:noWrap/>
            <w:vAlign w:val="center"/>
          </w:tcPr>
          <w:p>
            <w:pPr>
              <w:jc w:val="center"/>
              <w:rPr>
                <w:color w:val="1C1C1C"/>
              </w:rPr>
            </w:pPr>
            <w:r>
              <w:rPr>
                <w:rFonts w:hint="eastAsia"/>
                <w:color w:val="1C1C1C"/>
              </w:rPr>
              <w:t>天津市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w:t>
            </w:r>
          </w:p>
        </w:tc>
        <w:tc>
          <w:tcPr>
            <w:tcW w:w="2330" w:type="dxa"/>
            <w:noWrap/>
            <w:vAlign w:val="center"/>
          </w:tcPr>
          <w:p>
            <w:pPr>
              <w:jc w:val="center"/>
              <w:rPr>
                <w:color w:val="1C1C1C"/>
              </w:rPr>
            </w:pPr>
            <w:r>
              <w:rPr>
                <w:rFonts w:hint="eastAsia"/>
                <w:color w:val="1C1C1C"/>
              </w:rPr>
              <w:t>河北省</w:t>
            </w:r>
          </w:p>
        </w:tc>
        <w:tc>
          <w:tcPr>
            <w:tcW w:w="1544" w:type="dxa"/>
            <w:noWrap/>
            <w:vAlign w:val="center"/>
          </w:tcPr>
          <w:p>
            <w:pPr>
              <w:jc w:val="center"/>
              <w:rPr>
                <w:color w:val="1C1C1C"/>
              </w:rPr>
            </w:pPr>
            <w:r>
              <w:rPr>
                <w:rFonts w:hint="eastAsia"/>
                <w:color w:val="1C1C1C"/>
              </w:rPr>
              <w:t>石家庄市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w:t>
            </w:r>
          </w:p>
        </w:tc>
        <w:tc>
          <w:tcPr>
            <w:tcW w:w="2330" w:type="dxa"/>
            <w:noWrap/>
            <w:vAlign w:val="center"/>
          </w:tcPr>
          <w:p>
            <w:pPr>
              <w:jc w:val="center"/>
              <w:rPr>
                <w:color w:val="1C1C1C"/>
              </w:rPr>
            </w:pPr>
            <w:r>
              <w:rPr>
                <w:rFonts w:hint="eastAsia"/>
                <w:color w:val="1C1C1C"/>
              </w:rPr>
              <w:t>河北省</w:t>
            </w:r>
          </w:p>
        </w:tc>
        <w:tc>
          <w:tcPr>
            <w:tcW w:w="1544" w:type="dxa"/>
            <w:noWrap/>
            <w:vAlign w:val="center"/>
          </w:tcPr>
          <w:p>
            <w:pPr>
              <w:jc w:val="center"/>
              <w:rPr>
                <w:color w:val="1C1C1C"/>
              </w:rPr>
            </w:pPr>
            <w:r>
              <w:rPr>
                <w:rFonts w:hint="eastAsia"/>
                <w:color w:val="1C1C1C"/>
              </w:rPr>
              <w:t>唐山市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w:t>
            </w:r>
          </w:p>
        </w:tc>
        <w:tc>
          <w:tcPr>
            <w:tcW w:w="2330" w:type="dxa"/>
            <w:noWrap/>
            <w:vAlign w:val="center"/>
          </w:tcPr>
          <w:p>
            <w:pPr>
              <w:jc w:val="center"/>
              <w:rPr>
                <w:color w:val="1C1C1C"/>
              </w:rPr>
            </w:pPr>
            <w:r>
              <w:rPr>
                <w:rFonts w:hint="eastAsia"/>
                <w:color w:val="1C1C1C"/>
              </w:rPr>
              <w:t>河北省</w:t>
            </w:r>
          </w:p>
        </w:tc>
        <w:tc>
          <w:tcPr>
            <w:tcW w:w="1544" w:type="dxa"/>
            <w:noWrap/>
            <w:vAlign w:val="center"/>
          </w:tcPr>
          <w:p>
            <w:pPr>
              <w:jc w:val="center"/>
              <w:rPr>
                <w:color w:val="1C1C1C"/>
              </w:rPr>
            </w:pPr>
            <w:r>
              <w:rPr>
                <w:rFonts w:hint="eastAsia"/>
                <w:color w:val="1C1C1C"/>
              </w:rPr>
              <w:t>邯郸市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w:t>
            </w:r>
          </w:p>
        </w:tc>
        <w:tc>
          <w:tcPr>
            <w:tcW w:w="2330" w:type="dxa"/>
            <w:noWrap/>
            <w:vAlign w:val="center"/>
          </w:tcPr>
          <w:p>
            <w:pPr>
              <w:jc w:val="center"/>
              <w:rPr>
                <w:color w:val="1C1C1C"/>
              </w:rPr>
            </w:pPr>
            <w:r>
              <w:rPr>
                <w:rFonts w:hint="eastAsia"/>
                <w:color w:val="1C1C1C"/>
              </w:rPr>
              <w:t>河北省</w:t>
            </w:r>
          </w:p>
        </w:tc>
        <w:tc>
          <w:tcPr>
            <w:tcW w:w="1544" w:type="dxa"/>
            <w:noWrap/>
            <w:vAlign w:val="center"/>
          </w:tcPr>
          <w:p>
            <w:pPr>
              <w:jc w:val="center"/>
              <w:rPr>
                <w:color w:val="1C1C1C"/>
              </w:rPr>
            </w:pPr>
            <w:r>
              <w:rPr>
                <w:rFonts w:hint="eastAsia"/>
                <w:color w:val="1C1C1C"/>
              </w:rPr>
              <w:t>保定市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w:t>
            </w:r>
          </w:p>
        </w:tc>
        <w:tc>
          <w:tcPr>
            <w:tcW w:w="2330" w:type="dxa"/>
            <w:noWrap/>
            <w:vAlign w:val="center"/>
          </w:tcPr>
          <w:p>
            <w:pPr>
              <w:jc w:val="center"/>
              <w:rPr>
                <w:color w:val="1C1C1C"/>
              </w:rPr>
            </w:pPr>
            <w:r>
              <w:rPr>
                <w:rFonts w:hint="eastAsia"/>
                <w:color w:val="1C1C1C"/>
              </w:rPr>
              <w:t>山西省</w:t>
            </w:r>
          </w:p>
        </w:tc>
        <w:tc>
          <w:tcPr>
            <w:tcW w:w="1544" w:type="dxa"/>
            <w:noWrap/>
            <w:vAlign w:val="center"/>
          </w:tcPr>
          <w:p>
            <w:pPr>
              <w:jc w:val="center"/>
              <w:rPr>
                <w:color w:val="1C1C1C"/>
              </w:rPr>
            </w:pPr>
            <w:r>
              <w:rPr>
                <w:rFonts w:hint="eastAsia"/>
                <w:color w:val="1C1C1C"/>
              </w:rPr>
              <w:t>太原市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w:t>
            </w:r>
          </w:p>
        </w:tc>
        <w:tc>
          <w:tcPr>
            <w:tcW w:w="2330" w:type="dxa"/>
            <w:noWrap/>
            <w:vAlign w:val="center"/>
          </w:tcPr>
          <w:p>
            <w:pPr>
              <w:jc w:val="center"/>
              <w:rPr>
                <w:color w:val="1C1C1C"/>
              </w:rPr>
            </w:pPr>
            <w:r>
              <w:rPr>
                <w:rFonts w:hint="eastAsia"/>
                <w:color w:val="1C1C1C"/>
              </w:rPr>
              <w:t>山西省</w:t>
            </w:r>
          </w:p>
        </w:tc>
        <w:tc>
          <w:tcPr>
            <w:tcW w:w="1544" w:type="dxa"/>
            <w:noWrap/>
            <w:vAlign w:val="center"/>
          </w:tcPr>
          <w:p>
            <w:pPr>
              <w:jc w:val="center"/>
              <w:rPr>
                <w:color w:val="1C1C1C"/>
              </w:rPr>
            </w:pPr>
            <w:r>
              <w:rPr>
                <w:rFonts w:hint="eastAsia"/>
                <w:color w:val="1C1C1C"/>
              </w:rPr>
              <w:t>大同市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w:t>
            </w:r>
          </w:p>
        </w:tc>
        <w:tc>
          <w:tcPr>
            <w:tcW w:w="2330" w:type="dxa"/>
            <w:noWrap/>
            <w:vAlign w:val="center"/>
          </w:tcPr>
          <w:p>
            <w:pPr>
              <w:jc w:val="center"/>
              <w:rPr>
                <w:color w:val="1C1C1C"/>
              </w:rPr>
            </w:pPr>
            <w:r>
              <w:rPr>
                <w:rFonts w:hint="eastAsia"/>
                <w:color w:val="1C1C1C"/>
              </w:rPr>
              <w:t>山西省</w:t>
            </w:r>
          </w:p>
        </w:tc>
        <w:tc>
          <w:tcPr>
            <w:tcW w:w="1544" w:type="dxa"/>
            <w:noWrap/>
            <w:vAlign w:val="center"/>
          </w:tcPr>
          <w:p>
            <w:pPr>
              <w:jc w:val="center"/>
              <w:rPr>
                <w:color w:val="1C1C1C"/>
              </w:rPr>
            </w:pPr>
            <w:r>
              <w:rPr>
                <w:rFonts w:hint="eastAsia"/>
                <w:color w:val="1C1C1C"/>
              </w:rPr>
              <w:t>运城市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10</w:t>
            </w:r>
          </w:p>
        </w:tc>
        <w:tc>
          <w:tcPr>
            <w:tcW w:w="2330" w:type="dxa"/>
            <w:noWrap/>
            <w:vAlign w:val="center"/>
          </w:tcPr>
          <w:p>
            <w:pPr>
              <w:jc w:val="center"/>
              <w:rPr>
                <w:color w:val="1C1C1C"/>
              </w:rPr>
            </w:pPr>
            <w:r>
              <w:rPr>
                <w:rFonts w:hint="eastAsia"/>
                <w:color w:val="1C1C1C"/>
              </w:rPr>
              <w:t>内蒙古自治区</w:t>
            </w:r>
          </w:p>
        </w:tc>
        <w:tc>
          <w:tcPr>
            <w:tcW w:w="1544" w:type="dxa"/>
            <w:noWrap/>
            <w:vAlign w:val="center"/>
          </w:tcPr>
          <w:p>
            <w:pPr>
              <w:jc w:val="center"/>
              <w:rPr>
                <w:color w:val="1C1C1C"/>
              </w:rPr>
            </w:pPr>
            <w:r>
              <w:rPr>
                <w:rFonts w:hint="eastAsia"/>
                <w:color w:val="1C1C1C"/>
              </w:rPr>
              <w:t>呼和浩特市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11</w:t>
            </w:r>
          </w:p>
        </w:tc>
        <w:tc>
          <w:tcPr>
            <w:tcW w:w="2330" w:type="dxa"/>
            <w:noWrap/>
            <w:vAlign w:val="center"/>
          </w:tcPr>
          <w:p>
            <w:pPr>
              <w:jc w:val="center"/>
              <w:rPr>
                <w:color w:val="1C1C1C"/>
              </w:rPr>
            </w:pPr>
            <w:r>
              <w:rPr>
                <w:rFonts w:hint="eastAsia"/>
                <w:color w:val="1C1C1C"/>
              </w:rPr>
              <w:t>内蒙古自治区</w:t>
            </w:r>
          </w:p>
        </w:tc>
        <w:tc>
          <w:tcPr>
            <w:tcW w:w="1544" w:type="dxa"/>
            <w:noWrap/>
            <w:vAlign w:val="center"/>
          </w:tcPr>
          <w:p>
            <w:pPr>
              <w:jc w:val="center"/>
              <w:rPr>
                <w:color w:val="1C1C1C"/>
              </w:rPr>
            </w:pPr>
            <w:r>
              <w:rPr>
                <w:rFonts w:hint="eastAsia"/>
                <w:color w:val="1C1C1C"/>
              </w:rPr>
              <w:t>包头市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12</w:t>
            </w:r>
          </w:p>
        </w:tc>
        <w:tc>
          <w:tcPr>
            <w:tcW w:w="2330" w:type="dxa"/>
            <w:noWrap/>
            <w:vAlign w:val="center"/>
          </w:tcPr>
          <w:p>
            <w:pPr>
              <w:jc w:val="center"/>
              <w:rPr>
                <w:color w:val="1C1C1C"/>
              </w:rPr>
            </w:pPr>
            <w:r>
              <w:rPr>
                <w:rFonts w:hint="eastAsia"/>
                <w:color w:val="1C1C1C"/>
              </w:rPr>
              <w:t>内蒙古自治区</w:t>
            </w:r>
          </w:p>
        </w:tc>
        <w:tc>
          <w:tcPr>
            <w:tcW w:w="1544" w:type="dxa"/>
            <w:noWrap/>
            <w:vAlign w:val="center"/>
          </w:tcPr>
          <w:p>
            <w:pPr>
              <w:jc w:val="center"/>
              <w:rPr>
                <w:color w:val="1C1C1C"/>
              </w:rPr>
            </w:pPr>
            <w:r>
              <w:rPr>
                <w:rFonts w:hint="eastAsia"/>
                <w:color w:val="1C1C1C"/>
              </w:rPr>
              <w:t>鄂尔多斯市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华北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13</w:t>
            </w:r>
          </w:p>
        </w:tc>
        <w:tc>
          <w:tcPr>
            <w:tcW w:w="2330" w:type="dxa"/>
            <w:noWrap/>
            <w:vAlign w:val="center"/>
          </w:tcPr>
          <w:p>
            <w:pPr>
              <w:jc w:val="center"/>
              <w:rPr>
                <w:color w:val="1C1C1C"/>
              </w:rPr>
            </w:pPr>
            <w:r>
              <w:rPr>
                <w:rFonts w:hint="eastAsia"/>
                <w:color w:val="1C1C1C"/>
              </w:rPr>
              <w:t>辽宁省</w:t>
            </w:r>
          </w:p>
        </w:tc>
        <w:tc>
          <w:tcPr>
            <w:tcW w:w="1544" w:type="dxa"/>
            <w:noWrap/>
            <w:vAlign w:val="center"/>
          </w:tcPr>
          <w:p>
            <w:pPr>
              <w:jc w:val="center"/>
              <w:rPr>
                <w:color w:val="1C1C1C"/>
              </w:rPr>
            </w:pPr>
            <w:r>
              <w:rPr>
                <w:rFonts w:hint="eastAsia"/>
                <w:color w:val="1C1C1C"/>
              </w:rPr>
              <w:t>沈阳市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14</w:t>
            </w:r>
          </w:p>
        </w:tc>
        <w:tc>
          <w:tcPr>
            <w:tcW w:w="2330" w:type="dxa"/>
            <w:noWrap/>
            <w:vAlign w:val="center"/>
          </w:tcPr>
          <w:p>
            <w:pPr>
              <w:jc w:val="center"/>
              <w:rPr>
                <w:color w:val="1C1C1C"/>
              </w:rPr>
            </w:pPr>
            <w:r>
              <w:rPr>
                <w:rFonts w:hint="eastAsia"/>
                <w:color w:val="1C1C1C"/>
              </w:rPr>
              <w:t>辽宁省</w:t>
            </w:r>
          </w:p>
        </w:tc>
        <w:tc>
          <w:tcPr>
            <w:tcW w:w="1544" w:type="dxa"/>
            <w:noWrap/>
            <w:vAlign w:val="center"/>
          </w:tcPr>
          <w:p>
            <w:pPr>
              <w:jc w:val="center"/>
              <w:rPr>
                <w:color w:val="1C1C1C"/>
              </w:rPr>
            </w:pPr>
            <w:r>
              <w:rPr>
                <w:rFonts w:hint="eastAsia"/>
                <w:color w:val="1C1C1C"/>
              </w:rPr>
              <w:t>大连市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15</w:t>
            </w:r>
          </w:p>
        </w:tc>
        <w:tc>
          <w:tcPr>
            <w:tcW w:w="2330" w:type="dxa"/>
            <w:noWrap/>
            <w:vAlign w:val="center"/>
          </w:tcPr>
          <w:p>
            <w:pPr>
              <w:jc w:val="center"/>
              <w:rPr>
                <w:color w:val="1C1C1C"/>
              </w:rPr>
            </w:pPr>
            <w:r>
              <w:rPr>
                <w:rFonts w:hint="eastAsia"/>
                <w:color w:val="1C1C1C"/>
              </w:rPr>
              <w:t>辽宁省</w:t>
            </w:r>
          </w:p>
        </w:tc>
        <w:tc>
          <w:tcPr>
            <w:tcW w:w="1544" w:type="dxa"/>
            <w:noWrap/>
            <w:vAlign w:val="center"/>
          </w:tcPr>
          <w:p>
            <w:pPr>
              <w:jc w:val="center"/>
              <w:rPr>
                <w:color w:val="1C1C1C"/>
              </w:rPr>
            </w:pPr>
            <w:r>
              <w:rPr>
                <w:rFonts w:hint="eastAsia"/>
                <w:color w:val="1C1C1C"/>
              </w:rPr>
              <w:t>鞍山市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16</w:t>
            </w:r>
          </w:p>
        </w:tc>
        <w:tc>
          <w:tcPr>
            <w:tcW w:w="2330" w:type="dxa"/>
            <w:noWrap/>
            <w:vAlign w:val="center"/>
          </w:tcPr>
          <w:p>
            <w:pPr>
              <w:jc w:val="center"/>
              <w:rPr>
                <w:color w:val="1C1C1C"/>
              </w:rPr>
            </w:pPr>
            <w:r>
              <w:rPr>
                <w:rFonts w:hint="eastAsia"/>
                <w:color w:val="1C1C1C"/>
              </w:rPr>
              <w:t>吉林省</w:t>
            </w:r>
          </w:p>
        </w:tc>
        <w:tc>
          <w:tcPr>
            <w:tcW w:w="1544" w:type="dxa"/>
            <w:noWrap/>
            <w:vAlign w:val="center"/>
          </w:tcPr>
          <w:p>
            <w:pPr>
              <w:jc w:val="center"/>
              <w:rPr>
                <w:color w:val="1C1C1C"/>
              </w:rPr>
            </w:pPr>
            <w:r>
              <w:rPr>
                <w:rFonts w:hint="eastAsia"/>
                <w:color w:val="1C1C1C"/>
              </w:rPr>
              <w:t>长春市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17</w:t>
            </w:r>
          </w:p>
        </w:tc>
        <w:tc>
          <w:tcPr>
            <w:tcW w:w="2330" w:type="dxa"/>
            <w:noWrap/>
            <w:vAlign w:val="center"/>
          </w:tcPr>
          <w:p>
            <w:pPr>
              <w:jc w:val="center"/>
              <w:rPr>
                <w:color w:val="1C1C1C"/>
              </w:rPr>
            </w:pPr>
            <w:r>
              <w:rPr>
                <w:rFonts w:hint="eastAsia"/>
                <w:color w:val="1C1C1C"/>
              </w:rPr>
              <w:t>吉林省</w:t>
            </w:r>
          </w:p>
        </w:tc>
        <w:tc>
          <w:tcPr>
            <w:tcW w:w="1544" w:type="dxa"/>
            <w:noWrap/>
            <w:vAlign w:val="center"/>
          </w:tcPr>
          <w:p>
            <w:pPr>
              <w:jc w:val="center"/>
              <w:rPr>
                <w:color w:val="1C1C1C"/>
              </w:rPr>
            </w:pPr>
            <w:r>
              <w:rPr>
                <w:rFonts w:hint="eastAsia"/>
                <w:color w:val="1C1C1C"/>
              </w:rPr>
              <w:t>吉林市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18</w:t>
            </w:r>
          </w:p>
        </w:tc>
        <w:tc>
          <w:tcPr>
            <w:tcW w:w="2330" w:type="dxa"/>
            <w:noWrap/>
            <w:vAlign w:val="center"/>
          </w:tcPr>
          <w:p>
            <w:pPr>
              <w:jc w:val="center"/>
              <w:rPr>
                <w:color w:val="1C1C1C"/>
              </w:rPr>
            </w:pPr>
            <w:r>
              <w:rPr>
                <w:rFonts w:hint="eastAsia"/>
                <w:color w:val="1C1C1C"/>
              </w:rPr>
              <w:t>吉林省</w:t>
            </w:r>
          </w:p>
        </w:tc>
        <w:tc>
          <w:tcPr>
            <w:tcW w:w="1544" w:type="dxa"/>
            <w:noWrap/>
            <w:vAlign w:val="center"/>
          </w:tcPr>
          <w:p>
            <w:pPr>
              <w:jc w:val="center"/>
              <w:rPr>
                <w:color w:val="1C1C1C"/>
              </w:rPr>
            </w:pPr>
            <w:r>
              <w:rPr>
                <w:rFonts w:hint="eastAsia"/>
                <w:color w:val="1C1C1C"/>
              </w:rPr>
              <w:t>松原市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19</w:t>
            </w:r>
          </w:p>
        </w:tc>
        <w:tc>
          <w:tcPr>
            <w:tcW w:w="2330" w:type="dxa"/>
            <w:noWrap/>
            <w:vAlign w:val="center"/>
          </w:tcPr>
          <w:p>
            <w:pPr>
              <w:jc w:val="center"/>
              <w:rPr>
                <w:color w:val="1C1C1C"/>
              </w:rPr>
            </w:pPr>
            <w:r>
              <w:rPr>
                <w:rFonts w:hint="eastAsia"/>
                <w:color w:val="1C1C1C"/>
              </w:rPr>
              <w:t>黑龙江省</w:t>
            </w:r>
          </w:p>
        </w:tc>
        <w:tc>
          <w:tcPr>
            <w:tcW w:w="1544" w:type="dxa"/>
            <w:noWrap/>
            <w:vAlign w:val="center"/>
          </w:tcPr>
          <w:p>
            <w:pPr>
              <w:jc w:val="center"/>
              <w:rPr>
                <w:color w:val="1C1C1C"/>
              </w:rPr>
            </w:pPr>
            <w:r>
              <w:rPr>
                <w:rFonts w:hint="eastAsia"/>
                <w:color w:val="1C1C1C"/>
              </w:rPr>
              <w:t>哈尔滨市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20</w:t>
            </w:r>
          </w:p>
        </w:tc>
        <w:tc>
          <w:tcPr>
            <w:tcW w:w="2330" w:type="dxa"/>
            <w:noWrap/>
            <w:vAlign w:val="center"/>
          </w:tcPr>
          <w:p>
            <w:pPr>
              <w:jc w:val="center"/>
              <w:rPr>
                <w:color w:val="1C1C1C"/>
              </w:rPr>
            </w:pPr>
            <w:r>
              <w:rPr>
                <w:rFonts w:hint="eastAsia"/>
                <w:color w:val="1C1C1C"/>
              </w:rPr>
              <w:t>黑龙江省</w:t>
            </w:r>
          </w:p>
        </w:tc>
        <w:tc>
          <w:tcPr>
            <w:tcW w:w="1544" w:type="dxa"/>
            <w:noWrap/>
            <w:vAlign w:val="center"/>
          </w:tcPr>
          <w:p>
            <w:pPr>
              <w:jc w:val="center"/>
              <w:rPr>
                <w:color w:val="1C1C1C"/>
              </w:rPr>
            </w:pPr>
            <w:r>
              <w:rPr>
                <w:rFonts w:hint="eastAsia"/>
                <w:color w:val="1C1C1C"/>
              </w:rPr>
              <w:t>齐齐哈尔市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21</w:t>
            </w:r>
          </w:p>
        </w:tc>
        <w:tc>
          <w:tcPr>
            <w:tcW w:w="2330" w:type="dxa"/>
            <w:noWrap/>
            <w:vAlign w:val="center"/>
          </w:tcPr>
          <w:p>
            <w:pPr>
              <w:jc w:val="center"/>
              <w:rPr>
                <w:color w:val="1C1C1C"/>
              </w:rPr>
            </w:pPr>
            <w:r>
              <w:rPr>
                <w:rFonts w:hint="eastAsia"/>
                <w:color w:val="1C1C1C"/>
              </w:rPr>
              <w:t>黑龙江省</w:t>
            </w:r>
          </w:p>
        </w:tc>
        <w:tc>
          <w:tcPr>
            <w:tcW w:w="1544" w:type="dxa"/>
            <w:noWrap/>
            <w:vAlign w:val="center"/>
          </w:tcPr>
          <w:p>
            <w:pPr>
              <w:jc w:val="center"/>
              <w:rPr>
                <w:color w:val="1C1C1C"/>
              </w:rPr>
            </w:pPr>
            <w:r>
              <w:rPr>
                <w:rFonts w:hint="eastAsia"/>
                <w:color w:val="1C1C1C"/>
              </w:rPr>
              <w:t>大庆市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22</w:t>
            </w:r>
          </w:p>
        </w:tc>
        <w:tc>
          <w:tcPr>
            <w:tcW w:w="2330" w:type="dxa"/>
            <w:noWrap/>
            <w:vAlign w:val="center"/>
          </w:tcPr>
          <w:p>
            <w:pPr>
              <w:jc w:val="center"/>
              <w:rPr>
                <w:color w:val="1C1C1C"/>
              </w:rPr>
            </w:pPr>
            <w:r>
              <w:rPr>
                <w:rFonts w:hint="eastAsia"/>
                <w:color w:val="1C1C1C"/>
              </w:rPr>
              <w:t>上海市</w:t>
            </w:r>
          </w:p>
        </w:tc>
        <w:tc>
          <w:tcPr>
            <w:tcW w:w="1544" w:type="dxa"/>
            <w:noWrap/>
            <w:vAlign w:val="center"/>
          </w:tcPr>
          <w:p>
            <w:pPr>
              <w:jc w:val="center"/>
              <w:rPr>
                <w:color w:val="1C1C1C"/>
              </w:rPr>
            </w:pPr>
            <w:r>
              <w:rPr>
                <w:rFonts w:hint="eastAsia"/>
                <w:color w:val="1C1C1C"/>
              </w:rPr>
              <w:t>上海市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23</w:t>
            </w:r>
          </w:p>
        </w:tc>
        <w:tc>
          <w:tcPr>
            <w:tcW w:w="2330" w:type="dxa"/>
            <w:noWrap/>
            <w:vAlign w:val="center"/>
          </w:tcPr>
          <w:p>
            <w:pPr>
              <w:jc w:val="center"/>
              <w:rPr>
                <w:color w:val="1C1C1C"/>
              </w:rPr>
            </w:pPr>
            <w:r>
              <w:rPr>
                <w:rFonts w:hint="eastAsia"/>
                <w:color w:val="1C1C1C"/>
              </w:rPr>
              <w:t>江苏省</w:t>
            </w:r>
          </w:p>
        </w:tc>
        <w:tc>
          <w:tcPr>
            <w:tcW w:w="1544" w:type="dxa"/>
            <w:noWrap/>
            <w:vAlign w:val="center"/>
          </w:tcPr>
          <w:p>
            <w:pPr>
              <w:jc w:val="center"/>
              <w:rPr>
                <w:color w:val="1C1C1C"/>
              </w:rPr>
            </w:pPr>
            <w:r>
              <w:rPr>
                <w:rFonts w:hint="eastAsia"/>
                <w:color w:val="1C1C1C"/>
              </w:rPr>
              <w:t>南京市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24</w:t>
            </w:r>
          </w:p>
        </w:tc>
        <w:tc>
          <w:tcPr>
            <w:tcW w:w="2330" w:type="dxa"/>
            <w:noWrap/>
            <w:vAlign w:val="center"/>
          </w:tcPr>
          <w:p>
            <w:pPr>
              <w:jc w:val="center"/>
              <w:rPr>
                <w:color w:val="1C1C1C"/>
              </w:rPr>
            </w:pPr>
            <w:r>
              <w:rPr>
                <w:rFonts w:hint="eastAsia"/>
                <w:color w:val="1C1C1C"/>
              </w:rPr>
              <w:t>江苏省</w:t>
            </w:r>
          </w:p>
        </w:tc>
        <w:tc>
          <w:tcPr>
            <w:tcW w:w="1544" w:type="dxa"/>
            <w:noWrap/>
            <w:vAlign w:val="center"/>
          </w:tcPr>
          <w:p>
            <w:pPr>
              <w:jc w:val="center"/>
              <w:rPr>
                <w:color w:val="1C1C1C"/>
              </w:rPr>
            </w:pPr>
            <w:r>
              <w:rPr>
                <w:rFonts w:hint="eastAsia"/>
                <w:color w:val="1C1C1C"/>
              </w:rPr>
              <w:t>无锡市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25</w:t>
            </w:r>
          </w:p>
        </w:tc>
        <w:tc>
          <w:tcPr>
            <w:tcW w:w="2330" w:type="dxa"/>
            <w:noWrap/>
            <w:vAlign w:val="center"/>
          </w:tcPr>
          <w:p>
            <w:pPr>
              <w:jc w:val="center"/>
              <w:rPr>
                <w:color w:val="1C1C1C"/>
              </w:rPr>
            </w:pPr>
            <w:r>
              <w:rPr>
                <w:rFonts w:hint="eastAsia"/>
                <w:color w:val="1C1C1C"/>
              </w:rPr>
              <w:t>江苏省</w:t>
            </w:r>
          </w:p>
        </w:tc>
        <w:tc>
          <w:tcPr>
            <w:tcW w:w="1544" w:type="dxa"/>
            <w:noWrap/>
            <w:vAlign w:val="center"/>
          </w:tcPr>
          <w:p>
            <w:pPr>
              <w:jc w:val="center"/>
              <w:rPr>
                <w:color w:val="1C1C1C"/>
              </w:rPr>
            </w:pPr>
            <w:r>
              <w:rPr>
                <w:rFonts w:hint="eastAsia"/>
                <w:color w:val="1C1C1C"/>
              </w:rPr>
              <w:t>徐州市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26</w:t>
            </w:r>
          </w:p>
        </w:tc>
        <w:tc>
          <w:tcPr>
            <w:tcW w:w="2330" w:type="dxa"/>
            <w:noWrap/>
            <w:vAlign w:val="center"/>
          </w:tcPr>
          <w:p>
            <w:pPr>
              <w:jc w:val="center"/>
              <w:rPr>
                <w:color w:val="1C1C1C"/>
              </w:rPr>
            </w:pPr>
            <w:r>
              <w:rPr>
                <w:rFonts w:hint="eastAsia"/>
                <w:color w:val="1C1C1C"/>
              </w:rPr>
              <w:t>江苏省</w:t>
            </w:r>
          </w:p>
        </w:tc>
        <w:tc>
          <w:tcPr>
            <w:tcW w:w="1544" w:type="dxa"/>
            <w:noWrap/>
            <w:vAlign w:val="center"/>
          </w:tcPr>
          <w:p>
            <w:pPr>
              <w:jc w:val="center"/>
              <w:rPr>
                <w:color w:val="1C1C1C"/>
              </w:rPr>
            </w:pPr>
            <w:r>
              <w:rPr>
                <w:rFonts w:hint="eastAsia"/>
                <w:color w:val="1C1C1C"/>
              </w:rPr>
              <w:t>常州市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27</w:t>
            </w:r>
          </w:p>
        </w:tc>
        <w:tc>
          <w:tcPr>
            <w:tcW w:w="2330" w:type="dxa"/>
            <w:noWrap/>
            <w:vAlign w:val="center"/>
          </w:tcPr>
          <w:p>
            <w:pPr>
              <w:jc w:val="center"/>
              <w:rPr>
                <w:color w:val="1C1C1C"/>
              </w:rPr>
            </w:pPr>
            <w:r>
              <w:rPr>
                <w:rFonts w:hint="eastAsia"/>
                <w:color w:val="1C1C1C"/>
              </w:rPr>
              <w:t>江苏省</w:t>
            </w:r>
          </w:p>
        </w:tc>
        <w:tc>
          <w:tcPr>
            <w:tcW w:w="1544" w:type="dxa"/>
            <w:noWrap/>
            <w:vAlign w:val="center"/>
          </w:tcPr>
          <w:p>
            <w:pPr>
              <w:jc w:val="center"/>
              <w:rPr>
                <w:color w:val="1C1C1C"/>
              </w:rPr>
            </w:pPr>
            <w:r>
              <w:rPr>
                <w:rFonts w:hint="eastAsia"/>
                <w:color w:val="1C1C1C"/>
              </w:rPr>
              <w:t>苏州市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28</w:t>
            </w:r>
          </w:p>
        </w:tc>
        <w:tc>
          <w:tcPr>
            <w:tcW w:w="2330" w:type="dxa"/>
            <w:noWrap/>
            <w:vAlign w:val="center"/>
          </w:tcPr>
          <w:p>
            <w:pPr>
              <w:jc w:val="center"/>
              <w:rPr>
                <w:color w:val="1C1C1C"/>
              </w:rPr>
            </w:pPr>
            <w:r>
              <w:rPr>
                <w:rFonts w:hint="eastAsia"/>
                <w:color w:val="1C1C1C"/>
              </w:rPr>
              <w:t>江苏省</w:t>
            </w:r>
          </w:p>
        </w:tc>
        <w:tc>
          <w:tcPr>
            <w:tcW w:w="1544" w:type="dxa"/>
            <w:noWrap/>
            <w:vAlign w:val="center"/>
          </w:tcPr>
          <w:p>
            <w:pPr>
              <w:jc w:val="center"/>
              <w:rPr>
                <w:color w:val="1C1C1C"/>
              </w:rPr>
            </w:pPr>
            <w:r>
              <w:rPr>
                <w:rFonts w:hint="eastAsia"/>
                <w:color w:val="1C1C1C"/>
              </w:rPr>
              <w:t>南通市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29</w:t>
            </w:r>
          </w:p>
        </w:tc>
        <w:tc>
          <w:tcPr>
            <w:tcW w:w="2330" w:type="dxa"/>
            <w:noWrap/>
            <w:vAlign w:val="center"/>
          </w:tcPr>
          <w:p>
            <w:pPr>
              <w:jc w:val="center"/>
              <w:rPr>
                <w:color w:val="1C1C1C"/>
              </w:rPr>
            </w:pPr>
            <w:r>
              <w:rPr>
                <w:rFonts w:hint="eastAsia"/>
                <w:color w:val="1C1C1C"/>
              </w:rPr>
              <w:t>江苏省</w:t>
            </w:r>
          </w:p>
        </w:tc>
        <w:tc>
          <w:tcPr>
            <w:tcW w:w="1544" w:type="dxa"/>
            <w:noWrap/>
            <w:vAlign w:val="center"/>
          </w:tcPr>
          <w:p>
            <w:pPr>
              <w:jc w:val="center"/>
              <w:rPr>
                <w:color w:val="1C1C1C"/>
              </w:rPr>
            </w:pPr>
            <w:r>
              <w:rPr>
                <w:rFonts w:hint="eastAsia"/>
                <w:color w:val="1C1C1C"/>
              </w:rPr>
              <w:t>盐城市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30</w:t>
            </w:r>
          </w:p>
        </w:tc>
        <w:tc>
          <w:tcPr>
            <w:tcW w:w="2330" w:type="dxa"/>
            <w:noWrap/>
            <w:vAlign w:val="center"/>
          </w:tcPr>
          <w:p>
            <w:pPr>
              <w:jc w:val="center"/>
              <w:rPr>
                <w:color w:val="1C1C1C"/>
              </w:rPr>
            </w:pPr>
            <w:r>
              <w:rPr>
                <w:rFonts w:hint="eastAsia"/>
                <w:color w:val="1C1C1C"/>
              </w:rPr>
              <w:t>浙江省</w:t>
            </w:r>
          </w:p>
        </w:tc>
        <w:tc>
          <w:tcPr>
            <w:tcW w:w="1544" w:type="dxa"/>
            <w:noWrap/>
            <w:vAlign w:val="center"/>
          </w:tcPr>
          <w:p>
            <w:pPr>
              <w:jc w:val="center"/>
              <w:rPr>
                <w:color w:val="1C1C1C"/>
              </w:rPr>
            </w:pPr>
            <w:r>
              <w:rPr>
                <w:rFonts w:hint="eastAsia"/>
                <w:color w:val="1C1C1C"/>
              </w:rPr>
              <w:t>杭州市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31</w:t>
            </w:r>
          </w:p>
        </w:tc>
        <w:tc>
          <w:tcPr>
            <w:tcW w:w="2330" w:type="dxa"/>
            <w:noWrap/>
            <w:vAlign w:val="center"/>
          </w:tcPr>
          <w:p>
            <w:pPr>
              <w:jc w:val="center"/>
              <w:rPr>
                <w:color w:val="1C1C1C"/>
              </w:rPr>
            </w:pPr>
            <w:r>
              <w:rPr>
                <w:rFonts w:hint="eastAsia"/>
                <w:color w:val="1C1C1C"/>
              </w:rPr>
              <w:t>浙江省</w:t>
            </w:r>
          </w:p>
        </w:tc>
        <w:tc>
          <w:tcPr>
            <w:tcW w:w="1544" w:type="dxa"/>
            <w:noWrap/>
            <w:vAlign w:val="center"/>
          </w:tcPr>
          <w:p>
            <w:pPr>
              <w:jc w:val="center"/>
              <w:rPr>
                <w:color w:val="1C1C1C"/>
              </w:rPr>
            </w:pPr>
            <w:r>
              <w:rPr>
                <w:rFonts w:hint="eastAsia"/>
                <w:color w:val="1C1C1C"/>
              </w:rPr>
              <w:t>宁波市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32</w:t>
            </w:r>
          </w:p>
        </w:tc>
        <w:tc>
          <w:tcPr>
            <w:tcW w:w="2330" w:type="dxa"/>
            <w:noWrap/>
            <w:vAlign w:val="center"/>
          </w:tcPr>
          <w:p>
            <w:pPr>
              <w:jc w:val="center"/>
              <w:rPr>
                <w:color w:val="1C1C1C"/>
              </w:rPr>
            </w:pPr>
            <w:r>
              <w:rPr>
                <w:rFonts w:hint="eastAsia"/>
                <w:color w:val="1C1C1C"/>
              </w:rPr>
              <w:t>浙江省</w:t>
            </w:r>
          </w:p>
        </w:tc>
        <w:tc>
          <w:tcPr>
            <w:tcW w:w="1544" w:type="dxa"/>
            <w:noWrap/>
            <w:vAlign w:val="center"/>
          </w:tcPr>
          <w:p>
            <w:pPr>
              <w:jc w:val="center"/>
              <w:rPr>
                <w:color w:val="1C1C1C"/>
              </w:rPr>
            </w:pPr>
            <w:r>
              <w:rPr>
                <w:rFonts w:hint="eastAsia"/>
                <w:color w:val="1C1C1C"/>
              </w:rPr>
              <w:t>温州市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33</w:t>
            </w:r>
          </w:p>
        </w:tc>
        <w:tc>
          <w:tcPr>
            <w:tcW w:w="2330" w:type="dxa"/>
            <w:noWrap/>
            <w:vAlign w:val="center"/>
          </w:tcPr>
          <w:p>
            <w:pPr>
              <w:jc w:val="center"/>
              <w:rPr>
                <w:color w:val="1C1C1C"/>
              </w:rPr>
            </w:pPr>
            <w:r>
              <w:rPr>
                <w:rFonts w:hint="eastAsia"/>
                <w:color w:val="1C1C1C"/>
              </w:rPr>
              <w:t>浙江省</w:t>
            </w:r>
          </w:p>
        </w:tc>
        <w:tc>
          <w:tcPr>
            <w:tcW w:w="1544" w:type="dxa"/>
            <w:noWrap/>
            <w:vAlign w:val="center"/>
          </w:tcPr>
          <w:p>
            <w:pPr>
              <w:jc w:val="center"/>
              <w:rPr>
                <w:color w:val="1C1C1C"/>
              </w:rPr>
            </w:pPr>
            <w:r>
              <w:rPr>
                <w:rFonts w:hint="eastAsia"/>
                <w:color w:val="1C1C1C"/>
              </w:rPr>
              <w:t>嘉兴市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34</w:t>
            </w:r>
          </w:p>
        </w:tc>
        <w:tc>
          <w:tcPr>
            <w:tcW w:w="2330" w:type="dxa"/>
            <w:noWrap/>
            <w:vAlign w:val="center"/>
          </w:tcPr>
          <w:p>
            <w:pPr>
              <w:jc w:val="center"/>
              <w:rPr>
                <w:color w:val="1C1C1C"/>
              </w:rPr>
            </w:pPr>
            <w:r>
              <w:rPr>
                <w:rFonts w:hint="eastAsia"/>
                <w:color w:val="1C1C1C"/>
              </w:rPr>
              <w:t>浙江省</w:t>
            </w:r>
          </w:p>
        </w:tc>
        <w:tc>
          <w:tcPr>
            <w:tcW w:w="1544" w:type="dxa"/>
            <w:noWrap/>
            <w:vAlign w:val="center"/>
          </w:tcPr>
          <w:p>
            <w:pPr>
              <w:jc w:val="center"/>
              <w:rPr>
                <w:color w:val="1C1C1C"/>
              </w:rPr>
            </w:pPr>
            <w:r>
              <w:rPr>
                <w:rFonts w:hint="eastAsia"/>
                <w:color w:val="1C1C1C"/>
              </w:rPr>
              <w:t>绍兴市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35</w:t>
            </w:r>
          </w:p>
        </w:tc>
        <w:tc>
          <w:tcPr>
            <w:tcW w:w="2330" w:type="dxa"/>
            <w:noWrap/>
            <w:vAlign w:val="center"/>
          </w:tcPr>
          <w:p>
            <w:pPr>
              <w:jc w:val="center"/>
              <w:rPr>
                <w:color w:val="1C1C1C"/>
              </w:rPr>
            </w:pPr>
            <w:r>
              <w:rPr>
                <w:rFonts w:hint="eastAsia"/>
                <w:color w:val="1C1C1C"/>
              </w:rPr>
              <w:t>浙江省</w:t>
            </w:r>
          </w:p>
        </w:tc>
        <w:tc>
          <w:tcPr>
            <w:tcW w:w="1544" w:type="dxa"/>
            <w:noWrap/>
            <w:vAlign w:val="center"/>
          </w:tcPr>
          <w:p>
            <w:pPr>
              <w:jc w:val="center"/>
              <w:rPr>
                <w:color w:val="1C1C1C"/>
              </w:rPr>
            </w:pPr>
            <w:r>
              <w:rPr>
                <w:rFonts w:hint="eastAsia"/>
                <w:color w:val="1C1C1C"/>
              </w:rPr>
              <w:t>金华市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36</w:t>
            </w:r>
          </w:p>
        </w:tc>
        <w:tc>
          <w:tcPr>
            <w:tcW w:w="2330" w:type="dxa"/>
            <w:noWrap/>
            <w:vAlign w:val="center"/>
          </w:tcPr>
          <w:p>
            <w:pPr>
              <w:jc w:val="center"/>
              <w:rPr>
                <w:color w:val="1C1C1C"/>
              </w:rPr>
            </w:pPr>
            <w:r>
              <w:rPr>
                <w:rFonts w:hint="eastAsia"/>
                <w:color w:val="1C1C1C"/>
              </w:rPr>
              <w:t>浙江省</w:t>
            </w:r>
          </w:p>
        </w:tc>
        <w:tc>
          <w:tcPr>
            <w:tcW w:w="1544" w:type="dxa"/>
            <w:noWrap/>
            <w:vAlign w:val="center"/>
          </w:tcPr>
          <w:p>
            <w:pPr>
              <w:jc w:val="center"/>
              <w:rPr>
                <w:color w:val="1C1C1C"/>
              </w:rPr>
            </w:pPr>
            <w:r>
              <w:rPr>
                <w:rFonts w:hint="eastAsia"/>
                <w:color w:val="1C1C1C"/>
              </w:rPr>
              <w:t>台州市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37</w:t>
            </w:r>
          </w:p>
        </w:tc>
        <w:tc>
          <w:tcPr>
            <w:tcW w:w="2330" w:type="dxa"/>
            <w:noWrap/>
            <w:vAlign w:val="center"/>
          </w:tcPr>
          <w:p>
            <w:pPr>
              <w:jc w:val="center"/>
              <w:rPr>
                <w:color w:val="1C1C1C"/>
              </w:rPr>
            </w:pPr>
            <w:r>
              <w:rPr>
                <w:rFonts w:hint="eastAsia"/>
                <w:color w:val="1C1C1C"/>
              </w:rPr>
              <w:t>安徽省</w:t>
            </w:r>
          </w:p>
        </w:tc>
        <w:tc>
          <w:tcPr>
            <w:tcW w:w="1544" w:type="dxa"/>
            <w:noWrap/>
            <w:vAlign w:val="center"/>
          </w:tcPr>
          <w:p>
            <w:pPr>
              <w:jc w:val="center"/>
              <w:rPr>
                <w:color w:val="1C1C1C"/>
              </w:rPr>
            </w:pPr>
            <w:r>
              <w:rPr>
                <w:rFonts w:hint="eastAsia"/>
                <w:color w:val="1C1C1C"/>
              </w:rPr>
              <w:t>合肥市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38</w:t>
            </w:r>
          </w:p>
        </w:tc>
        <w:tc>
          <w:tcPr>
            <w:tcW w:w="2330" w:type="dxa"/>
            <w:noWrap/>
            <w:vAlign w:val="center"/>
          </w:tcPr>
          <w:p>
            <w:pPr>
              <w:jc w:val="center"/>
              <w:rPr>
                <w:color w:val="1C1C1C"/>
              </w:rPr>
            </w:pPr>
            <w:r>
              <w:rPr>
                <w:rFonts w:hint="eastAsia"/>
                <w:color w:val="1C1C1C"/>
              </w:rPr>
              <w:t>安徽省</w:t>
            </w:r>
          </w:p>
        </w:tc>
        <w:tc>
          <w:tcPr>
            <w:tcW w:w="1544" w:type="dxa"/>
            <w:noWrap/>
            <w:vAlign w:val="center"/>
          </w:tcPr>
          <w:p>
            <w:pPr>
              <w:jc w:val="center"/>
              <w:rPr>
                <w:color w:val="1C1C1C"/>
              </w:rPr>
            </w:pPr>
            <w:r>
              <w:rPr>
                <w:rFonts w:hint="eastAsia"/>
                <w:color w:val="1C1C1C"/>
              </w:rPr>
              <w:t>芜湖市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39</w:t>
            </w:r>
          </w:p>
        </w:tc>
        <w:tc>
          <w:tcPr>
            <w:tcW w:w="2330" w:type="dxa"/>
            <w:noWrap/>
            <w:vAlign w:val="center"/>
          </w:tcPr>
          <w:p>
            <w:pPr>
              <w:jc w:val="center"/>
              <w:rPr>
                <w:color w:val="1C1C1C"/>
              </w:rPr>
            </w:pPr>
            <w:r>
              <w:rPr>
                <w:rFonts w:hint="eastAsia"/>
                <w:color w:val="1C1C1C"/>
              </w:rPr>
              <w:t>安徽省</w:t>
            </w:r>
          </w:p>
        </w:tc>
        <w:tc>
          <w:tcPr>
            <w:tcW w:w="1544" w:type="dxa"/>
            <w:noWrap/>
            <w:vAlign w:val="center"/>
          </w:tcPr>
          <w:p>
            <w:pPr>
              <w:jc w:val="center"/>
              <w:rPr>
                <w:color w:val="1C1C1C"/>
              </w:rPr>
            </w:pPr>
            <w:r>
              <w:rPr>
                <w:rFonts w:hint="eastAsia"/>
                <w:color w:val="1C1C1C"/>
              </w:rPr>
              <w:t>阜阳市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40</w:t>
            </w:r>
          </w:p>
        </w:tc>
        <w:tc>
          <w:tcPr>
            <w:tcW w:w="2330" w:type="dxa"/>
            <w:noWrap/>
            <w:vAlign w:val="center"/>
          </w:tcPr>
          <w:p>
            <w:pPr>
              <w:jc w:val="center"/>
              <w:rPr>
                <w:color w:val="1C1C1C"/>
              </w:rPr>
            </w:pPr>
            <w:r>
              <w:rPr>
                <w:rFonts w:hint="eastAsia"/>
                <w:color w:val="1C1C1C"/>
              </w:rPr>
              <w:t>福建省</w:t>
            </w:r>
          </w:p>
        </w:tc>
        <w:tc>
          <w:tcPr>
            <w:tcW w:w="1544" w:type="dxa"/>
            <w:noWrap/>
            <w:vAlign w:val="center"/>
          </w:tcPr>
          <w:p>
            <w:pPr>
              <w:jc w:val="center"/>
              <w:rPr>
                <w:color w:val="1C1C1C"/>
              </w:rPr>
            </w:pPr>
            <w:r>
              <w:rPr>
                <w:rFonts w:hint="eastAsia"/>
                <w:color w:val="1C1C1C"/>
              </w:rPr>
              <w:t>福州市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41</w:t>
            </w:r>
          </w:p>
        </w:tc>
        <w:tc>
          <w:tcPr>
            <w:tcW w:w="2330" w:type="dxa"/>
            <w:noWrap/>
            <w:vAlign w:val="center"/>
          </w:tcPr>
          <w:p>
            <w:pPr>
              <w:jc w:val="center"/>
              <w:rPr>
                <w:color w:val="1C1C1C"/>
              </w:rPr>
            </w:pPr>
            <w:r>
              <w:rPr>
                <w:rFonts w:hint="eastAsia"/>
                <w:color w:val="1C1C1C"/>
              </w:rPr>
              <w:t>福建省</w:t>
            </w:r>
          </w:p>
        </w:tc>
        <w:tc>
          <w:tcPr>
            <w:tcW w:w="1544" w:type="dxa"/>
            <w:noWrap/>
            <w:vAlign w:val="center"/>
          </w:tcPr>
          <w:p>
            <w:pPr>
              <w:jc w:val="center"/>
              <w:rPr>
                <w:color w:val="1C1C1C"/>
              </w:rPr>
            </w:pPr>
            <w:r>
              <w:rPr>
                <w:rFonts w:hint="eastAsia"/>
                <w:color w:val="1C1C1C"/>
              </w:rPr>
              <w:t>厦门市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42</w:t>
            </w:r>
          </w:p>
        </w:tc>
        <w:tc>
          <w:tcPr>
            <w:tcW w:w="2330" w:type="dxa"/>
            <w:noWrap/>
            <w:vAlign w:val="center"/>
          </w:tcPr>
          <w:p>
            <w:pPr>
              <w:jc w:val="center"/>
              <w:rPr>
                <w:color w:val="1C1C1C"/>
              </w:rPr>
            </w:pPr>
            <w:r>
              <w:rPr>
                <w:rFonts w:hint="eastAsia"/>
                <w:color w:val="1C1C1C"/>
              </w:rPr>
              <w:t>福建省</w:t>
            </w:r>
          </w:p>
        </w:tc>
        <w:tc>
          <w:tcPr>
            <w:tcW w:w="1544" w:type="dxa"/>
            <w:noWrap/>
            <w:vAlign w:val="center"/>
          </w:tcPr>
          <w:p>
            <w:pPr>
              <w:jc w:val="center"/>
              <w:rPr>
                <w:color w:val="1C1C1C"/>
              </w:rPr>
            </w:pPr>
            <w:r>
              <w:rPr>
                <w:rFonts w:hint="eastAsia"/>
                <w:color w:val="1C1C1C"/>
              </w:rPr>
              <w:t>泉州市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43</w:t>
            </w:r>
          </w:p>
        </w:tc>
        <w:tc>
          <w:tcPr>
            <w:tcW w:w="2330" w:type="dxa"/>
            <w:noWrap/>
            <w:vAlign w:val="center"/>
          </w:tcPr>
          <w:p>
            <w:pPr>
              <w:jc w:val="center"/>
              <w:rPr>
                <w:color w:val="1C1C1C"/>
              </w:rPr>
            </w:pPr>
            <w:r>
              <w:rPr>
                <w:rFonts w:hint="eastAsia"/>
                <w:color w:val="1C1C1C"/>
              </w:rPr>
              <w:t>江西省</w:t>
            </w:r>
          </w:p>
        </w:tc>
        <w:tc>
          <w:tcPr>
            <w:tcW w:w="1544" w:type="dxa"/>
            <w:noWrap/>
            <w:vAlign w:val="center"/>
          </w:tcPr>
          <w:p>
            <w:pPr>
              <w:jc w:val="center"/>
              <w:rPr>
                <w:color w:val="1C1C1C"/>
              </w:rPr>
            </w:pPr>
            <w:r>
              <w:rPr>
                <w:rFonts w:hint="eastAsia"/>
                <w:color w:val="1C1C1C"/>
              </w:rPr>
              <w:t>南昌市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44</w:t>
            </w:r>
          </w:p>
        </w:tc>
        <w:tc>
          <w:tcPr>
            <w:tcW w:w="2330" w:type="dxa"/>
            <w:noWrap/>
            <w:vAlign w:val="center"/>
          </w:tcPr>
          <w:p>
            <w:pPr>
              <w:jc w:val="center"/>
              <w:rPr>
                <w:color w:val="1C1C1C"/>
              </w:rPr>
            </w:pPr>
            <w:r>
              <w:rPr>
                <w:rFonts w:hint="eastAsia"/>
                <w:color w:val="1C1C1C"/>
              </w:rPr>
              <w:t>江西省</w:t>
            </w:r>
          </w:p>
        </w:tc>
        <w:tc>
          <w:tcPr>
            <w:tcW w:w="1544" w:type="dxa"/>
            <w:noWrap/>
            <w:vAlign w:val="center"/>
          </w:tcPr>
          <w:p>
            <w:pPr>
              <w:jc w:val="center"/>
              <w:rPr>
                <w:color w:val="1C1C1C"/>
              </w:rPr>
            </w:pPr>
            <w:r>
              <w:rPr>
                <w:rFonts w:hint="eastAsia"/>
                <w:color w:val="1C1C1C"/>
              </w:rPr>
              <w:t>赣州市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45</w:t>
            </w:r>
          </w:p>
        </w:tc>
        <w:tc>
          <w:tcPr>
            <w:tcW w:w="2330" w:type="dxa"/>
            <w:noWrap/>
            <w:vAlign w:val="center"/>
          </w:tcPr>
          <w:p>
            <w:pPr>
              <w:jc w:val="center"/>
              <w:rPr>
                <w:color w:val="1C1C1C"/>
              </w:rPr>
            </w:pPr>
            <w:r>
              <w:rPr>
                <w:rFonts w:hint="eastAsia"/>
                <w:color w:val="1C1C1C"/>
              </w:rPr>
              <w:t>江西省</w:t>
            </w:r>
          </w:p>
        </w:tc>
        <w:tc>
          <w:tcPr>
            <w:tcW w:w="1544" w:type="dxa"/>
            <w:noWrap/>
            <w:vAlign w:val="center"/>
          </w:tcPr>
          <w:p>
            <w:pPr>
              <w:jc w:val="center"/>
              <w:rPr>
                <w:color w:val="1C1C1C"/>
              </w:rPr>
            </w:pPr>
            <w:r>
              <w:rPr>
                <w:rFonts w:hint="eastAsia"/>
                <w:color w:val="1C1C1C"/>
              </w:rPr>
              <w:t>上饶市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46</w:t>
            </w:r>
          </w:p>
        </w:tc>
        <w:tc>
          <w:tcPr>
            <w:tcW w:w="2330" w:type="dxa"/>
            <w:noWrap/>
            <w:vAlign w:val="center"/>
          </w:tcPr>
          <w:p>
            <w:pPr>
              <w:jc w:val="center"/>
              <w:rPr>
                <w:color w:val="1C1C1C"/>
              </w:rPr>
            </w:pPr>
            <w:r>
              <w:rPr>
                <w:rFonts w:hint="eastAsia"/>
                <w:color w:val="1C1C1C"/>
              </w:rPr>
              <w:t>山东省</w:t>
            </w:r>
          </w:p>
        </w:tc>
        <w:tc>
          <w:tcPr>
            <w:tcW w:w="1544" w:type="dxa"/>
            <w:noWrap/>
            <w:vAlign w:val="center"/>
          </w:tcPr>
          <w:p>
            <w:pPr>
              <w:jc w:val="center"/>
              <w:rPr>
                <w:color w:val="1C1C1C"/>
              </w:rPr>
            </w:pPr>
            <w:r>
              <w:rPr>
                <w:rFonts w:hint="eastAsia"/>
                <w:color w:val="1C1C1C"/>
              </w:rPr>
              <w:t>济南市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47</w:t>
            </w:r>
          </w:p>
        </w:tc>
        <w:tc>
          <w:tcPr>
            <w:tcW w:w="2330" w:type="dxa"/>
            <w:noWrap/>
            <w:vAlign w:val="center"/>
          </w:tcPr>
          <w:p>
            <w:pPr>
              <w:jc w:val="center"/>
              <w:rPr>
                <w:color w:val="1C1C1C"/>
              </w:rPr>
            </w:pPr>
            <w:r>
              <w:rPr>
                <w:rFonts w:hint="eastAsia"/>
                <w:color w:val="1C1C1C"/>
              </w:rPr>
              <w:t>山东省</w:t>
            </w:r>
          </w:p>
        </w:tc>
        <w:tc>
          <w:tcPr>
            <w:tcW w:w="1544" w:type="dxa"/>
            <w:noWrap/>
            <w:vAlign w:val="center"/>
          </w:tcPr>
          <w:p>
            <w:pPr>
              <w:jc w:val="center"/>
              <w:rPr>
                <w:color w:val="1C1C1C"/>
              </w:rPr>
            </w:pPr>
            <w:r>
              <w:rPr>
                <w:rFonts w:hint="eastAsia"/>
                <w:color w:val="1C1C1C"/>
              </w:rPr>
              <w:t>青岛市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48</w:t>
            </w:r>
          </w:p>
        </w:tc>
        <w:tc>
          <w:tcPr>
            <w:tcW w:w="2330" w:type="dxa"/>
            <w:noWrap/>
            <w:vAlign w:val="center"/>
          </w:tcPr>
          <w:p>
            <w:pPr>
              <w:jc w:val="center"/>
              <w:rPr>
                <w:color w:val="1C1C1C"/>
              </w:rPr>
            </w:pPr>
            <w:r>
              <w:rPr>
                <w:rFonts w:hint="eastAsia"/>
                <w:color w:val="1C1C1C"/>
              </w:rPr>
              <w:t>山东省</w:t>
            </w:r>
          </w:p>
        </w:tc>
        <w:tc>
          <w:tcPr>
            <w:tcW w:w="1544" w:type="dxa"/>
            <w:noWrap/>
            <w:vAlign w:val="center"/>
          </w:tcPr>
          <w:p>
            <w:pPr>
              <w:jc w:val="center"/>
              <w:rPr>
                <w:color w:val="1C1C1C"/>
              </w:rPr>
            </w:pPr>
            <w:r>
              <w:rPr>
                <w:rFonts w:hint="eastAsia"/>
                <w:color w:val="1C1C1C"/>
              </w:rPr>
              <w:t>淄博市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49</w:t>
            </w:r>
          </w:p>
        </w:tc>
        <w:tc>
          <w:tcPr>
            <w:tcW w:w="2330" w:type="dxa"/>
            <w:noWrap/>
            <w:vAlign w:val="center"/>
          </w:tcPr>
          <w:p>
            <w:pPr>
              <w:jc w:val="center"/>
              <w:rPr>
                <w:color w:val="1C1C1C"/>
              </w:rPr>
            </w:pPr>
            <w:r>
              <w:rPr>
                <w:rFonts w:hint="eastAsia"/>
                <w:color w:val="1C1C1C"/>
              </w:rPr>
              <w:t>山东省</w:t>
            </w:r>
          </w:p>
        </w:tc>
        <w:tc>
          <w:tcPr>
            <w:tcW w:w="1544" w:type="dxa"/>
            <w:noWrap/>
            <w:vAlign w:val="center"/>
          </w:tcPr>
          <w:p>
            <w:pPr>
              <w:jc w:val="center"/>
              <w:rPr>
                <w:color w:val="1C1C1C"/>
              </w:rPr>
            </w:pPr>
            <w:r>
              <w:rPr>
                <w:rFonts w:hint="eastAsia"/>
                <w:color w:val="1C1C1C"/>
              </w:rPr>
              <w:t>烟台市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50</w:t>
            </w:r>
          </w:p>
        </w:tc>
        <w:tc>
          <w:tcPr>
            <w:tcW w:w="2330" w:type="dxa"/>
            <w:noWrap/>
            <w:vAlign w:val="center"/>
          </w:tcPr>
          <w:p>
            <w:pPr>
              <w:jc w:val="center"/>
              <w:rPr>
                <w:color w:val="1C1C1C"/>
              </w:rPr>
            </w:pPr>
            <w:r>
              <w:rPr>
                <w:rFonts w:hint="eastAsia"/>
                <w:color w:val="1C1C1C"/>
              </w:rPr>
              <w:t>山东省</w:t>
            </w:r>
          </w:p>
        </w:tc>
        <w:tc>
          <w:tcPr>
            <w:tcW w:w="1544" w:type="dxa"/>
            <w:noWrap/>
            <w:vAlign w:val="center"/>
          </w:tcPr>
          <w:p>
            <w:pPr>
              <w:jc w:val="center"/>
              <w:rPr>
                <w:color w:val="1C1C1C"/>
              </w:rPr>
            </w:pPr>
            <w:r>
              <w:rPr>
                <w:rFonts w:hint="eastAsia"/>
                <w:color w:val="1C1C1C"/>
              </w:rPr>
              <w:t>潍坊市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51</w:t>
            </w:r>
          </w:p>
        </w:tc>
        <w:tc>
          <w:tcPr>
            <w:tcW w:w="2330" w:type="dxa"/>
            <w:noWrap/>
            <w:vAlign w:val="center"/>
          </w:tcPr>
          <w:p>
            <w:pPr>
              <w:jc w:val="center"/>
              <w:rPr>
                <w:color w:val="1C1C1C"/>
              </w:rPr>
            </w:pPr>
            <w:r>
              <w:rPr>
                <w:rFonts w:hint="eastAsia"/>
                <w:color w:val="1C1C1C"/>
              </w:rPr>
              <w:t>山东省</w:t>
            </w:r>
          </w:p>
        </w:tc>
        <w:tc>
          <w:tcPr>
            <w:tcW w:w="1544" w:type="dxa"/>
            <w:noWrap/>
            <w:vAlign w:val="center"/>
          </w:tcPr>
          <w:p>
            <w:pPr>
              <w:jc w:val="center"/>
              <w:rPr>
                <w:color w:val="1C1C1C"/>
              </w:rPr>
            </w:pPr>
            <w:r>
              <w:rPr>
                <w:rFonts w:hint="eastAsia"/>
                <w:color w:val="1C1C1C"/>
              </w:rPr>
              <w:t>济宁市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52</w:t>
            </w:r>
          </w:p>
        </w:tc>
        <w:tc>
          <w:tcPr>
            <w:tcW w:w="2330" w:type="dxa"/>
            <w:noWrap/>
            <w:vAlign w:val="center"/>
          </w:tcPr>
          <w:p>
            <w:pPr>
              <w:jc w:val="center"/>
              <w:rPr>
                <w:color w:val="1C1C1C"/>
              </w:rPr>
            </w:pPr>
            <w:r>
              <w:rPr>
                <w:rFonts w:hint="eastAsia"/>
                <w:color w:val="1C1C1C"/>
              </w:rPr>
              <w:t>山东省</w:t>
            </w:r>
          </w:p>
        </w:tc>
        <w:tc>
          <w:tcPr>
            <w:tcW w:w="1544" w:type="dxa"/>
            <w:noWrap/>
            <w:vAlign w:val="center"/>
          </w:tcPr>
          <w:p>
            <w:pPr>
              <w:jc w:val="center"/>
              <w:rPr>
                <w:color w:val="1C1C1C"/>
              </w:rPr>
            </w:pPr>
            <w:r>
              <w:rPr>
                <w:rFonts w:hint="eastAsia"/>
                <w:color w:val="1C1C1C"/>
              </w:rPr>
              <w:t>临沂市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53</w:t>
            </w:r>
          </w:p>
        </w:tc>
        <w:tc>
          <w:tcPr>
            <w:tcW w:w="2330" w:type="dxa"/>
            <w:noWrap/>
            <w:vAlign w:val="center"/>
          </w:tcPr>
          <w:p>
            <w:pPr>
              <w:jc w:val="center"/>
              <w:rPr>
                <w:color w:val="1C1C1C"/>
              </w:rPr>
            </w:pPr>
            <w:r>
              <w:rPr>
                <w:rFonts w:hint="eastAsia"/>
                <w:color w:val="1C1C1C"/>
              </w:rPr>
              <w:t>河南省</w:t>
            </w:r>
          </w:p>
        </w:tc>
        <w:tc>
          <w:tcPr>
            <w:tcW w:w="1544" w:type="dxa"/>
            <w:noWrap/>
            <w:vAlign w:val="center"/>
          </w:tcPr>
          <w:p>
            <w:pPr>
              <w:jc w:val="center"/>
              <w:rPr>
                <w:color w:val="1C1C1C"/>
              </w:rPr>
            </w:pPr>
            <w:r>
              <w:rPr>
                <w:rFonts w:hint="eastAsia"/>
                <w:color w:val="1C1C1C"/>
              </w:rPr>
              <w:t>郑州市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54</w:t>
            </w:r>
          </w:p>
        </w:tc>
        <w:tc>
          <w:tcPr>
            <w:tcW w:w="2330" w:type="dxa"/>
            <w:noWrap/>
            <w:vAlign w:val="center"/>
          </w:tcPr>
          <w:p>
            <w:pPr>
              <w:jc w:val="center"/>
              <w:rPr>
                <w:color w:val="1C1C1C"/>
              </w:rPr>
            </w:pPr>
            <w:r>
              <w:rPr>
                <w:rFonts w:hint="eastAsia"/>
                <w:color w:val="1C1C1C"/>
              </w:rPr>
              <w:t>河南省</w:t>
            </w:r>
          </w:p>
        </w:tc>
        <w:tc>
          <w:tcPr>
            <w:tcW w:w="1544" w:type="dxa"/>
            <w:noWrap/>
            <w:vAlign w:val="center"/>
          </w:tcPr>
          <w:p>
            <w:pPr>
              <w:jc w:val="center"/>
              <w:rPr>
                <w:color w:val="1C1C1C"/>
              </w:rPr>
            </w:pPr>
            <w:r>
              <w:rPr>
                <w:rFonts w:hint="eastAsia"/>
                <w:color w:val="1C1C1C"/>
              </w:rPr>
              <w:t>洛阳市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55</w:t>
            </w:r>
          </w:p>
        </w:tc>
        <w:tc>
          <w:tcPr>
            <w:tcW w:w="2330" w:type="dxa"/>
            <w:noWrap/>
            <w:vAlign w:val="center"/>
          </w:tcPr>
          <w:p>
            <w:pPr>
              <w:jc w:val="center"/>
              <w:rPr>
                <w:color w:val="1C1C1C"/>
              </w:rPr>
            </w:pPr>
            <w:r>
              <w:rPr>
                <w:rFonts w:hint="eastAsia"/>
                <w:color w:val="1C1C1C"/>
              </w:rPr>
              <w:t>河南省</w:t>
            </w:r>
          </w:p>
        </w:tc>
        <w:tc>
          <w:tcPr>
            <w:tcW w:w="1544" w:type="dxa"/>
            <w:noWrap/>
            <w:vAlign w:val="center"/>
          </w:tcPr>
          <w:p>
            <w:pPr>
              <w:jc w:val="center"/>
              <w:rPr>
                <w:color w:val="1C1C1C"/>
              </w:rPr>
            </w:pPr>
            <w:r>
              <w:rPr>
                <w:rFonts w:hint="eastAsia"/>
                <w:color w:val="1C1C1C"/>
              </w:rPr>
              <w:t>南阳市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56</w:t>
            </w:r>
          </w:p>
        </w:tc>
        <w:tc>
          <w:tcPr>
            <w:tcW w:w="2330" w:type="dxa"/>
            <w:noWrap/>
            <w:vAlign w:val="center"/>
          </w:tcPr>
          <w:p>
            <w:pPr>
              <w:jc w:val="center"/>
              <w:rPr>
                <w:color w:val="1C1C1C"/>
              </w:rPr>
            </w:pPr>
            <w:r>
              <w:rPr>
                <w:rFonts w:hint="eastAsia"/>
                <w:color w:val="1C1C1C"/>
              </w:rPr>
              <w:t>湖北省</w:t>
            </w:r>
          </w:p>
        </w:tc>
        <w:tc>
          <w:tcPr>
            <w:tcW w:w="1544" w:type="dxa"/>
            <w:noWrap/>
            <w:vAlign w:val="center"/>
          </w:tcPr>
          <w:p>
            <w:pPr>
              <w:jc w:val="center"/>
              <w:rPr>
                <w:color w:val="1C1C1C"/>
              </w:rPr>
            </w:pPr>
            <w:r>
              <w:rPr>
                <w:rFonts w:hint="eastAsia"/>
                <w:color w:val="1C1C1C"/>
              </w:rPr>
              <w:t>武汉市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57</w:t>
            </w:r>
          </w:p>
        </w:tc>
        <w:tc>
          <w:tcPr>
            <w:tcW w:w="2330" w:type="dxa"/>
            <w:noWrap/>
            <w:vAlign w:val="center"/>
          </w:tcPr>
          <w:p>
            <w:pPr>
              <w:jc w:val="center"/>
              <w:rPr>
                <w:color w:val="1C1C1C"/>
              </w:rPr>
            </w:pPr>
            <w:r>
              <w:rPr>
                <w:rFonts w:hint="eastAsia"/>
                <w:color w:val="1C1C1C"/>
              </w:rPr>
              <w:t>湖北省</w:t>
            </w:r>
          </w:p>
        </w:tc>
        <w:tc>
          <w:tcPr>
            <w:tcW w:w="1544" w:type="dxa"/>
            <w:noWrap/>
            <w:vAlign w:val="center"/>
          </w:tcPr>
          <w:p>
            <w:pPr>
              <w:jc w:val="center"/>
              <w:rPr>
                <w:color w:val="1C1C1C"/>
              </w:rPr>
            </w:pPr>
            <w:r>
              <w:rPr>
                <w:rFonts w:hint="eastAsia"/>
                <w:color w:val="1C1C1C"/>
              </w:rPr>
              <w:t>宜昌市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58</w:t>
            </w:r>
          </w:p>
        </w:tc>
        <w:tc>
          <w:tcPr>
            <w:tcW w:w="2330" w:type="dxa"/>
            <w:noWrap/>
            <w:vAlign w:val="center"/>
          </w:tcPr>
          <w:p>
            <w:pPr>
              <w:jc w:val="center"/>
              <w:rPr>
                <w:color w:val="1C1C1C"/>
              </w:rPr>
            </w:pPr>
            <w:r>
              <w:rPr>
                <w:rFonts w:hint="eastAsia"/>
                <w:color w:val="1C1C1C"/>
              </w:rPr>
              <w:t>湖北省</w:t>
            </w:r>
          </w:p>
        </w:tc>
        <w:tc>
          <w:tcPr>
            <w:tcW w:w="1544" w:type="dxa"/>
            <w:noWrap/>
            <w:vAlign w:val="center"/>
          </w:tcPr>
          <w:p>
            <w:pPr>
              <w:jc w:val="center"/>
              <w:rPr>
                <w:color w:val="1C1C1C"/>
              </w:rPr>
            </w:pPr>
            <w:r>
              <w:rPr>
                <w:rFonts w:hint="eastAsia"/>
                <w:color w:val="1C1C1C"/>
              </w:rPr>
              <w:t>襄阳市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59</w:t>
            </w:r>
          </w:p>
        </w:tc>
        <w:tc>
          <w:tcPr>
            <w:tcW w:w="2330" w:type="dxa"/>
            <w:noWrap/>
            <w:vAlign w:val="center"/>
          </w:tcPr>
          <w:p>
            <w:pPr>
              <w:jc w:val="center"/>
              <w:rPr>
                <w:color w:val="1C1C1C"/>
              </w:rPr>
            </w:pPr>
            <w:r>
              <w:rPr>
                <w:rFonts w:hint="eastAsia"/>
                <w:color w:val="1C1C1C"/>
              </w:rPr>
              <w:t>湖南省</w:t>
            </w:r>
          </w:p>
        </w:tc>
        <w:tc>
          <w:tcPr>
            <w:tcW w:w="1544" w:type="dxa"/>
            <w:noWrap/>
            <w:vAlign w:val="center"/>
          </w:tcPr>
          <w:p>
            <w:pPr>
              <w:jc w:val="center"/>
              <w:rPr>
                <w:color w:val="1C1C1C"/>
              </w:rPr>
            </w:pPr>
            <w:r>
              <w:rPr>
                <w:rFonts w:hint="eastAsia"/>
                <w:color w:val="1C1C1C"/>
              </w:rPr>
              <w:t>长沙市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60</w:t>
            </w:r>
          </w:p>
        </w:tc>
        <w:tc>
          <w:tcPr>
            <w:tcW w:w="2330" w:type="dxa"/>
            <w:noWrap/>
            <w:vAlign w:val="center"/>
          </w:tcPr>
          <w:p>
            <w:pPr>
              <w:jc w:val="center"/>
              <w:rPr>
                <w:color w:val="1C1C1C"/>
              </w:rPr>
            </w:pPr>
            <w:r>
              <w:rPr>
                <w:rFonts w:hint="eastAsia"/>
                <w:color w:val="1C1C1C"/>
              </w:rPr>
              <w:t>湖南省</w:t>
            </w:r>
          </w:p>
        </w:tc>
        <w:tc>
          <w:tcPr>
            <w:tcW w:w="1544" w:type="dxa"/>
            <w:noWrap/>
            <w:vAlign w:val="center"/>
          </w:tcPr>
          <w:p>
            <w:pPr>
              <w:jc w:val="center"/>
              <w:rPr>
                <w:color w:val="1C1C1C"/>
              </w:rPr>
            </w:pPr>
            <w:r>
              <w:rPr>
                <w:rFonts w:hint="eastAsia"/>
                <w:color w:val="1C1C1C"/>
              </w:rPr>
              <w:t>衡阳市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61</w:t>
            </w:r>
          </w:p>
        </w:tc>
        <w:tc>
          <w:tcPr>
            <w:tcW w:w="2330" w:type="dxa"/>
            <w:noWrap/>
            <w:vAlign w:val="center"/>
          </w:tcPr>
          <w:p>
            <w:pPr>
              <w:jc w:val="center"/>
              <w:rPr>
                <w:color w:val="1C1C1C"/>
              </w:rPr>
            </w:pPr>
            <w:r>
              <w:rPr>
                <w:rFonts w:hint="eastAsia"/>
                <w:color w:val="1C1C1C"/>
              </w:rPr>
              <w:t>湖南省</w:t>
            </w:r>
          </w:p>
        </w:tc>
        <w:tc>
          <w:tcPr>
            <w:tcW w:w="1544" w:type="dxa"/>
            <w:noWrap/>
            <w:vAlign w:val="center"/>
          </w:tcPr>
          <w:p>
            <w:pPr>
              <w:jc w:val="center"/>
              <w:rPr>
                <w:color w:val="1C1C1C"/>
              </w:rPr>
            </w:pPr>
            <w:r>
              <w:rPr>
                <w:rFonts w:hint="eastAsia"/>
                <w:color w:val="1C1C1C"/>
              </w:rPr>
              <w:t>岳阳市</w:t>
            </w:r>
          </w:p>
        </w:tc>
        <w:tc>
          <w:tcPr>
            <w:tcW w:w="2681" w:type="dxa"/>
            <w:noWrap/>
            <w:vAlign w:val="center"/>
          </w:tcPr>
          <w:p>
            <w:pPr>
              <w:jc w:val="center"/>
              <w:rPr>
                <w:color w:val="1C1C1C"/>
              </w:rPr>
            </w:pPr>
            <w:r>
              <w:rPr>
                <w:rFonts w:hint="eastAsia"/>
                <w:color w:val="1C1C1C"/>
              </w:rPr>
              <w:t>中部</w:t>
            </w:r>
          </w:p>
        </w:tc>
        <w:tc>
          <w:tcPr>
            <w:tcW w:w="2681" w:type="dxa"/>
            <w:noWrap/>
            <w:vAlign w:val="center"/>
          </w:tcPr>
          <w:p>
            <w:pPr>
              <w:jc w:val="center"/>
              <w:rPr>
                <w:color w:val="1C1C1C"/>
              </w:rPr>
            </w:pPr>
            <w:r>
              <w:rPr>
                <w:rFonts w:hint="eastAsia"/>
                <w:color w:val="1C1C1C"/>
              </w:rPr>
              <w:t>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62</w:t>
            </w:r>
          </w:p>
        </w:tc>
        <w:tc>
          <w:tcPr>
            <w:tcW w:w="2330" w:type="dxa"/>
            <w:noWrap/>
            <w:vAlign w:val="center"/>
          </w:tcPr>
          <w:p>
            <w:pPr>
              <w:jc w:val="center"/>
              <w:rPr>
                <w:color w:val="1C1C1C"/>
              </w:rPr>
            </w:pPr>
            <w:r>
              <w:rPr>
                <w:rFonts w:hint="eastAsia"/>
                <w:color w:val="1C1C1C"/>
              </w:rPr>
              <w:t>广东省</w:t>
            </w:r>
          </w:p>
        </w:tc>
        <w:tc>
          <w:tcPr>
            <w:tcW w:w="1544" w:type="dxa"/>
            <w:noWrap/>
            <w:vAlign w:val="center"/>
          </w:tcPr>
          <w:p>
            <w:pPr>
              <w:jc w:val="center"/>
              <w:rPr>
                <w:color w:val="1C1C1C"/>
              </w:rPr>
            </w:pPr>
            <w:r>
              <w:rPr>
                <w:rFonts w:hint="eastAsia"/>
                <w:color w:val="1C1C1C"/>
              </w:rPr>
              <w:t>广州市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63</w:t>
            </w:r>
          </w:p>
        </w:tc>
        <w:tc>
          <w:tcPr>
            <w:tcW w:w="2330" w:type="dxa"/>
            <w:noWrap/>
            <w:vAlign w:val="center"/>
          </w:tcPr>
          <w:p>
            <w:pPr>
              <w:jc w:val="center"/>
              <w:rPr>
                <w:color w:val="1C1C1C"/>
              </w:rPr>
            </w:pPr>
            <w:r>
              <w:rPr>
                <w:rFonts w:hint="eastAsia"/>
                <w:color w:val="1C1C1C"/>
              </w:rPr>
              <w:t>广东省</w:t>
            </w:r>
          </w:p>
        </w:tc>
        <w:tc>
          <w:tcPr>
            <w:tcW w:w="1544" w:type="dxa"/>
            <w:noWrap/>
            <w:vAlign w:val="center"/>
          </w:tcPr>
          <w:p>
            <w:pPr>
              <w:jc w:val="center"/>
              <w:rPr>
                <w:color w:val="1C1C1C"/>
              </w:rPr>
            </w:pPr>
            <w:r>
              <w:rPr>
                <w:rFonts w:hint="eastAsia"/>
                <w:color w:val="1C1C1C"/>
              </w:rPr>
              <w:t>深圳市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64</w:t>
            </w:r>
          </w:p>
        </w:tc>
        <w:tc>
          <w:tcPr>
            <w:tcW w:w="2330" w:type="dxa"/>
            <w:noWrap/>
            <w:vAlign w:val="center"/>
          </w:tcPr>
          <w:p>
            <w:pPr>
              <w:jc w:val="center"/>
              <w:rPr>
                <w:color w:val="1C1C1C"/>
              </w:rPr>
            </w:pPr>
            <w:r>
              <w:rPr>
                <w:rFonts w:hint="eastAsia"/>
                <w:color w:val="1C1C1C"/>
              </w:rPr>
              <w:t>广东省</w:t>
            </w:r>
          </w:p>
        </w:tc>
        <w:tc>
          <w:tcPr>
            <w:tcW w:w="1544" w:type="dxa"/>
            <w:noWrap/>
            <w:vAlign w:val="center"/>
          </w:tcPr>
          <w:p>
            <w:pPr>
              <w:jc w:val="center"/>
              <w:rPr>
                <w:color w:val="1C1C1C"/>
              </w:rPr>
            </w:pPr>
            <w:r>
              <w:rPr>
                <w:rFonts w:hint="eastAsia"/>
                <w:color w:val="1C1C1C"/>
              </w:rPr>
              <w:t>汕头市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65</w:t>
            </w:r>
          </w:p>
        </w:tc>
        <w:tc>
          <w:tcPr>
            <w:tcW w:w="2330" w:type="dxa"/>
            <w:noWrap/>
            <w:vAlign w:val="center"/>
          </w:tcPr>
          <w:p>
            <w:pPr>
              <w:jc w:val="center"/>
              <w:rPr>
                <w:color w:val="1C1C1C"/>
              </w:rPr>
            </w:pPr>
            <w:r>
              <w:rPr>
                <w:rFonts w:hint="eastAsia"/>
                <w:color w:val="1C1C1C"/>
              </w:rPr>
              <w:t>广东省</w:t>
            </w:r>
          </w:p>
        </w:tc>
        <w:tc>
          <w:tcPr>
            <w:tcW w:w="1544" w:type="dxa"/>
            <w:noWrap/>
            <w:vAlign w:val="center"/>
          </w:tcPr>
          <w:p>
            <w:pPr>
              <w:jc w:val="center"/>
              <w:rPr>
                <w:color w:val="1C1C1C"/>
              </w:rPr>
            </w:pPr>
            <w:r>
              <w:rPr>
                <w:rFonts w:hint="eastAsia"/>
                <w:color w:val="1C1C1C"/>
              </w:rPr>
              <w:t>佛山市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66</w:t>
            </w:r>
          </w:p>
        </w:tc>
        <w:tc>
          <w:tcPr>
            <w:tcW w:w="2330" w:type="dxa"/>
            <w:noWrap/>
            <w:vAlign w:val="center"/>
          </w:tcPr>
          <w:p>
            <w:pPr>
              <w:jc w:val="center"/>
              <w:rPr>
                <w:color w:val="1C1C1C"/>
              </w:rPr>
            </w:pPr>
            <w:r>
              <w:rPr>
                <w:rFonts w:hint="eastAsia"/>
                <w:color w:val="1C1C1C"/>
              </w:rPr>
              <w:t>广东省</w:t>
            </w:r>
          </w:p>
        </w:tc>
        <w:tc>
          <w:tcPr>
            <w:tcW w:w="1544" w:type="dxa"/>
            <w:noWrap/>
            <w:vAlign w:val="center"/>
          </w:tcPr>
          <w:p>
            <w:pPr>
              <w:jc w:val="center"/>
              <w:rPr>
                <w:color w:val="1C1C1C"/>
              </w:rPr>
            </w:pPr>
            <w:r>
              <w:rPr>
                <w:rFonts w:hint="eastAsia"/>
                <w:color w:val="1C1C1C"/>
              </w:rPr>
              <w:t>东莞市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67</w:t>
            </w:r>
          </w:p>
        </w:tc>
        <w:tc>
          <w:tcPr>
            <w:tcW w:w="2330" w:type="dxa"/>
            <w:noWrap/>
            <w:vAlign w:val="center"/>
          </w:tcPr>
          <w:p>
            <w:pPr>
              <w:jc w:val="center"/>
              <w:rPr>
                <w:color w:val="1C1C1C"/>
              </w:rPr>
            </w:pPr>
            <w:r>
              <w:rPr>
                <w:rFonts w:hint="eastAsia"/>
                <w:color w:val="1C1C1C"/>
              </w:rPr>
              <w:t>广西壮族自治区</w:t>
            </w:r>
          </w:p>
        </w:tc>
        <w:tc>
          <w:tcPr>
            <w:tcW w:w="1544" w:type="dxa"/>
            <w:noWrap/>
            <w:vAlign w:val="center"/>
          </w:tcPr>
          <w:p>
            <w:pPr>
              <w:jc w:val="center"/>
              <w:rPr>
                <w:color w:val="1C1C1C"/>
              </w:rPr>
            </w:pPr>
            <w:r>
              <w:rPr>
                <w:rFonts w:hint="eastAsia"/>
                <w:color w:val="1C1C1C"/>
              </w:rPr>
              <w:t>南宁市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68</w:t>
            </w:r>
          </w:p>
        </w:tc>
        <w:tc>
          <w:tcPr>
            <w:tcW w:w="2330" w:type="dxa"/>
            <w:noWrap/>
            <w:vAlign w:val="center"/>
          </w:tcPr>
          <w:p>
            <w:pPr>
              <w:jc w:val="center"/>
              <w:rPr>
                <w:color w:val="1C1C1C"/>
              </w:rPr>
            </w:pPr>
            <w:r>
              <w:rPr>
                <w:rFonts w:hint="eastAsia"/>
                <w:color w:val="1C1C1C"/>
              </w:rPr>
              <w:t>广西壮族自治区</w:t>
            </w:r>
          </w:p>
        </w:tc>
        <w:tc>
          <w:tcPr>
            <w:tcW w:w="1544" w:type="dxa"/>
            <w:noWrap/>
            <w:vAlign w:val="center"/>
          </w:tcPr>
          <w:p>
            <w:pPr>
              <w:jc w:val="center"/>
              <w:rPr>
                <w:color w:val="1C1C1C"/>
              </w:rPr>
            </w:pPr>
            <w:r>
              <w:rPr>
                <w:rFonts w:hint="eastAsia"/>
                <w:color w:val="1C1C1C"/>
              </w:rPr>
              <w:t>柳州市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69</w:t>
            </w:r>
          </w:p>
        </w:tc>
        <w:tc>
          <w:tcPr>
            <w:tcW w:w="2330" w:type="dxa"/>
            <w:noWrap/>
            <w:vAlign w:val="center"/>
          </w:tcPr>
          <w:p>
            <w:pPr>
              <w:jc w:val="center"/>
              <w:rPr>
                <w:color w:val="1C1C1C"/>
              </w:rPr>
            </w:pPr>
            <w:r>
              <w:rPr>
                <w:rFonts w:hint="eastAsia"/>
                <w:color w:val="1C1C1C"/>
              </w:rPr>
              <w:t>广西壮族自治区</w:t>
            </w:r>
          </w:p>
        </w:tc>
        <w:tc>
          <w:tcPr>
            <w:tcW w:w="1544" w:type="dxa"/>
            <w:noWrap/>
            <w:vAlign w:val="center"/>
          </w:tcPr>
          <w:p>
            <w:pPr>
              <w:jc w:val="center"/>
              <w:rPr>
                <w:color w:val="1C1C1C"/>
              </w:rPr>
            </w:pPr>
            <w:r>
              <w:rPr>
                <w:rFonts w:hint="eastAsia"/>
                <w:color w:val="1C1C1C"/>
              </w:rPr>
              <w:t>桂林市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70</w:t>
            </w:r>
          </w:p>
        </w:tc>
        <w:tc>
          <w:tcPr>
            <w:tcW w:w="2330" w:type="dxa"/>
            <w:noWrap/>
            <w:vAlign w:val="center"/>
          </w:tcPr>
          <w:p>
            <w:pPr>
              <w:jc w:val="center"/>
              <w:rPr>
                <w:color w:val="1C1C1C"/>
              </w:rPr>
            </w:pPr>
            <w:r>
              <w:rPr>
                <w:rFonts w:hint="eastAsia"/>
                <w:color w:val="1C1C1C"/>
              </w:rPr>
              <w:t>海南省</w:t>
            </w:r>
          </w:p>
        </w:tc>
        <w:tc>
          <w:tcPr>
            <w:tcW w:w="1544" w:type="dxa"/>
            <w:noWrap/>
            <w:vAlign w:val="center"/>
          </w:tcPr>
          <w:p>
            <w:pPr>
              <w:jc w:val="center"/>
              <w:rPr>
                <w:color w:val="1C1C1C"/>
              </w:rPr>
            </w:pPr>
            <w:r>
              <w:rPr>
                <w:rFonts w:hint="eastAsia"/>
                <w:color w:val="1C1C1C"/>
              </w:rPr>
              <w:t>海口市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71</w:t>
            </w:r>
          </w:p>
        </w:tc>
        <w:tc>
          <w:tcPr>
            <w:tcW w:w="2330" w:type="dxa"/>
            <w:noWrap/>
            <w:vAlign w:val="center"/>
          </w:tcPr>
          <w:p>
            <w:pPr>
              <w:jc w:val="center"/>
              <w:rPr>
                <w:color w:val="1C1C1C"/>
              </w:rPr>
            </w:pPr>
            <w:r>
              <w:rPr>
                <w:rFonts w:hint="eastAsia"/>
                <w:color w:val="1C1C1C"/>
              </w:rPr>
              <w:t>海南省</w:t>
            </w:r>
          </w:p>
        </w:tc>
        <w:tc>
          <w:tcPr>
            <w:tcW w:w="1544" w:type="dxa"/>
            <w:noWrap/>
            <w:vAlign w:val="center"/>
          </w:tcPr>
          <w:p>
            <w:pPr>
              <w:jc w:val="center"/>
              <w:rPr>
                <w:color w:val="1C1C1C"/>
              </w:rPr>
            </w:pPr>
            <w:r>
              <w:rPr>
                <w:rFonts w:hint="eastAsia"/>
                <w:color w:val="1C1C1C"/>
              </w:rPr>
              <w:t>三亚市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72</w:t>
            </w:r>
          </w:p>
        </w:tc>
        <w:tc>
          <w:tcPr>
            <w:tcW w:w="2330" w:type="dxa"/>
            <w:noWrap/>
            <w:vAlign w:val="center"/>
          </w:tcPr>
          <w:p>
            <w:pPr>
              <w:jc w:val="center"/>
              <w:rPr>
                <w:color w:val="1C1C1C"/>
              </w:rPr>
            </w:pPr>
            <w:r>
              <w:rPr>
                <w:rFonts w:hint="eastAsia"/>
                <w:color w:val="1C1C1C"/>
              </w:rPr>
              <w:t>海南省</w:t>
            </w:r>
          </w:p>
        </w:tc>
        <w:tc>
          <w:tcPr>
            <w:tcW w:w="1544" w:type="dxa"/>
            <w:noWrap/>
            <w:vAlign w:val="center"/>
          </w:tcPr>
          <w:p>
            <w:pPr>
              <w:jc w:val="center"/>
              <w:rPr>
                <w:color w:val="1C1C1C"/>
              </w:rPr>
            </w:pPr>
            <w:r>
              <w:rPr>
                <w:rFonts w:hint="eastAsia"/>
                <w:color w:val="1C1C1C"/>
              </w:rPr>
              <w:t>儋州市</w:t>
            </w:r>
          </w:p>
        </w:tc>
        <w:tc>
          <w:tcPr>
            <w:tcW w:w="2681" w:type="dxa"/>
            <w:noWrap/>
            <w:vAlign w:val="center"/>
          </w:tcPr>
          <w:p>
            <w:pPr>
              <w:jc w:val="center"/>
              <w:rPr>
                <w:color w:val="1C1C1C"/>
              </w:rPr>
            </w:pPr>
            <w:r>
              <w:rPr>
                <w:rFonts w:hint="eastAsia"/>
                <w:color w:val="1C1C1C"/>
              </w:rPr>
              <w:t>东部</w:t>
            </w:r>
          </w:p>
        </w:tc>
        <w:tc>
          <w:tcPr>
            <w:tcW w:w="2681" w:type="dxa"/>
            <w:noWrap/>
            <w:vAlign w:val="center"/>
          </w:tcPr>
          <w:p>
            <w:pPr>
              <w:jc w:val="center"/>
              <w:rPr>
                <w:color w:val="1C1C1C"/>
              </w:rPr>
            </w:pPr>
            <w:r>
              <w:rPr>
                <w:rFonts w:hint="eastAsia"/>
                <w:color w:val="1C1C1C"/>
              </w:rPr>
              <w:t>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73</w:t>
            </w:r>
          </w:p>
        </w:tc>
        <w:tc>
          <w:tcPr>
            <w:tcW w:w="2330" w:type="dxa"/>
            <w:noWrap/>
            <w:vAlign w:val="center"/>
          </w:tcPr>
          <w:p>
            <w:pPr>
              <w:jc w:val="center"/>
              <w:rPr>
                <w:color w:val="1C1C1C"/>
              </w:rPr>
            </w:pPr>
            <w:r>
              <w:rPr>
                <w:rFonts w:hint="eastAsia"/>
                <w:color w:val="1C1C1C"/>
              </w:rPr>
              <w:t>重庆市</w:t>
            </w:r>
          </w:p>
        </w:tc>
        <w:tc>
          <w:tcPr>
            <w:tcW w:w="1544" w:type="dxa"/>
            <w:noWrap/>
            <w:vAlign w:val="center"/>
          </w:tcPr>
          <w:p>
            <w:pPr>
              <w:jc w:val="center"/>
              <w:rPr>
                <w:color w:val="1C1C1C"/>
              </w:rPr>
            </w:pPr>
            <w:r>
              <w:rPr>
                <w:rFonts w:hint="eastAsia"/>
                <w:color w:val="1C1C1C"/>
              </w:rPr>
              <w:t>重庆市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74</w:t>
            </w:r>
          </w:p>
        </w:tc>
        <w:tc>
          <w:tcPr>
            <w:tcW w:w="2330" w:type="dxa"/>
            <w:noWrap/>
            <w:vAlign w:val="center"/>
          </w:tcPr>
          <w:p>
            <w:pPr>
              <w:jc w:val="center"/>
              <w:rPr>
                <w:color w:val="1C1C1C"/>
              </w:rPr>
            </w:pPr>
            <w:r>
              <w:rPr>
                <w:rFonts w:hint="eastAsia"/>
                <w:color w:val="1C1C1C"/>
              </w:rPr>
              <w:t>四川省</w:t>
            </w:r>
          </w:p>
        </w:tc>
        <w:tc>
          <w:tcPr>
            <w:tcW w:w="1544" w:type="dxa"/>
            <w:noWrap/>
            <w:vAlign w:val="center"/>
          </w:tcPr>
          <w:p>
            <w:pPr>
              <w:jc w:val="center"/>
              <w:rPr>
                <w:color w:val="1C1C1C"/>
              </w:rPr>
            </w:pPr>
            <w:r>
              <w:rPr>
                <w:rFonts w:hint="eastAsia"/>
                <w:color w:val="1C1C1C"/>
              </w:rPr>
              <w:t>成都市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75</w:t>
            </w:r>
          </w:p>
        </w:tc>
        <w:tc>
          <w:tcPr>
            <w:tcW w:w="2330" w:type="dxa"/>
            <w:noWrap/>
            <w:vAlign w:val="center"/>
          </w:tcPr>
          <w:p>
            <w:pPr>
              <w:jc w:val="center"/>
              <w:rPr>
                <w:color w:val="1C1C1C"/>
              </w:rPr>
            </w:pPr>
            <w:r>
              <w:rPr>
                <w:rFonts w:hint="eastAsia"/>
                <w:color w:val="1C1C1C"/>
              </w:rPr>
              <w:t>四川省</w:t>
            </w:r>
          </w:p>
        </w:tc>
        <w:tc>
          <w:tcPr>
            <w:tcW w:w="1544" w:type="dxa"/>
            <w:noWrap/>
            <w:vAlign w:val="center"/>
          </w:tcPr>
          <w:p>
            <w:pPr>
              <w:jc w:val="center"/>
              <w:rPr>
                <w:color w:val="1C1C1C"/>
              </w:rPr>
            </w:pPr>
            <w:r>
              <w:rPr>
                <w:rFonts w:hint="eastAsia"/>
                <w:color w:val="1C1C1C"/>
              </w:rPr>
              <w:t>绵阳市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76</w:t>
            </w:r>
          </w:p>
        </w:tc>
        <w:tc>
          <w:tcPr>
            <w:tcW w:w="2330" w:type="dxa"/>
            <w:noWrap/>
            <w:vAlign w:val="center"/>
          </w:tcPr>
          <w:p>
            <w:pPr>
              <w:jc w:val="center"/>
              <w:rPr>
                <w:color w:val="1C1C1C"/>
              </w:rPr>
            </w:pPr>
            <w:r>
              <w:rPr>
                <w:rFonts w:hint="eastAsia"/>
                <w:color w:val="1C1C1C"/>
              </w:rPr>
              <w:t>四川省</w:t>
            </w:r>
          </w:p>
        </w:tc>
        <w:tc>
          <w:tcPr>
            <w:tcW w:w="1544" w:type="dxa"/>
            <w:noWrap/>
            <w:vAlign w:val="center"/>
          </w:tcPr>
          <w:p>
            <w:pPr>
              <w:jc w:val="center"/>
              <w:rPr>
                <w:color w:val="1C1C1C"/>
              </w:rPr>
            </w:pPr>
            <w:r>
              <w:rPr>
                <w:rFonts w:hint="eastAsia"/>
                <w:color w:val="1C1C1C"/>
              </w:rPr>
              <w:t>南充市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77</w:t>
            </w:r>
          </w:p>
        </w:tc>
        <w:tc>
          <w:tcPr>
            <w:tcW w:w="2330" w:type="dxa"/>
            <w:noWrap/>
            <w:vAlign w:val="center"/>
          </w:tcPr>
          <w:p>
            <w:pPr>
              <w:jc w:val="center"/>
              <w:rPr>
                <w:color w:val="1C1C1C"/>
              </w:rPr>
            </w:pPr>
            <w:r>
              <w:rPr>
                <w:rFonts w:hint="eastAsia"/>
                <w:color w:val="1C1C1C"/>
              </w:rPr>
              <w:t>贵州省</w:t>
            </w:r>
          </w:p>
        </w:tc>
        <w:tc>
          <w:tcPr>
            <w:tcW w:w="1544" w:type="dxa"/>
            <w:noWrap/>
            <w:vAlign w:val="center"/>
          </w:tcPr>
          <w:p>
            <w:pPr>
              <w:jc w:val="center"/>
              <w:rPr>
                <w:color w:val="1C1C1C"/>
              </w:rPr>
            </w:pPr>
            <w:r>
              <w:rPr>
                <w:rFonts w:hint="eastAsia"/>
                <w:color w:val="1C1C1C"/>
              </w:rPr>
              <w:t>贵阳市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78</w:t>
            </w:r>
          </w:p>
        </w:tc>
        <w:tc>
          <w:tcPr>
            <w:tcW w:w="2330" w:type="dxa"/>
            <w:noWrap/>
            <w:vAlign w:val="center"/>
          </w:tcPr>
          <w:p>
            <w:pPr>
              <w:jc w:val="center"/>
              <w:rPr>
                <w:color w:val="1C1C1C"/>
              </w:rPr>
            </w:pPr>
            <w:r>
              <w:rPr>
                <w:rFonts w:hint="eastAsia"/>
                <w:color w:val="1C1C1C"/>
              </w:rPr>
              <w:t>贵州省</w:t>
            </w:r>
          </w:p>
        </w:tc>
        <w:tc>
          <w:tcPr>
            <w:tcW w:w="1544" w:type="dxa"/>
            <w:noWrap/>
            <w:vAlign w:val="center"/>
          </w:tcPr>
          <w:p>
            <w:pPr>
              <w:jc w:val="center"/>
              <w:rPr>
                <w:color w:val="1C1C1C"/>
              </w:rPr>
            </w:pPr>
            <w:r>
              <w:rPr>
                <w:rFonts w:hint="eastAsia"/>
                <w:color w:val="1C1C1C"/>
              </w:rPr>
              <w:t>遵义市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79</w:t>
            </w:r>
          </w:p>
        </w:tc>
        <w:tc>
          <w:tcPr>
            <w:tcW w:w="2330" w:type="dxa"/>
            <w:noWrap/>
            <w:vAlign w:val="center"/>
          </w:tcPr>
          <w:p>
            <w:pPr>
              <w:jc w:val="center"/>
              <w:rPr>
                <w:color w:val="1C1C1C"/>
              </w:rPr>
            </w:pPr>
            <w:r>
              <w:rPr>
                <w:rFonts w:hint="eastAsia"/>
                <w:color w:val="1C1C1C"/>
              </w:rPr>
              <w:t>贵州省</w:t>
            </w:r>
          </w:p>
        </w:tc>
        <w:tc>
          <w:tcPr>
            <w:tcW w:w="1544" w:type="dxa"/>
            <w:noWrap/>
            <w:vAlign w:val="center"/>
          </w:tcPr>
          <w:p>
            <w:pPr>
              <w:jc w:val="center"/>
              <w:rPr>
                <w:color w:val="1C1C1C"/>
              </w:rPr>
            </w:pPr>
            <w:r>
              <w:rPr>
                <w:rFonts w:hint="eastAsia"/>
                <w:color w:val="1C1C1C"/>
              </w:rPr>
              <w:t>毕节市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80</w:t>
            </w:r>
          </w:p>
        </w:tc>
        <w:tc>
          <w:tcPr>
            <w:tcW w:w="2330" w:type="dxa"/>
            <w:noWrap/>
            <w:vAlign w:val="center"/>
          </w:tcPr>
          <w:p>
            <w:pPr>
              <w:jc w:val="center"/>
              <w:rPr>
                <w:color w:val="1C1C1C"/>
              </w:rPr>
            </w:pPr>
            <w:r>
              <w:rPr>
                <w:rFonts w:hint="eastAsia"/>
                <w:color w:val="1C1C1C"/>
              </w:rPr>
              <w:t>云南省</w:t>
            </w:r>
          </w:p>
        </w:tc>
        <w:tc>
          <w:tcPr>
            <w:tcW w:w="1544" w:type="dxa"/>
            <w:noWrap/>
            <w:vAlign w:val="center"/>
          </w:tcPr>
          <w:p>
            <w:pPr>
              <w:jc w:val="center"/>
              <w:rPr>
                <w:color w:val="1C1C1C"/>
              </w:rPr>
            </w:pPr>
            <w:r>
              <w:rPr>
                <w:rFonts w:hint="eastAsia"/>
                <w:color w:val="1C1C1C"/>
              </w:rPr>
              <w:t>昆明市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81</w:t>
            </w:r>
          </w:p>
        </w:tc>
        <w:tc>
          <w:tcPr>
            <w:tcW w:w="2330" w:type="dxa"/>
            <w:noWrap/>
            <w:vAlign w:val="center"/>
          </w:tcPr>
          <w:p>
            <w:pPr>
              <w:jc w:val="center"/>
              <w:rPr>
                <w:color w:val="1C1C1C"/>
              </w:rPr>
            </w:pPr>
            <w:r>
              <w:rPr>
                <w:rFonts w:hint="eastAsia"/>
                <w:color w:val="1C1C1C"/>
              </w:rPr>
              <w:t>云南省</w:t>
            </w:r>
          </w:p>
        </w:tc>
        <w:tc>
          <w:tcPr>
            <w:tcW w:w="1544" w:type="dxa"/>
            <w:noWrap/>
            <w:vAlign w:val="center"/>
          </w:tcPr>
          <w:p>
            <w:pPr>
              <w:jc w:val="center"/>
              <w:rPr>
                <w:color w:val="1C1C1C"/>
              </w:rPr>
            </w:pPr>
            <w:r>
              <w:rPr>
                <w:rFonts w:hint="eastAsia"/>
                <w:color w:val="1C1C1C"/>
              </w:rPr>
              <w:t>曲靖市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82</w:t>
            </w:r>
          </w:p>
        </w:tc>
        <w:tc>
          <w:tcPr>
            <w:tcW w:w="2330" w:type="dxa"/>
            <w:noWrap/>
            <w:vAlign w:val="center"/>
          </w:tcPr>
          <w:p>
            <w:pPr>
              <w:jc w:val="center"/>
              <w:rPr>
                <w:color w:val="1C1C1C"/>
              </w:rPr>
            </w:pPr>
            <w:r>
              <w:rPr>
                <w:rFonts w:hint="eastAsia"/>
                <w:color w:val="1C1C1C"/>
              </w:rPr>
              <w:t>云南省</w:t>
            </w:r>
          </w:p>
        </w:tc>
        <w:tc>
          <w:tcPr>
            <w:tcW w:w="1544" w:type="dxa"/>
            <w:noWrap/>
            <w:vAlign w:val="center"/>
          </w:tcPr>
          <w:p>
            <w:pPr>
              <w:jc w:val="center"/>
              <w:rPr>
                <w:color w:val="1C1C1C"/>
              </w:rPr>
            </w:pPr>
            <w:r>
              <w:rPr>
                <w:rFonts w:hint="eastAsia"/>
                <w:color w:val="1C1C1C"/>
              </w:rPr>
              <w:t>玉溪市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83</w:t>
            </w:r>
          </w:p>
        </w:tc>
        <w:tc>
          <w:tcPr>
            <w:tcW w:w="2330" w:type="dxa"/>
            <w:noWrap/>
            <w:vAlign w:val="center"/>
          </w:tcPr>
          <w:p>
            <w:pPr>
              <w:jc w:val="center"/>
              <w:rPr>
                <w:color w:val="1C1C1C"/>
              </w:rPr>
            </w:pPr>
            <w:r>
              <w:rPr>
                <w:rFonts w:hint="eastAsia"/>
                <w:color w:val="1C1C1C"/>
              </w:rPr>
              <w:t>西藏自治区</w:t>
            </w:r>
          </w:p>
        </w:tc>
        <w:tc>
          <w:tcPr>
            <w:tcW w:w="1544" w:type="dxa"/>
            <w:noWrap/>
            <w:vAlign w:val="center"/>
          </w:tcPr>
          <w:p>
            <w:pPr>
              <w:jc w:val="center"/>
              <w:rPr>
                <w:color w:val="1C1C1C"/>
              </w:rPr>
            </w:pPr>
            <w:r>
              <w:rPr>
                <w:rFonts w:hint="eastAsia"/>
                <w:color w:val="1C1C1C"/>
              </w:rPr>
              <w:t>拉萨市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84</w:t>
            </w:r>
          </w:p>
        </w:tc>
        <w:tc>
          <w:tcPr>
            <w:tcW w:w="2330" w:type="dxa"/>
            <w:noWrap/>
            <w:vAlign w:val="center"/>
          </w:tcPr>
          <w:p>
            <w:pPr>
              <w:jc w:val="center"/>
              <w:rPr>
                <w:color w:val="1C1C1C"/>
              </w:rPr>
            </w:pPr>
            <w:r>
              <w:rPr>
                <w:rFonts w:hint="eastAsia"/>
                <w:color w:val="1C1C1C"/>
              </w:rPr>
              <w:t>西藏自治区</w:t>
            </w:r>
          </w:p>
        </w:tc>
        <w:tc>
          <w:tcPr>
            <w:tcW w:w="1544" w:type="dxa"/>
            <w:noWrap/>
            <w:vAlign w:val="center"/>
          </w:tcPr>
          <w:p>
            <w:pPr>
              <w:jc w:val="center"/>
              <w:rPr>
                <w:color w:val="1C1C1C"/>
              </w:rPr>
            </w:pPr>
            <w:r>
              <w:rPr>
                <w:rFonts w:hint="eastAsia"/>
                <w:color w:val="1C1C1C"/>
              </w:rPr>
              <w:t>日喀则市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85</w:t>
            </w:r>
          </w:p>
        </w:tc>
        <w:tc>
          <w:tcPr>
            <w:tcW w:w="2330" w:type="dxa"/>
            <w:noWrap/>
            <w:vAlign w:val="center"/>
          </w:tcPr>
          <w:p>
            <w:pPr>
              <w:jc w:val="center"/>
              <w:rPr>
                <w:color w:val="1C1C1C"/>
              </w:rPr>
            </w:pPr>
            <w:r>
              <w:rPr>
                <w:rFonts w:hint="eastAsia"/>
                <w:color w:val="1C1C1C"/>
              </w:rPr>
              <w:t>西藏自治区</w:t>
            </w:r>
          </w:p>
        </w:tc>
        <w:tc>
          <w:tcPr>
            <w:tcW w:w="1544" w:type="dxa"/>
            <w:noWrap/>
            <w:vAlign w:val="center"/>
          </w:tcPr>
          <w:p>
            <w:pPr>
              <w:jc w:val="center"/>
              <w:rPr>
                <w:color w:val="1C1C1C"/>
              </w:rPr>
            </w:pPr>
            <w:r>
              <w:rPr>
                <w:rFonts w:hint="eastAsia"/>
                <w:color w:val="1C1C1C"/>
              </w:rPr>
              <w:t>山南市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86</w:t>
            </w:r>
          </w:p>
        </w:tc>
        <w:tc>
          <w:tcPr>
            <w:tcW w:w="2330" w:type="dxa"/>
            <w:noWrap/>
            <w:vAlign w:val="center"/>
          </w:tcPr>
          <w:p>
            <w:pPr>
              <w:jc w:val="center"/>
              <w:rPr>
                <w:color w:val="1C1C1C"/>
              </w:rPr>
            </w:pPr>
            <w:r>
              <w:rPr>
                <w:rFonts w:hint="eastAsia"/>
                <w:color w:val="1C1C1C"/>
              </w:rPr>
              <w:t>陕西省</w:t>
            </w:r>
          </w:p>
        </w:tc>
        <w:tc>
          <w:tcPr>
            <w:tcW w:w="1544" w:type="dxa"/>
            <w:noWrap/>
            <w:vAlign w:val="center"/>
          </w:tcPr>
          <w:p>
            <w:pPr>
              <w:jc w:val="center"/>
              <w:rPr>
                <w:color w:val="1C1C1C"/>
              </w:rPr>
            </w:pPr>
            <w:r>
              <w:rPr>
                <w:rFonts w:hint="eastAsia"/>
                <w:color w:val="1C1C1C"/>
              </w:rPr>
              <w:t>西安市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87</w:t>
            </w:r>
          </w:p>
        </w:tc>
        <w:tc>
          <w:tcPr>
            <w:tcW w:w="2330" w:type="dxa"/>
            <w:noWrap/>
            <w:vAlign w:val="center"/>
          </w:tcPr>
          <w:p>
            <w:pPr>
              <w:jc w:val="center"/>
              <w:rPr>
                <w:color w:val="1C1C1C"/>
              </w:rPr>
            </w:pPr>
            <w:r>
              <w:rPr>
                <w:rFonts w:hint="eastAsia"/>
                <w:color w:val="1C1C1C"/>
              </w:rPr>
              <w:t>陕西省</w:t>
            </w:r>
          </w:p>
        </w:tc>
        <w:tc>
          <w:tcPr>
            <w:tcW w:w="1544" w:type="dxa"/>
            <w:noWrap/>
            <w:vAlign w:val="center"/>
          </w:tcPr>
          <w:p>
            <w:pPr>
              <w:jc w:val="center"/>
              <w:rPr>
                <w:color w:val="1C1C1C"/>
              </w:rPr>
            </w:pPr>
            <w:r>
              <w:rPr>
                <w:rFonts w:hint="eastAsia"/>
                <w:color w:val="1C1C1C"/>
              </w:rPr>
              <w:t>宝鸡市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88</w:t>
            </w:r>
          </w:p>
        </w:tc>
        <w:tc>
          <w:tcPr>
            <w:tcW w:w="2330" w:type="dxa"/>
            <w:noWrap/>
            <w:vAlign w:val="center"/>
          </w:tcPr>
          <w:p>
            <w:pPr>
              <w:jc w:val="center"/>
              <w:rPr>
                <w:color w:val="1C1C1C"/>
              </w:rPr>
            </w:pPr>
            <w:r>
              <w:rPr>
                <w:rFonts w:hint="eastAsia"/>
                <w:color w:val="1C1C1C"/>
              </w:rPr>
              <w:t>陕西省</w:t>
            </w:r>
          </w:p>
        </w:tc>
        <w:tc>
          <w:tcPr>
            <w:tcW w:w="1544" w:type="dxa"/>
            <w:noWrap/>
            <w:vAlign w:val="center"/>
          </w:tcPr>
          <w:p>
            <w:pPr>
              <w:jc w:val="center"/>
              <w:rPr>
                <w:color w:val="1C1C1C"/>
              </w:rPr>
            </w:pPr>
            <w:r>
              <w:rPr>
                <w:rFonts w:hint="eastAsia"/>
                <w:color w:val="1C1C1C"/>
              </w:rPr>
              <w:t>渭南市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89</w:t>
            </w:r>
          </w:p>
        </w:tc>
        <w:tc>
          <w:tcPr>
            <w:tcW w:w="2330" w:type="dxa"/>
            <w:noWrap/>
            <w:vAlign w:val="center"/>
          </w:tcPr>
          <w:p>
            <w:pPr>
              <w:jc w:val="center"/>
              <w:rPr>
                <w:color w:val="1C1C1C"/>
              </w:rPr>
            </w:pPr>
            <w:r>
              <w:rPr>
                <w:rFonts w:hint="eastAsia"/>
                <w:color w:val="1C1C1C"/>
              </w:rPr>
              <w:t>甘肃省</w:t>
            </w:r>
          </w:p>
        </w:tc>
        <w:tc>
          <w:tcPr>
            <w:tcW w:w="1544" w:type="dxa"/>
            <w:noWrap/>
            <w:vAlign w:val="center"/>
          </w:tcPr>
          <w:p>
            <w:pPr>
              <w:jc w:val="center"/>
              <w:rPr>
                <w:color w:val="1C1C1C"/>
              </w:rPr>
            </w:pPr>
            <w:r>
              <w:rPr>
                <w:rFonts w:hint="eastAsia"/>
                <w:color w:val="1C1C1C"/>
              </w:rPr>
              <w:t>兰州市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90</w:t>
            </w:r>
          </w:p>
        </w:tc>
        <w:tc>
          <w:tcPr>
            <w:tcW w:w="2330" w:type="dxa"/>
            <w:noWrap/>
            <w:vAlign w:val="center"/>
          </w:tcPr>
          <w:p>
            <w:pPr>
              <w:jc w:val="center"/>
              <w:rPr>
                <w:color w:val="1C1C1C"/>
              </w:rPr>
            </w:pPr>
            <w:r>
              <w:rPr>
                <w:rFonts w:hint="eastAsia"/>
                <w:color w:val="1C1C1C"/>
              </w:rPr>
              <w:t>甘肃省</w:t>
            </w:r>
          </w:p>
        </w:tc>
        <w:tc>
          <w:tcPr>
            <w:tcW w:w="1544" w:type="dxa"/>
            <w:noWrap/>
            <w:vAlign w:val="center"/>
          </w:tcPr>
          <w:p>
            <w:pPr>
              <w:jc w:val="center"/>
              <w:rPr>
                <w:color w:val="1C1C1C"/>
              </w:rPr>
            </w:pPr>
            <w:r>
              <w:rPr>
                <w:rFonts w:hint="eastAsia"/>
                <w:color w:val="1C1C1C"/>
              </w:rPr>
              <w:t>天水市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91</w:t>
            </w:r>
          </w:p>
        </w:tc>
        <w:tc>
          <w:tcPr>
            <w:tcW w:w="2330" w:type="dxa"/>
            <w:noWrap/>
            <w:vAlign w:val="center"/>
          </w:tcPr>
          <w:p>
            <w:pPr>
              <w:jc w:val="center"/>
              <w:rPr>
                <w:color w:val="1C1C1C"/>
              </w:rPr>
            </w:pPr>
            <w:r>
              <w:rPr>
                <w:rFonts w:hint="eastAsia"/>
                <w:color w:val="1C1C1C"/>
              </w:rPr>
              <w:t>甘肃省</w:t>
            </w:r>
          </w:p>
        </w:tc>
        <w:tc>
          <w:tcPr>
            <w:tcW w:w="1544" w:type="dxa"/>
            <w:noWrap/>
            <w:vAlign w:val="center"/>
          </w:tcPr>
          <w:p>
            <w:pPr>
              <w:jc w:val="center"/>
              <w:rPr>
                <w:color w:val="1C1C1C"/>
              </w:rPr>
            </w:pPr>
            <w:r>
              <w:rPr>
                <w:rFonts w:hint="eastAsia"/>
                <w:color w:val="1C1C1C"/>
              </w:rPr>
              <w:t>庆阳市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92</w:t>
            </w:r>
          </w:p>
        </w:tc>
        <w:tc>
          <w:tcPr>
            <w:tcW w:w="2330" w:type="dxa"/>
            <w:noWrap/>
            <w:vAlign w:val="center"/>
          </w:tcPr>
          <w:p>
            <w:pPr>
              <w:jc w:val="center"/>
              <w:rPr>
                <w:color w:val="1C1C1C"/>
              </w:rPr>
            </w:pPr>
            <w:r>
              <w:rPr>
                <w:rFonts w:hint="eastAsia"/>
                <w:color w:val="1C1C1C"/>
              </w:rPr>
              <w:t>青海省</w:t>
            </w:r>
          </w:p>
        </w:tc>
        <w:tc>
          <w:tcPr>
            <w:tcW w:w="1544" w:type="dxa"/>
            <w:noWrap/>
            <w:vAlign w:val="center"/>
          </w:tcPr>
          <w:p>
            <w:pPr>
              <w:jc w:val="center"/>
              <w:rPr>
                <w:color w:val="1C1C1C"/>
              </w:rPr>
            </w:pPr>
            <w:r>
              <w:rPr>
                <w:rFonts w:hint="eastAsia"/>
                <w:color w:val="1C1C1C"/>
              </w:rPr>
              <w:t>西宁市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93</w:t>
            </w:r>
          </w:p>
        </w:tc>
        <w:tc>
          <w:tcPr>
            <w:tcW w:w="2330" w:type="dxa"/>
            <w:noWrap/>
            <w:vAlign w:val="center"/>
          </w:tcPr>
          <w:p>
            <w:pPr>
              <w:jc w:val="center"/>
              <w:rPr>
                <w:color w:val="1C1C1C"/>
              </w:rPr>
            </w:pPr>
            <w:r>
              <w:rPr>
                <w:rFonts w:hint="eastAsia"/>
                <w:color w:val="1C1C1C"/>
              </w:rPr>
              <w:t>青海省</w:t>
            </w:r>
          </w:p>
        </w:tc>
        <w:tc>
          <w:tcPr>
            <w:tcW w:w="1544" w:type="dxa"/>
            <w:noWrap/>
            <w:vAlign w:val="center"/>
          </w:tcPr>
          <w:p>
            <w:pPr>
              <w:jc w:val="center"/>
              <w:rPr>
                <w:color w:val="1C1C1C"/>
              </w:rPr>
            </w:pPr>
            <w:r>
              <w:rPr>
                <w:rFonts w:hint="eastAsia"/>
                <w:color w:val="1C1C1C"/>
              </w:rPr>
              <w:t>海东市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94</w:t>
            </w:r>
          </w:p>
        </w:tc>
        <w:tc>
          <w:tcPr>
            <w:tcW w:w="2330" w:type="dxa"/>
            <w:noWrap/>
            <w:vAlign w:val="center"/>
          </w:tcPr>
          <w:p>
            <w:pPr>
              <w:jc w:val="center"/>
              <w:rPr>
                <w:color w:val="1C1C1C"/>
              </w:rPr>
            </w:pPr>
            <w:r>
              <w:rPr>
                <w:rFonts w:hint="eastAsia"/>
                <w:color w:val="1C1C1C"/>
              </w:rPr>
              <w:t>青海省</w:t>
            </w:r>
          </w:p>
        </w:tc>
        <w:tc>
          <w:tcPr>
            <w:tcW w:w="1544" w:type="dxa"/>
            <w:noWrap/>
            <w:vAlign w:val="center"/>
          </w:tcPr>
          <w:p>
            <w:pPr>
              <w:jc w:val="center"/>
              <w:rPr>
                <w:color w:val="1C1C1C"/>
              </w:rPr>
            </w:pPr>
            <w:r>
              <w:rPr>
                <w:rFonts w:hint="eastAsia"/>
                <w:color w:val="1C1C1C"/>
              </w:rPr>
              <w:t>海西蒙古族藏族自治州</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95</w:t>
            </w:r>
          </w:p>
        </w:tc>
        <w:tc>
          <w:tcPr>
            <w:tcW w:w="2330" w:type="dxa"/>
            <w:noWrap/>
            <w:vAlign w:val="center"/>
          </w:tcPr>
          <w:p>
            <w:pPr>
              <w:jc w:val="center"/>
              <w:rPr>
                <w:color w:val="1C1C1C"/>
              </w:rPr>
            </w:pPr>
            <w:r>
              <w:rPr>
                <w:rFonts w:hint="eastAsia"/>
                <w:color w:val="1C1C1C"/>
              </w:rPr>
              <w:t>宁夏回族自治区</w:t>
            </w:r>
          </w:p>
        </w:tc>
        <w:tc>
          <w:tcPr>
            <w:tcW w:w="1544" w:type="dxa"/>
            <w:noWrap/>
            <w:vAlign w:val="center"/>
          </w:tcPr>
          <w:p>
            <w:pPr>
              <w:jc w:val="center"/>
              <w:rPr>
                <w:color w:val="1C1C1C"/>
              </w:rPr>
            </w:pPr>
            <w:r>
              <w:rPr>
                <w:rFonts w:hint="eastAsia"/>
                <w:color w:val="1C1C1C"/>
              </w:rPr>
              <w:t>银川市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96</w:t>
            </w:r>
          </w:p>
        </w:tc>
        <w:tc>
          <w:tcPr>
            <w:tcW w:w="2330" w:type="dxa"/>
            <w:noWrap/>
            <w:vAlign w:val="center"/>
          </w:tcPr>
          <w:p>
            <w:pPr>
              <w:jc w:val="center"/>
              <w:rPr>
                <w:color w:val="1C1C1C"/>
              </w:rPr>
            </w:pPr>
            <w:r>
              <w:rPr>
                <w:rFonts w:hint="eastAsia"/>
                <w:color w:val="1C1C1C"/>
              </w:rPr>
              <w:t>宁夏回族自治区</w:t>
            </w:r>
          </w:p>
        </w:tc>
        <w:tc>
          <w:tcPr>
            <w:tcW w:w="1544" w:type="dxa"/>
            <w:noWrap/>
            <w:vAlign w:val="center"/>
          </w:tcPr>
          <w:p>
            <w:pPr>
              <w:jc w:val="center"/>
              <w:rPr>
                <w:color w:val="1C1C1C"/>
              </w:rPr>
            </w:pPr>
            <w:r>
              <w:rPr>
                <w:rFonts w:hint="eastAsia"/>
                <w:color w:val="1C1C1C"/>
              </w:rPr>
              <w:t>石嘴山市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97</w:t>
            </w:r>
          </w:p>
        </w:tc>
        <w:tc>
          <w:tcPr>
            <w:tcW w:w="2330" w:type="dxa"/>
            <w:noWrap/>
            <w:vAlign w:val="center"/>
          </w:tcPr>
          <w:p>
            <w:pPr>
              <w:jc w:val="center"/>
              <w:rPr>
                <w:color w:val="1C1C1C"/>
              </w:rPr>
            </w:pPr>
            <w:r>
              <w:rPr>
                <w:rFonts w:hint="eastAsia"/>
                <w:color w:val="1C1C1C"/>
              </w:rPr>
              <w:t>宁夏回族自治区</w:t>
            </w:r>
          </w:p>
        </w:tc>
        <w:tc>
          <w:tcPr>
            <w:tcW w:w="1544" w:type="dxa"/>
            <w:noWrap/>
            <w:vAlign w:val="center"/>
          </w:tcPr>
          <w:p>
            <w:pPr>
              <w:jc w:val="center"/>
              <w:rPr>
                <w:color w:val="1C1C1C"/>
              </w:rPr>
            </w:pPr>
            <w:r>
              <w:rPr>
                <w:rFonts w:hint="eastAsia"/>
                <w:color w:val="1C1C1C"/>
              </w:rPr>
              <w:t>吴忠市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98</w:t>
            </w:r>
          </w:p>
        </w:tc>
        <w:tc>
          <w:tcPr>
            <w:tcW w:w="2330" w:type="dxa"/>
            <w:noWrap/>
            <w:vAlign w:val="center"/>
          </w:tcPr>
          <w:p>
            <w:pPr>
              <w:jc w:val="center"/>
              <w:rPr>
                <w:color w:val="1C1C1C"/>
              </w:rPr>
            </w:pPr>
            <w:r>
              <w:rPr>
                <w:rFonts w:hint="eastAsia"/>
                <w:color w:val="1C1C1C"/>
              </w:rPr>
              <w:t>新疆维吾尔自治区</w:t>
            </w:r>
          </w:p>
        </w:tc>
        <w:tc>
          <w:tcPr>
            <w:tcW w:w="1544" w:type="dxa"/>
            <w:noWrap/>
            <w:vAlign w:val="center"/>
          </w:tcPr>
          <w:p>
            <w:pPr>
              <w:jc w:val="center"/>
              <w:rPr>
                <w:color w:val="1C1C1C"/>
              </w:rPr>
            </w:pPr>
            <w:r>
              <w:rPr>
                <w:rFonts w:hint="eastAsia"/>
                <w:color w:val="1C1C1C"/>
              </w:rPr>
              <w:t>乌鲁木齐市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99</w:t>
            </w:r>
          </w:p>
        </w:tc>
        <w:tc>
          <w:tcPr>
            <w:tcW w:w="2330" w:type="dxa"/>
            <w:noWrap/>
            <w:vAlign w:val="center"/>
          </w:tcPr>
          <w:p>
            <w:pPr>
              <w:jc w:val="center"/>
              <w:rPr>
                <w:color w:val="1C1C1C"/>
              </w:rPr>
            </w:pPr>
            <w:r>
              <w:rPr>
                <w:rFonts w:hint="eastAsia"/>
                <w:color w:val="1C1C1C"/>
              </w:rPr>
              <w:t>新疆维吾尔自治区</w:t>
            </w:r>
          </w:p>
        </w:tc>
        <w:tc>
          <w:tcPr>
            <w:tcW w:w="1544" w:type="dxa"/>
            <w:noWrap/>
            <w:vAlign w:val="center"/>
          </w:tcPr>
          <w:p>
            <w:pPr>
              <w:jc w:val="center"/>
              <w:rPr>
                <w:color w:val="1C1C1C"/>
              </w:rPr>
            </w:pPr>
            <w:r>
              <w:rPr>
                <w:rFonts w:hint="eastAsia"/>
                <w:color w:val="1C1C1C"/>
              </w:rPr>
              <w:t>克拉玛依市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noWrap/>
            <w:vAlign w:val="center"/>
          </w:tcPr>
          <w:p>
            <w:pPr>
              <w:jc w:val="center"/>
              <w:rPr>
                <w:color w:val="1C1C1C"/>
              </w:rPr>
            </w:pPr>
            <w:r>
              <w:rPr>
                <w:rFonts w:hint="eastAsia"/>
                <w:color w:val="1C1C1C"/>
              </w:rPr>
              <w:t>100</w:t>
            </w:r>
          </w:p>
        </w:tc>
        <w:tc>
          <w:tcPr>
            <w:tcW w:w="2330" w:type="dxa"/>
            <w:noWrap/>
            <w:vAlign w:val="center"/>
          </w:tcPr>
          <w:p>
            <w:pPr>
              <w:jc w:val="center"/>
              <w:rPr>
                <w:color w:val="1C1C1C"/>
              </w:rPr>
            </w:pPr>
            <w:r>
              <w:rPr>
                <w:rFonts w:hint="eastAsia"/>
                <w:color w:val="1C1C1C"/>
              </w:rPr>
              <w:t>新疆维吾尔自治区</w:t>
            </w:r>
          </w:p>
        </w:tc>
        <w:tc>
          <w:tcPr>
            <w:tcW w:w="1544" w:type="dxa"/>
            <w:noWrap/>
            <w:vAlign w:val="center"/>
          </w:tcPr>
          <w:p>
            <w:pPr>
              <w:jc w:val="center"/>
              <w:rPr>
                <w:color w:val="1C1C1C"/>
              </w:rPr>
            </w:pPr>
            <w:r>
              <w:rPr>
                <w:rFonts w:hint="eastAsia"/>
                <w:color w:val="1C1C1C"/>
              </w:rPr>
              <w:t>哈密市</w:t>
            </w:r>
          </w:p>
        </w:tc>
        <w:tc>
          <w:tcPr>
            <w:tcW w:w="2681" w:type="dxa"/>
            <w:noWrap/>
            <w:vAlign w:val="center"/>
          </w:tcPr>
          <w:p>
            <w:pPr>
              <w:jc w:val="center"/>
              <w:rPr>
                <w:color w:val="1C1C1C"/>
              </w:rPr>
            </w:pPr>
            <w:r>
              <w:rPr>
                <w:rFonts w:hint="eastAsia"/>
                <w:color w:val="1C1C1C"/>
              </w:rPr>
              <w:t>西部</w:t>
            </w:r>
          </w:p>
        </w:tc>
        <w:tc>
          <w:tcPr>
            <w:tcW w:w="2681" w:type="dxa"/>
            <w:noWrap/>
            <w:vAlign w:val="center"/>
          </w:tcPr>
          <w:p>
            <w:pPr>
              <w:jc w:val="center"/>
              <w:rPr>
                <w:color w:val="1C1C1C"/>
              </w:rPr>
            </w:pPr>
            <w:r>
              <w:rPr>
                <w:rFonts w:hint="eastAsia"/>
                <w:color w:val="1C1C1C"/>
              </w:rPr>
              <w:t>西北</w:t>
            </w:r>
          </w:p>
        </w:tc>
      </w:tr>
    </w:tbl>
    <w:p>
      <w:pPr>
        <w:spacing w:before="156" w:beforeLines="50" w:after="156" w:afterLines="50" w:line="700" w:lineRule="exact"/>
        <w:rPr>
          <w:rFonts w:ascii="黑体" w:hAnsi="黑体" w:eastAsia="黑体"/>
          <w:color w:val="1C1C1C"/>
        </w:rPr>
        <w:sectPr>
          <w:pgSz w:w="11906" w:h="16838"/>
          <w:pgMar w:top="2098" w:right="1474" w:bottom="1985" w:left="1588" w:header="851" w:footer="992" w:gutter="0"/>
          <w:pgNumType w:fmt="numberInDash"/>
          <w:cols w:space="720" w:num="1"/>
          <w:docGrid w:type="lines" w:linePitch="312" w:charSpace="0"/>
        </w:sectPr>
      </w:pPr>
    </w:p>
    <w:p>
      <w:pPr>
        <w:spacing w:before="217" w:beforeLines="50" w:after="217" w:afterLines="50" w:line="700" w:lineRule="exact"/>
        <w:rPr>
          <w:rFonts w:ascii="黑体" w:hAnsi="黑体" w:eastAsia="黑体"/>
          <w:color w:val="1C1C1C"/>
          <w:sz w:val="32"/>
          <w:szCs w:val="32"/>
        </w:rPr>
      </w:pPr>
      <w:r>
        <w:rPr>
          <w:rFonts w:hint="eastAsia" w:ascii="黑体" w:hAnsi="黑体" w:eastAsia="黑体"/>
          <w:color w:val="1C1C1C"/>
          <w:sz w:val="32"/>
          <w:szCs w:val="32"/>
        </w:rPr>
        <w:t>说  明：</w:t>
      </w:r>
    </w:p>
    <w:p>
      <w:pPr>
        <w:pStyle w:val="26"/>
        <w:ind w:firstLine="640"/>
        <w:jc w:val="both"/>
        <w:rPr>
          <w:rFonts w:ascii="仿宋" w:hAnsi="仿宋" w:eastAsia="仿宋" w:cs="仿宋"/>
          <w:color w:val="1C1C1C"/>
          <w:sz w:val="32"/>
          <w:szCs w:val="32"/>
        </w:rPr>
      </w:pPr>
      <w:r>
        <w:rPr>
          <w:rFonts w:hint="eastAsia" w:ascii="仿宋" w:hAnsi="仿宋" w:eastAsia="仿宋" w:cs="仿宋"/>
          <w:color w:val="1C1C1C"/>
          <w:sz w:val="32"/>
          <w:szCs w:val="32"/>
        </w:rPr>
        <w:t>三大地理区域划分的依据：全国人大六届四次会议通过的“七五”计划正式公告。</w:t>
      </w:r>
    </w:p>
    <w:p>
      <w:pPr>
        <w:pStyle w:val="26"/>
        <w:ind w:firstLine="640"/>
        <w:jc w:val="both"/>
        <w:rPr>
          <w:rFonts w:ascii="仿宋" w:hAnsi="仿宋" w:eastAsia="仿宋" w:cs="仿宋"/>
          <w:color w:val="1C1C1C"/>
          <w:sz w:val="32"/>
          <w:szCs w:val="32"/>
        </w:rPr>
        <w:sectPr>
          <w:footerReference r:id="rId7" w:type="default"/>
          <w:pgSz w:w="11906" w:h="16838"/>
          <w:pgMar w:top="1440" w:right="1800" w:bottom="1440" w:left="1800" w:header="851" w:footer="992" w:gutter="0"/>
          <w:pgNumType w:fmt="numberInDash"/>
          <w:cols w:space="720" w:num="1"/>
          <w:docGrid w:type="lines" w:linePitch="435" w:charSpace="0"/>
        </w:sectPr>
      </w:pPr>
      <w:r>
        <w:rPr>
          <w:rFonts w:hint="eastAsia" w:ascii="仿宋" w:hAnsi="仿宋" w:eastAsia="仿宋" w:cs="仿宋"/>
          <w:color w:val="1C1C1C"/>
          <w:sz w:val="32"/>
          <w:szCs w:val="32"/>
        </w:rPr>
        <w:t>七大地理区域划分的依据：一是中国自然地理区划方面众多权威专家多年的科研成果，二是全国高校地理专业师生普遍使用的《中国自然地理》教材，三是根据长期以来中学地理教材《中国地理》编写中形成的共识。</w:t>
      </w:r>
      <w:bookmarkStart w:id="94" w:name="_Toc535136912"/>
      <w:bookmarkEnd w:id="94"/>
      <w:bookmarkStart w:id="95" w:name="_Toc535136784"/>
      <w:bookmarkEnd w:id="95"/>
    </w:p>
    <w:p>
      <w:pPr>
        <w:pStyle w:val="3"/>
        <w:jc w:val="center"/>
        <w:rPr>
          <w:rFonts w:ascii="黑体" w:hAnsi="黑体" w:eastAsia="黑体" w:cs="黑体"/>
          <w:b w:val="0"/>
          <w:bCs/>
          <w:i w:val="0"/>
          <w:iCs/>
          <w:sz w:val="32"/>
          <w:szCs w:val="28"/>
        </w:rPr>
      </w:pPr>
      <w:bookmarkStart w:id="96" w:name="_Toc22250"/>
      <w:bookmarkStart w:id="97" w:name="_Toc62721790"/>
      <w:bookmarkStart w:id="98" w:name="_Toc33719424"/>
      <w:r>
        <w:rPr>
          <w:rFonts w:hint="eastAsia" w:ascii="黑体" w:hAnsi="黑体" w:eastAsia="黑体" w:cs="黑体"/>
          <w:b w:val="0"/>
          <w:bCs/>
          <w:i w:val="0"/>
          <w:iCs/>
          <w:sz w:val="32"/>
          <w:szCs w:val="28"/>
        </w:rPr>
        <w:t>附录4  不同城市类别与不同消费群体满意度得分情况</w:t>
      </w:r>
      <w:bookmarkEnd w:id="96"/>
      <w:bookmarkEnd w:id="97"/>
      <w:bookmarkEnd w:id="98"/>
    </w:p>
    <w:p>
      <w:pPr>
        <w:ind w:firstLine="640" w:firstLineChars="200"/>
        <w:jc w:val="both"/>
        <w:rPr>
          <w:rFonts w:ascii="黑体" w:hAnsi="黑体" w:eastAsia="黑体" w:cs="黑体"/>
          <w:sz w:val="32"/>
          <w:szCs w:val="40"/>
        </w:rPr>
      </w:pPr>
      <w:bookmarkStart w:id="99" w:name="_Toc33719425"/>
      <w:r>
        <w:rPr>
          <w:rFonts w:hint="eastAsia" w:ascii="黑体" w:hAnsi="黑体" w:eastAsia="黑体" w:cs="黑体"/>
          <w:sz w:val="32"/>
          <w:szCs w:val="40"/>
        </w:rPr>
        <w:t>（一）不同城市类别消费者满意度得分</w:t>
      </w:r>
      <w:bookmarkEnd w:id="99"/>
    </w:p>
    <w:p>
      <w:pPr>
        <w:ind w:firstLine="643" w:firstLineChars="200"/>
        <w:jc w:val="both"/>
        <w:rPr>
          <w:rFonts w:ascii="仿宋" w:hAnsi="仿宋" w:eastAsia="仿宋" w:cs="仿宋"/>
          <w:sz w:val="32"/>
          <w:szCs w:val="32"/>
        </w:rPr>
      </w:pPr>
      <w:r>
        <w:rPr>
          <w:rFonts w:hint="eastAsia" w:ascii="仿宋" w:hAnsi="仿宋" w:eastAsia="仿宋" w:cs="仿宋"/>
          <w:b/>
          <w:bCs/>
          <w:sz w:val="32"/>
          <w:szCs w:val="32"/>
        </w:rPr>
        <w:t>1.不同社会消费品零售总额城市。</w:t>
      </w:r>
      <w:r>
        <w:rPr>
          <w:rFonts w:hint="eastAsia" w:ascii="仿宋" w:hAnsi="仿宋" w:eastAsia="仿宋" w:cs="仿宋"/>
          <w:sz w:val="32"/>
          <w:szCs w:val="32"/>
        </w:rPr>
        <w:t>按照社会消费品零售总额，将100个城市划分为4千亿以上、2千-4千亿、1千-2千亿及1千亿以下四个城市类别。</w:t>
      </w:r>
    </w:p>
    <w:p>
      <w:pPr>
        <w:ind w:firstLine="640" w:firstLineChars="200"/>
        <w:jc w:val="both"/>
        <w:rPr>
          <w:rFonts w:ascii="仿宋" w:hAnsi="仿宋" w:eastAsia="仿宋" w:cs="仿宋"/>
          <w:spacing w:val="-8"/>
          <w:sz w:val="32"/>
          <w:szCs w:val="32"/>
        </w:rPr>
      </w:pPr>
      <w:r>
        <w:rPr>
          <w:rFonts w:hint="eastAsia" w:ascii="仿宋" w:hAnsi="仿宋" w:eastAsia="仿宋" w:cs="仿宋"/>
          <w:sz w:val="32"/>
          <w:szCs w:val="32"/>
        </w:rPr>
        <w:t>根据调查结果，2022年社会消费品零售总额在4千亿以上的城市消费者满意度得分最高，为81.85分。与</w:t>
      </w:r>
      <w:r>
        <w:rPr>
          <w:rFonts w:hint="eastAsia" w:ascii="仿宋" w:hAnsi="仿宋" w:eastAsia="仿宋" w:cs="仿宋"/>
          <w:spacing w:val="-8"/>
          <w:sz w:val="32"/>
          <w:szCs w:val="32"/>
        </w:rPr>
        <w:t>2021年得分相比，不同社会消费品零售总额各相关类别城市群的满意度得分均有所下降，下降最多的是社会消费品零售总额在1千亿以下的城市，降低了3.82分，与2019年的得分水平较为接近。</w:t>
      </w:r>
    </w:p>
    <w:p>
      <w:pPr>
        <w:jc w:val="center"/>
        <w:rPr>
          <w:rFonts w:ascii="仿宋" w:hAnsi="仿宋" w:eastAsia="仿宋" w:cs="仿宋"/>
          <w:spacing w:val="-8"/>
          <w:sz w:val="32"/>
          <w:szCs w:val="32"/>
        </w:rPr>
      </w:pPr>
      <w:r>
        <w:rPr>
          <w:rFonts w:hint="eastAsia" w:ascii="仿宋" w:hAnsi="仿宋" w:eastAsia="仿宋" w:cs="仿宋"/>
          <w:spacing w:val="-8"/>
          <w:sz w:val="32"/>
          <w:szCs w:val="32"/>
        </w:rPr>
        <w:drawing>
          <wp:inline distT="0" distB="0" distL="114300" distR="114300">
            <wp:extent cx="5080000" cy="2733040"/>
            <wp:effectExtent l="0" t="0" r="6350" b="1016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jc w:val="center"/>
        <w:rPr>
          <w:rFonts w:ascii="仿宋" w:hAnsi="仿宋" w:eastAsia="仿宋" w:cs="仿宋"/>
        </w:rPr>
      </w:pPr>
      <w:r>
        <w:rPr>
          <w:rFonts w:hint="eastAsia" w:ascii="黑体" w:hAnsi="黑体" w:eastAsia="黑体"/>
          <w:color w:val="1C1C1C"/>
        </w:rPr>
        <w:t>附图1  近5年不同社会消费品零售总额城市消费者满意度得分</w:t>
      </w:r>
    </w:p>
    <w:p>
      <w:pPr>
        <w:ind w:firstLine="643" w:firstLineChars="200"/>
        <w:jc w:val="both"/>
        <w:rPr>
          <w:rFonts w:ascii="仿宋" w:hAnsi="仿宋" w:eastAsia="仿宋" w:cs="仿宋"/>
          <w:sz w:val="32"/>
          <w:szCs w:val="32"/>
        </w:rPr>
      </w:pPr>
      <w:r>
        <w:rPr>
          <w:rFonts w:hint="eastAsia" w:ascii="仿宋" w:hAnsi="仿宋" w:eastAsia="仿宋" w:cs="仿宋"/>
          <w:b/>
          <w:bCs/>
          <w:sz w:val="32"/>
          <w:szCs w:val="32"/>
        </w:rPr>
        <w:t>2.不同规模城市。</w:t>
      </w:r>
      <w:r>
        <w:rPr>
          <w:rFonts w:hint="eastAsia" w:ascii="仿宋" w:hAnsi="仿宋" w:eastAsia="仿宋" w:cs="仿宋"/>
          <w:sz w:val="32"/>
          <w:szCs w:val="32"/>
        </w:rPr>
        <w:t>根据2014年国务院公布的《关于调整城市规模划分标准的通知》，按照“七普”的城区人口进行城市分类，参与调查的城市可以分为：超大城市、特大城市、Ⅰ型大城市、Ⅱ型大城市和中小型城市五类。</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根据调查结果，2022年超大城市的消费者满意度得分最高，为81.88分，其次是特大城市，为81.20分。与2021年得分相比，所有类别城市得分均有所下降，下降最多的是中小型城市，降低了4.09分。</w:t>
      </w:r>
    </w:p>
    <w:p>
      <w:pPr>
        <w:jc w:val="center"/>
      </w:pPr>
      <w:r>
        <w:rPr>
          <w:rFonts w:hint="eastAsia" w:ascii="仿宋" w:hAnsi="仿宋" w:eastAsia="仿宋" w:cs="仿宋"/>
          <w:spacing w:val="-8"/>
          <w:sz w:val="32"/>
          <w:szCs w:val="32"/>
        </w:rPr>
        <w:drawing>
          <wp:inline distT="0" distB="0" distL="114300" distR="114300">
            <wp:extent cx="5080000" cy="2733040"/>
            <wp:effectExtent l="0" t="0" r="6350" b="1016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jc w:val="center"/>
        <w:rPr>
          <w:b/>
          <w:color w:val="1C1C1C"/>
          <w:sz w:val="28"/>
          <w:szCs w:val="28"/>
        </w:rPr>
      </w:pPr>
      <w:r>
        <w:rPr>
          <w:rFonts w:hint="eastAsia" w:ascii="黑体" w:hAnsi="黑体" w:eastAsia="黑体"/>
          <w:color w:val="1C1C1C"/>
          <w:sz w:val="28"/>
        </w:rPr>
        <w:t>附图2  近5年不同规模城市消费者满意度得分</w:t>
      </w:r>
    </w:p>
    <w:p>
      <w:pPr>
        <w:widowControl w:val="0"/>
        <w:ind w:firstLine="643" w:firstLineChars="200"/>
        <w:jc w:val="both"/>
        <w:rPr>
          <w:rFonts w:ascii="仿宋" w:hAnsi="仿宋" w:eastAsia="仿宋" w:cs="仿宋"/>
          <w:sz w:val="32"/>
          <w:szCs w:val="32"/>
        </w:rPr>
      </w:pPr>
      <w:r>
        <w:rPr>
          <w:rFonts w:hint="eastAsia" w:ascii="仿宋" w:hAnsi="仿宋" w:eastAsia="仿宋" w:cs="仿宋"/>
          <w:b/>
          <w:bCs/>
          <w:sz w:val="32"/>
          <w:szCs w:val="32"/>
        </w:rPr>
        <w:t>3.不同行政级别城市。</w:t>
      </w:r>
      <w:r>
        <w:rPr>
          <w:rFonts w:hint="eastAsia" w:ascii="仿宋" w:hAnsi="仿宋" w:eastAsia="仿宋" w:cs="仿宋"/>
          <w:sz w:val="32"/>
          <w:szCs w:val="32"/>
        </w:rPr>
        <w:t>按照城市行政级别，将城市划分为直辖市、计划单列市、省会城市、其他城市四个城市类别。</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2022年各行政级别城市消费者满意度得分由高到低依次为：计划单列市（83.72分）、直辖市（81.50分）、省会城市（78.73分）、其他城市（77.96分）。与2021年得分相比，计划单列市的消费者满意度得分有所提高，其他类别城市的得分均有所下降。</w:t>
      </w:r>
    </w:p>
    <w:p>
      <w:pPr>
        <w:jc w:val="center"/>
        <w:rPr>
          <w:rFonts w:ascii="仿宋" w:hAnsi="仿宋" w:eastAsia="仿宋" w:cs="仿宋"/>
          <w:sz w:val="32"/>
          <w:szCs w:val="32"/>
        </w:rPr>
      </w:pPr>
      <w:r>
        <w:rPr>
          <w:rFonts w:hint="eastAsia" w:ascii="仿宋" w:hAnsi="仿宋" w:eastAsia="仿宋" w:cs="仿宋"/>
          <w:spacing w:val="-8"/>
          <w:sz w:val="32"/>
          <w:szCs w:val="32"/>
        </w:rPr>
        <w:drawing>
          <wp:inline distT="0" distB="0" distL="114300" distR="114300">
            <wp:extent cx="5080000" cy="2647315"/>
            <wp:effectExtent l="0" t="0" r="6350" b="63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jc w:val="center"/>
        <w:rPr>
          <w:rFonts w:ascii="黑体" w:hAnsi="黑体" w:eastAsia="黑体"/>
          <w:color w:val="1C1C1C"/>
          <w:sz w:val="28"/>
        </w:rPr>
      </w:pPr>
      <w:r>
        <w:rPr>
          <w:rFonts w:hint="eastAsia" w:ascii="黑体" w:hAnsi="黑体" w:eastAsia="黑体"/>
          <w:color w:val="1C1C1C"/>
          <w:sz w:val="28"/>
        </w:rPr>
        <w:t>附图3  近5年不同行政级别城市消费者满意度得分</w:t>
      </w:r>
    </w:p>
    <w:p>
      <w:pPr>
        <w:ind w:firstLine="643" w:firstLineChars="200"/>
        <w:jc w:val="both"/>
        <w:rPr>
          <w:rFonts w:ascii="仿宋" w:hAnsi="仿宋" w:eastAsia="仿宋" w:cs="仿宋"/>
          <w:sz w:val="32"/>
          <w:szCs w:val="32"/>
        </w:rPr>
      </w:pPr>
      <w:r>
        <w:rPr>
          <w:rFonts w:hint="eastAsia" w:ascii="仿宋" w:hAnsi="仿宋" w:eastAsia="仿宋" w:cs="仿宋"/>
          <w:b/>
          <w:bCs/>
          <w:sz w:val="32"/>
          <w:szCs w:val="32"/>
        </w:rPr>
        <w:t>4.三大地理地区城市。</w:t>
      </w:r>
      <w:r>
        <w:rPr>
          <w:rFonts w:hint="eastAsia" w:ascii="仿宋" w:hAnsi="仿宋" w:eastAsia="仿宋" w:cs="仿宋"/>
          <w:sz w:val="32"/>
          <w:szCs w:val="32"/>
        </w:rPr>
        <w:t>2022年不同地理区域城市得分由高到低依次为：东部（81.66分）、中部（76.55分）和西部（76.19分）。与2021年相比，三大地理区域的消费者满意度得分均有所下降，中部、西部地区得分降幅在3分左右。</w:t>
      </w:r>
    </w:p>
    <w:p>
      <w:pPr>
        <w:jc w:val="center"/>
      </w:pPr>
      <w:r>
        <w:rPr>
          <w:rFonts w:hint="eastAsia" w:ascii="仿宋" w:hAnsi="仿宋" w:eastAsia="仿宋" w:cs="仿宋"/>
          <w:spacing w:val="-8"/>
          <w:sz w:val="32"/>
          <w:szCs w:val="32"/>
        </w:rPr>
        <w:drawing>
          <wp:inline distT="0" distB="0" distL="114300" distR="114300">
            <wp:extent cx="4928235" cy="2466975"/>
            <wp:effectExtent l="0" t="0" r="5715" b="952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spacing w:line="360" w:lineRule="auto"/>
        <w:jc w:val="center"/>
        <w:rPr>
          <w:rFonts w:ascii="黑体" w:hAnsi="黑体" w:eastAsia="黑体"/>
          <w:color w:val="1C1C1C"/>
          <w:sz w:val="28"/>
        </w:rPr>
      </w:pPr>
      <w:r>
        <w:rPr>
          <w:rFonts w:hint="eastAsia" w:ascii="黑体" w:hAnsi="黑体" w:eastAsia="黑体"/>
          <w:color w:val="1C1C1C"/>
          <w:sz w:val="28"/>
        </w:rPr>
        <w:t>附图4  近5年三大地理地区消费者满意度得分</w:t>
      </w:r>
    </w:p>
    <w:p>
      <w:pPr>
        <w:ind w:firstLine="643" w:firstLineChars="200"/>
        <w:jc w:val="both"/>
        <w:rPr>
          <w:rFonts w:ascii="仿宋" w:hAnsi="仿宋" w:eastAsia="仿宋" w:cs="仿宋"/>
          <w:sz w:val="32"/>
          <w:szCs w:val="32"/>
        </w:rPr>
      </w:pPr>
      <w:r>
        <w:rPr>
          <w:rFonts w:hint="eastAsia" w:ascii="仿宋" w:hAnsi="仿宋" w:eastAsia="仿宋" w:cs="仿宋"/>
          <w:b/>
          <w:bCs/>
          <w:sz w:val="32"/>
          <w:szCs w:val="32"/>
        </w:rPr>
        <w:t>5.七大地理地区城市。</w:t>
      </w:r>
      <w:r>
        <w:rPr>
          <w:rFonts w:hint="eastAsia" w:ascii="仿宋" w:hAnsi="仿宋" w:eastAsia="仿宋" w:cs="仿宋"/>
          <w:sz w:val="32"/>
          <w:szCs w:val="32"/>
        </w:rPr>
        <w:t>2022年华东地区的消费者满意度得分最高，为82.26分，其次是华南地区，为79.20分。与2021年相比，七大地理区域的消费者满意度得分均有所下降，其中，西北地区消费者满意度得分下降最多，降低了3.98分。</w:t>
      </w:r>
    </w:p>
    <w:p>
      <w:pPr>
        <w:jc w:val="center"/>
      </w:pPr>
      <w:r>
        <w:rPr>
          <w:rFonts w:hint="eastAsia" w:ascii="仿宋" w:hAnsi="仿宋" w:eastAsia="仿宋" w:cs="仿宋"/>
          <w:spacing w:val="-8"/>
          <w:sz w:val="32"/>
          <w:szCs w:val="32"/>
        </w:rPr>
        <w:drawing>
          <wp:inline distT="0" distB="0" distL="114300" distR="114300">
            <wp:extent cx="4928235" cy="2588260"/>
            <wp:effectExtent l="0" t="0" r="12065" b="254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jc w:val="center"/>
        <w:rPr>
          <w:rFonts w:ascii="黑体" w:hAnsi="黑体" w:eastAsia="黑体"/>
          <w:color w:val="1C1C1C"/>
          <w:sz w:val="28"/>
        </w:rPr>
      </w:pPr>
      <w:r>
        <w:rPr>
          <w:rFonts w:hint="eastAsia" w:ascii="黑体" w:hAnsi="黑体" w:eastAsia="黑体"/>
          <w:color w:val="1C1C1C"/>
          <w:sz w:val="28"/>
        </w:rPr>
        <w:t>附图5  近5年七大地理地区消费者满意度得分</w:t>
      </w:r>
    </w:p>
    <w:p>
      <w:pPr>
        <w:ind w:firstLine="643" w:firstLineChars="200"/>
        <w:jc w:val="both"/>
        <w:rPr>
          <w:rFonts w:ascii="仿宋" w:hAnsi="仿宋" w:eastAsia="仿宋" w:cs="仿宋"/>
          <w:sz w:val="32"/>
          <w:szCs w:val="32"/>
        </w:rPr>
      </w:pPr>
      <w:r>
        <w:rPr>
          <w:rFonts w:hint="eastAsia" w:ascii="仿宋" w:hAnsi="仿宋" w:eastAsia="仿宋" w:cs="仿宋"/>
          <w:b/>
          <w:bCs/>
          <w:sz w:val="32"/>
          <w:szCs w:val="32"/>
        </w:rPr>
        <w:t>6.不同省份城市。</w:t>
      </w:r>
      <w:r>
        <w:rPr>
          <w:rFonts w:hint="eastAsia" w:ascii="仿宋" w:hAnsi="仿宋" w:eastAsia="仿宋" w:cs="仿宋"/>
          <w:sz w:val="32"/>
          <w:szCs w:val="32"/>
        </w:rPr>
        <w:t>根据调查结果，2022年所有省份消费者满意度得分均在72分以上，9个省份得分在80分以上。其中，满意度得分最高的是江苏省85.70分，得分最低的是甘肃省72.96分，最高分与最低分之间相差12.73分。</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具体来看，排名靠前的3个省份依次为江苏省（85.70分）、北京市（84.42分）、山东省（83.34分）。排名靠后的3个省份依次为吉林省（74.21分）、海南省（73.37分）、甘肃省（72.96分）。</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与2021年得分相比，江苏省、北京市、山东省、浙江省、天津市、广东省、湖北省等7个省市得分提高，其他省份得分均有所下降。</w:t>
      </w:r>
    </w:p>
    <w:p>
      <w:r>
        <w:drawing>
          <wp:inline distT="0" distB="0" distL="114300" distR="114300">
            <wp:extent cx="5080000" cy="8460740"/>
            <wp:effectExtent l="0" t="0" r="6350" b="1651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
        <w:drawing>
          <wp:inline distT="0" distB="0" distL="114300" distR="114300">
            <wp:extent cx="5080000" cy="8460740"/>
            <wp:effectExtent l="0" t="0" r="6350" b="1651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jc w:val="center"/>
        <w:rPr>
          <w:sz w:val="28"/>
          <w:szCs w:val="28"/>
        </w:rPr>
      </w:pPr>
      <w:r>
        <w:rPr>
          <w:rFonts w:hint="eastAsia" w:ascii="黑体" w:hAnsi="黑体" w:eastAsia="黑体"/>
          <w:color w:val="1C1C1C"/>
          <w:sz w:val="28"/>
          <w:szCs w:val="28"/>
        </w:rPr>
        <w:t xml:space="preserve">附图6 </w:t>
      </w:r>
      <w:r>
        <w:rPr>
          <w:rFonts w:ascii="黑体" w:hAnsi="黑体" w:eastAsia="黑体"/>
          <w:color w:val="1C1C1C"/>
          <w:sz w:val="28"/>
          <w:szCs w:val="28"/>
        </w:rPr>
        <w:t xml:space="preserve"> </w:t>
      </w:r>
      <w:r>
        <w:rPr>
          <w:rFonts w:hint="eastAsia" w:ascii="黑体" w:hAnsi="黑体" w:eastAsia="黑体"/>
          <w:color w:val="1C1C1C"/>
          <w:sz w:val="28"/>
          <w:szCs w:val="28"/>
        </w:rPr>
        <w:t>近5年不同省份消费者满意度得分</w:t>
      </w:r>
    </w:p>
    <w:p>
      <w:pPr>
        <w:ind w:firstLine="640" w:firstLineChars="200"/>
        <w:jc w:val="both"/>
        <w:rPr>
          <w:rFonts w:ascii="黑体" w:hAnsi="黑体" w:eastAsia="黑体" w:cs="黑体"/>
          <w:sz w:val="32"/>
          <w:szCs w:val="40"/>
        </w:rPr>
      </w:pPr>
      <w:r>
        <w:rPr>
          <w:rFonts w:hint="eastAsia" w:ascii="黑体" w:hAnsi="黑体" w:eastAsia="黑体" w:cs="黑体"/>
          <w:sz w:val="32"/>
          <w:szCs w:val="40"/>
        </w:rPr>
        <w:t>（二）不同消费群体满意度得分</w:t>
      </w:r>
    </w:p>
    <w:p>
      <w:pPr>
        <w:ind w:firstLine="643" w:firstLineChars="200"/>
        <w:jc w:val="both"/>
        <w:rPr>
          <w:rFonts w:ascii="仿宋" w:hAnsi="仿宋" w:eastAsia="仿宋" w:cs="仿宋"/>
          <w:sz w:val="32"/>
          <w:szCs w:val="32"/>
        </w:rPr>
      </w:pPr>
      <w:r>
        <w:rPr>
          <w:rFonts w:hint="eastAsia" w:ascii="仿宋" w:hAnsi="仿宋" w:eastAsia="仿宋" w:cs="仿宋"/>
          <w:b/>
          <w:bCs/>
          <w:sz w:val="32"/>
          <w:szCs w:val="32"/>
        </w:rPr>
        <w:t>1.不同性别群体。</w:t>
      </w:r>
      <w:r>
        <w:rPr>
          <w:rFonts w:hint="eastAsia" w:ascii="仿宋" w:hAnsi="仿宋" w:eastAsia="仿宋" w:cs="仿宋"/>
          <w:sz w:val="32"/>
          <w:szCs w:val="32"/>
        </w:rPr>
        <w:t>2022年男性消费者和女性消费者满意度得分分别为79.01分和78.62分。近5年的调查结果均为男性得分略高于女性。与2021年相比，男性和女性消费者的满意度得分均有下降。</w:t>
      </w:r>
    </w:p>
    <w:p>
      <w:pPr>
        <w:jc w:val="center"/>
      </w:pPr>
      <w:r>
        <w:rPr>
          <w:rFonts w:hint="eastAsia" w:ascii="仿宋" w:hAnsi="仿宋" w:eastAsia="仿宋" w:cs="仿宋"/>
          <w:spacing w:val="-8"/>
          <w:sz w:val="32"/>
          <w:szCs w:val="32"/>
        </w:rPr>
        <w:drawing>
          <wp:inline distT="0" distB="0" distL="114300" distR="114300">
            <wp:extent cx="4709160" cy="2495550"/>
            <wp:effectExtent l="0" t="0" r="15240"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jc w:val="center"/>
        <w:rPr>
          <w:rFonts w:ascii="黑体" w:hAnsi="黑体" w:eastAsia="黑体"/>
          <w:color w:val="1C1C1C"/>
          <w:sz w:val="28"/>
        </w:rPr>
      </w:pPr>
      <w:r>
        <w:rPr>
          <w:rFonts w:hint="eastAsia" w:ascii="黑体" w:hAnsi="黑体" w:eastAsia="黑体"/>
          <w:color w:val="1C1C1C"/>
          <w:sz w:val="28"/>
        </w:rPr>
        <w:t>附图7</w:t>
      </w:r>
      <w:r>
        <w:rPr>
          <w:rFonts w:hint="eastAsia" w:ascii="黑体" w:hAnsi="黑体" w:eastAsia="黑体"/>
          <w:color w:val="1C1C1C"/>
          <w:sz w:val="28"/>
          <w:szCs w:val="28"/>
        </w:rPr>
        <w:t xml:space="preserve"> </w:t>
      </w:r>
      <w:r>
        <w:rPr>
          <w:rFonts w:ascii="黑体" w:hAnsi="黑体" w:eastAsia="黑体"/>
          <w:color w:val="1C1C1C"/>
          <w:sz w:val="28"/>
        </w:rPr>
        <w:t xml:space="preserve"> </w:t>
      </w:r>
      <w:r>
        <w:rPr>
          <w:rFonts w:hint="eastAsia" w:ascii="黑体" w:hAnsi="黑体" w:eastAsia="黑体"/>
          <w:color w:val="1C1C1C"/>
          <w:sz w:val="28"/>
        </w:rPr>
        <w:t>近5年不同性别消费者满意度得分</w:t>
      </w:r>
    </w:p>
    <w:p>
      <w:pPr>
        <w:ind w:firstLine="643" w:firstLineChars="200"/>
        <w:jc w:val="both"/>
        <w:rPr>
          <w:rFonts w:ascii="仿宋" w:hAnsi="仿宋" w:eastAsia="仿宋" w:cs="仿宋"/>
          <w:sz w:val="32"/>
          <w:szCs w:val="32"/>
        </w:rPr>
      </w:pPr>
      <w:r>
        <w:rPr>
          <w:rFonts w:hint="eastAsia" w:ascii="仿宋" w:hAnsi="仿宋" w:eastAsia="仿宋" w:cs="仿宋"/>
          <w:b/>
          <w:bCs/>
          <w:sz w:val="32"/>
          <w:szCs w:val="32"/>
        </w:rPr>
        <w:t>2.不同年龄群体。</w:t>
      </w:r>
      <w:r>
        <w:rPr>
          <w:rFonts w:hint="eastAsia" w:ascii="仿宋" w:hAnsi="仿宋" w:eastAsia="仿宋" w:cs="仿宋"/>
          <w:sz w:val="32"/>
          <w:szCs w:val="32"/>
        </w:rPr>
        <w:t>我们将消费者划分为15-24周岁、25-34周岁、35-44周岁、45-54周岁、55-70周岁五个年龄段。</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根据调查结果，2022年各年龄段消费者满意度得分差异较小，得分最高的为15-24周岁群体（79.09分），得分最低的为55-70周岁群体（78.45分）。与2021年相比，各年龄段消费者满意度得分均有下降。</w:t>
      </w:r>
    </w:p>
    <w:p>
      <w:pPr>
        <w:jc w:val="center"/>
        <w:rPr>
          <w:rFonts w:ascii="仿宋" w:hAnsi="仿宋" w:eastAsia="仿宋" w:cs="仿宋"/>
          <w:sz w:val="32"/>
          <w:szCs w:val="32"/>
        </w:rPr>
      </w:pPr>
      <w:r>
        <w:rPr>
          <w:rFonts w:hint="eastAsia" w:ascii="仿宋" w:hAnsi="仿宋" w:eastAsia="仿宋" w:cs="仿宋"/>
          <w:spacing w:val="-8"/>
          <w:sz w:val="32"/>
          <w:szCs w:val="32"/>
        </w:rPr>
        <w:drawing>
          <wp:inline distT="0" distB="0" distL="114300" distR="114300">
            <wp:extent cx="4709160" cy="2343150"/>
            <wp:effectExtent l="0" t="0" r="2540" b="635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line="360" w:lineRule="auto"/>
        <w:jc w:val="center"/>
        <w:rPr>
          <w:rFonts w:ascii="黑体" w:hAnsi="黑体" w:eastAsia="黑体"/>
          <w:color w:val="1C1C1C"/>
          <w:sz w:val="28"/>
        </w:rPr>
      </w:pPr>
      <w:r>
        <w:rPr>
          <w:rFonts w:hint="eastAsia" w:ascii="黑体" w:hAnsi="黑体" w:eastAsia="黑体"/>
          <w:color w:val="1C1C1C"/>
          <w:sz w:val="28"/>
        </w:rPr>
        <w:t>附图8  近5年不同年龄段消费者满意度得分</w:t>
      </w:r>
    </w:p>
    <w:p>
      <w:pPr>
        <w:ind w:firstLine="643" w:firstLineChars="200"/>
        <w:jc w:val="both"/>
        <w:rPr>
          <w:rFonts w:ascii="仿宋" w:hAnsi="仿宋" w:eastAsia="仿宋" w:cs="仿宋"/>
          <w:sz w:val="32"/>
          <w:szCs w:val="32"/>
        </w:rPr>
      </w:pPr>
      <w:r>
        <w:rPr>
          <w:rFonts w:hint="eastAsia" w:ascii="仿宋" w:hAnsi="仿宋" w:eastAsia="仿宋" w:cs="仿宋"/>
          <w:b/>
          <w:bCs/>
          <w:sz w:val="32"/>
          <w:szCs w:val="32"/>
        </w:rPr>
        <w:t>3.不同收入水平群体。</w:t>
      </w:r>
      <w:r>
        <w:rPr>
          <w:rFonts w:hint="eastAsia" w:ascii="仿宋" w:hAnsi="仿宋" w:eastAsia="仿宋" w:cs="仿宋"/>
          <w:sz w:val="32"/>
          <w:szCs w:val="32"/>
        </w:rPr>
        <w:t>按照不同个人月均收入水平进行划分，将所有收入群体划分成4个类别：3000元（含）以下、3000-5000元（含）、5000-8000元（含）和8000元以上。</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根据调查结果，2022年月均收入8000元以上消费群体的满意度得分最高，为79.60分，且随着收入的增加，消费者的满意度得分呈现出上升趋势。与2021年相比，不同收入群体的满意度得分均有下降。</w:t>
      </w:r>
    </w:p>
    <w:p>
      <w:pPr>
        <w:jc w:val="center"/>
      </w:pPr>
      <w:r>
        <w:rPr>
          <w:rFonts w:hint="eastAsia" w:ascii="仿宋" w:hAnsi="仿宋" w:eastAsia="仿宋" w:cs="仿宋"/>
          <w:spacing w:val="-8"/>
          <w:sz w:val="32"/>
          <w:szCs w:val="32"/>
        </w:rPr>
        <w:drawing>
          <wp:inline distT="0" distB="0" distL="114300" distR="114300">
            <wp:extent cx="4709160" cy="2495550"/>
            <wp:effectExtent l="0" t="0" r="15240" b="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60" w:lineRule="auto"/>
        <w:jc w:val="center"/>
        <w:rPr>
          <w:rFonts w:ascii="黑体" w:hAnsi="黑体" w:eastAsia="黑体"/>
          <w:color w:val="1C1C1C"/>
          <w:sz w:val="28"/>
        </w:rPr>
      </w:pPr>
      <w:r>
        <w:rPr>
          <w:rFonts w:hint="eastAsia" w:ascii="黑体" w:hAnsi="黑体" w:eastAsia="黑体"/>
          <w:color w:val="1C1C1C"/>
          <w:sz w:val="28"/>
        </w:rPr>
        <w:t>附图9  近5年不同个人月均收入群体满意度得分</w:t>
      </w:r>
    </w:p>
    <w:p>
      <w:pPr>
        <w:rPr>
          <w:rFonts w:ascii="黑体" w:hAnsi="黑体" w:eastAsia="黑体"/>
          <w:color w:val="1C1C1C"/>
          <w:szCs w:val="22"/>
        </w:rPr>
      </w:pPr>
      <w:r>
        <w:rPr>
          <w:rFonts w:hint="eastAsia" w:ascii="黑体" w:hAnsi="黑体" w:eastAsia="黑体"/>
          <w:color w:val="1C1C1C"/>
          <w:szCs w:val="22"/>
        </w:rPr>
        <w:br w:type="page"/>
      </w:r>
    </w:p>
    <w:p>
      <w:pPr>
        <w:pStyle w:val="3"/>
        <w:jc w:val="center"/>
        <w:rPr>
          <w:rFonts w:ascii="黑体" w:hAnsi="黑体" w:eastAsia="黑体" w:cs="黑体"/>
          <w:b w:val="0"/>
          <w:bCs/>
          <w:i w:val="0"/>
          <w:iCs/>
          <w:sz w:val="32"/>
          <w:szCs w:val="28"/>
        </w:rPr>
      </w:pPr>
      <w:bookmarkStart w:id="100" w:name="_Toc62721791"/>
      <w:bookmarkStart w:id="101" w:name="_Toc7655"/>
      <w:r>
        <w:rPr>
          <w:rFonts w:hint="eastAsia" w:ascii="黑体" w:hAnsi="黑体" w:eastAsia="黑体" w:cs="黑体"/>
          <w:b w:val="0"/>
          <w:bCs/>
          <w:i w:val="0"/>
          <w:iCs/>
          <w:sz w:val="32"/>
          <w:szCs w:val="28"/>
        </w:rPr>
        <w:t>附录5  在线消费情况</w:t>
      </w:r>
      <w:bookmarkEnd w:id="100"/>
      <w:bookmarkEnd w:id="101"/>
    </w:p>
    <w:p>
      <w:pPr>
        <w:ind w:firstLine="640" w:firstLineChars="200"/>
        <w:jc w:val="both"/>
        <w:rPr>
          <w:rFonts w:ascii="仿宋" w:hAnsi="仿宋" w:eastAsia="仿宋" w:cs="仿宋"/>
          <w:sz w:val="32"/>
          <w:szCs w:val="32"/>
        </w:rPr>
      </w:pPr>
      <w:r>
        <w:rPr>
          <w:rFonts w:hint="eastAsia" w:ascii="仿宋" w:hAnsi="仿宋" w:eastAsia="仿宋" w:cs="仿宋"/>
          <w:sz w:val="32"/>
          <w:szCs w:val="32"/>
        </w:rPr>
        <w:t>对比线下消费，我们同步对于消费者在线消费情况进行了调查。</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当被问及“相比于线下消费，最近一年使用网络购物等在线消费的情况”时，70.3%的消费者选择了“非常多”或“比较多”，29.7%的消费者选择了“一般”“比较少”或“非常少”。</w:t>
      </w:r>
    </w:p>
    <w:p>
      <w:pPr>
        <w:ind w:firstLine="640" w:firstLineChars="200"/>
        <w:jc w:val="both"/>
        <w:rPr>
          <w:rFonts w:ascii="仿宋" w:hAnsi="仿宋" w:eastAsia="仿宋" w:cs="仿宋"/>
          <w:sz w:val="32"/>
          <w:szCs w:val="32"/>
        </w:rPr>
      </w:pPr>
      <w:r>
        <w:rPr>
          <w:rFonts w:hint="eastAsia" w:ascii="仿宋" w:hAnsi="仿宋" w:eastAsia="仿宋" w:cs="仿宋"/>
          <w:sz w:val="32"/>
          <w:szCs w:val="32"/>
        </w:rPr>
        <w:t>相比于线下消费，选择使用网络购物等在线消费的最主要原因是“节省时间”，占比67.2%，其次是“价格实惠”，占比61.4%，再次是“产品多样”，占比60.7%。此外，“物流便捷”和“方便比价”的占比也达到了40%以上，分别为43.7%和43.5%。</w:t>
      </w:r>
    </w:p>
    <w:p>
      <w:r>
        <w:rPr>
          <w:rFonts w:hint="eastAsia"/>
        </w:rPr>
        <w:drawing>
          <wp:inline distT="0" distB="0" distL="0" distR="0">
            <wp:extent cx="5274310" cy="3076575"/>
            <wp:effectExtent l="0" t="0" r="2540" b="952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jc w:val="center"/>
        <w:rPr>
          <w:rFonts w:ascii="黑体" w:hAnsi="黑体" w:eastAsia="黑体" w:cs="黑体"/>
          <w:color w:val="1C1C1C"/>
          <w:sz w:val="28"/>
          <w:szCs w:val="28"/>
        </w:rPr>
      </w:pPr>
      <w:r>
        <w:rPr>
          <w:rFonts w:hint="eastAsia" w:ascii="黑体" w:hAnsi="黑体" w:eastAsia="黑体" w:cs="黑体"/>
          <w:color w:val="1C1C1C"/>
          <w:sz w:val="28"/>
          <w:szCs w:val="28"/>
        </w:rPr>
        <w:t xml:space="preserve">附图10 </w:t>
      </w:r>
      <w:r>
        <w:rPr>
          <w:rFonts w:hint="eastAsia" w:ascii="黑体" w:hAnsi="黑体" w:eastAsia="黑体" w:cs="黑体"/>
          <w:sz w:val="28"/>
          <w:szCs w:val="28"/>
        </w:rPr>
        <w:t>选择使用网络购物等在线消费的原因</w:t>
      </w:r>
      <w:r>
        <w:rPr>
          <w:rFonts w:hint="eastAsia" w:ascii="黑体" w:hAnsi="黑体" w:eastAsia="黑体" w:cs="黑体"/>
          <w:color w:val="1C1C1C"/>
          <w:sz w:val="28"/>
          <w:szCs w:val="28"/>
        </w:rPr>
        <w:br w:type="page"/>
      </w:r>
    </w:p>
    <w:p>
      <w:pPr>
        <w:ind w:firstLine="640" w:firstLineChars="200"/>
        <w:jc w:val="both"/>
        <w:rPr>
          <w:rFonts w:ascii="仿宋" w:hAnsi="仿宋" w:eastAsia="仿宋" w:cs="仿宋"/>
          <w:sz w:val="32"/>
          <w:szCs w:val="32"/>
        </w:rPr>
      </w:pPr>
      <w:r>
        <w:rPr>
          <w:rFonts w:hint="eastAsia" w:ascii="仿宋" w:hAnsi="仿宋" w:eastAsia="仿宋" w:cs="仿宋"/>
          <w:sz w:val="32"/>
          <w:szCs w:val="32"/>
        </w:rPr>
        <w:t>相比于线下消费，不常使用网络购物等在线消费的最主要原因是“假冒仿冒太多”，占比37.5%。此外，“商品质量不佳”“评论信息不可靠”“销量造假或刷单”和“支持实体店”的占比也达到了20%以上，分别为37.0%、27.3%、23.2%和20.5%。</w:t>
      </w:r>
    </w:p>
    <w:p>
      <w:pPr>
        <w:rPr>
          <w:rFonts w:ascii="仿宋" w:hAnsi="仿宋" w:eastAsia="仿宋" w:cs="仿宋"/>
          <w:sz w:val="32"/>
          <w:szCs w:val="32"/>
        </w:rPr>
      </w:pPr>
      <w:r>
        <w:rPr>
          <w:rFonts w:hint="eastAsia"/>
        </w:rPr>
        <w:drawing>
          <wp:inline distT="0" distB="0" distL="0" distR="0">
            <wp:extent cx="5274310" cy="3076575"/>
            <wp:effectExtent l="0" t="0" r="2540" b="9525"/>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jc w:val="center"/>
        <w:rPr>
          <w:rFonts w:ascii="黑体" w:hAnsi="黑体" w:eastAsia="黑体" w:cs="黑体"/>
          <w:sz w:val="28"/>
          <w:szCs w:val="28"/>
        </w:rPr>
      </w:pPr>
      <w:r>
        <w:rPr>
          <w:rFonts w:hint="eastAsia" w:ascii="黑体" w:hAnsi="黑体" w:eastAsia="黑体" w:cs="黑体"/>
          <w:color w:val="1C1C1C"/>
          <w:sz w:val="28"/>
          <w:szCs w:val="28"/>
        </w:rPr>
        <w:t xml:space="preserve">附图11 </w:t>
      </w:r>
      <w:r>
        <w:rPr>
          <w:rFonts w:hint="eastAsia" w:ascii="黑体" w:hAnsi="黑体" w:eastAsia="黑体" w:cs="黑体"/>
          <w:sz w:val="28"/>
          <w:szCs w:val="28"/>
        </w:rPr>
        <w:t>不常使用网络购物等在线消费的原因</w:t>
      </w:r>
    </w:p>
    <w:p>
      <w:pPr>
        <w:rPr>
          <w:rFonts w:ascii="黑体" w:hAnsi="黑体" w:eastAsia="黑体" w:cs="黑体"/>
          <w:sz w:val="28"/>
          <w:szCs w:val="28"/>
        </w:rPr>
      </w:pPr>
      <w:r>
        <w:rPr>
          <w:rFonts w:hint="eastAsia" w:ascii="黑体" w:hAnsi="黑体" w:eastAsia="黑体" w:cs="黑体"/>
          <w:sz w:val="28"/>
          <w:szCs w:val="28"/>
        </w:rPr>
        <w:br w:type="page"/>
      </w:r>
    </w:p>
    <w:p>
      <w:pPr>
        <w:jc w:val="center"/>
        <w:rPr>
          <w:rFonts w:ascii="黑体" w:hAnsi="黑体" w:eastAsia="黑体" w:cs="黑体"/>
          <w:color w:val="1C1C1C"/>
          <w:sz w:val="28"/>
          <w:szCs w:val="28"/>
        </w:rPr>
        <w:sectPr>
          <w:pgSz w:w="11906" w:h="16838"/>
          <w:pgMar w:top="1440" w:right="1800" w:bottom="1440" w:left="1800" w:header="851" w:footer="992" w:gutter="0"/>
          <w:pgNumType w:fmt="numberInDash"/>
          <w:cols w:space="425" w:num="1"/>
          <w:docGrid w:type="lines" w:linePitch="312" w:charSpace="0"/>
        </w:sectPr>
      </w:pPr>
    </w:p>
    <w:p>
      <w:r>
        <w:drawing>
          <wp:inline distT="0" distB="0" distL="114300" distR="114300">
            <wp:extent cx="8834120" cy="4942205"/>
            <wp:effectExtent l="0" t="0" r="5080" b="10795"/>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spacing w:line="400" w:lineRule="exact"/>
        <w:jc w:val="center"/>
        <w:rPr>
          <w:rFonts w:ascii="黑体" w:hAnsi="黑体" w:eastAsia="黑体" w:cs="黑体"/>
          <w:sz w:val="28"/>
          <w:szCs w:val="28"/>
        </w:rPr>
      </w:pPr>
      <w:r>
        <w:rPr>
          <w:rFonts w:hint="eastAsia" w:ascii="黑体" w:hAnsi="黑体" w:eastAsia="黑体" w:cs="黑体"/>
          <w:sz w:val="28"/>
          <w:szCs w:val="28"/>
        </w:rPr>
        <w:t>图 100个城市消费者满意度得分与排名</w:t>
      </w: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8528"/>
    </w:sdtPr>
    <w:sdtEndPr>
      <w:rPr>
        <w:sz w:val="21"/>
        <w:szCs w:val="21"/>
      </w:rPr>
    </w:sdtEndPr>
    <w:sdtContent>
      <w:p>
        <w:pPr>
          <w:pStyle w:val="9"/>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33 -</w:t>
        </w:r>
        <w:r>
          <w:rPr>
            <w:sz w:val="21"/>
            <w:szCs w:val="21"/>
          </w:rP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283795"/>
    </w:sdtPr>
    <w:sdtEndPr>
      <w:rPr>
        <w:sz w:val="21"/>
        <w:szCs w:val="21"/>
      </w:rPr>
    </w:sdtEndPr>
    <w:sdtContent>
      <w:p>
        <w:pPr>
          <w:pStyle w:val="9"/>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56 -</w:t>
        </w:r>
        <w:r>
          <w:rPr>
            <w:sz w:val="21"/>
            <w:szCs w:val="21"/>
          </w:rP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1298925"/>
    </w:sdtPr>
    <w:sdtEndPr>
      <w:rPr>
        <w:sz w:val="21"/>
        <w:szCs w:val="21"/>
      </w:rPr>
    </w:sdtEndPr>
    <w:sdtContent>
      <w:p>
        <w:pPr>
          <w:pStyle w:val="9"/>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98 -</w:t>
        </w:r>
        <w:r>
          <w:rPr>
            <w:sz w:val="21"/>
            <w:szCs w:val="21"/>
          </w:rPr>
          <w:fldChar w:fldCharType="end"/>
        </w:r>
      </w:p>
    </w:sdtContent>
  </w:sdt>
  <w:p>
    <w:pPr>
      <w:pStyle w:val="9"/>
      <w:tabs>
        <w:tab w:val="left" w:pos="8782"/>
        <w:tab w:val="clear" w:pos="4153"/>
        <w:tab w:val="clear" w:pos="8306"/>
      </w:tabs>
      <w:ind w:right="360"/>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283797"/>
    </w:sdtPr>
    <w:sdtEndPr>
      <w:rPr>
        <w:sz w:val="21"/>
        <w:szCs w:val="21"/>
      </w:rPr>
    </w:sdtEndPr>
    <w:sdtContent>
      <w:p>
        <w:pPr>
          <w:pStyle w:val="9"/>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109 -</w:t>
        </w:r>
        <w:r>
          <w:rPr>
            <w:sz w:val="21"/>
            <w:szCs w:val="21"/>
          </w:rP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2"/>
      </w:pPr>
      <w:r>
        <w:rPr>
          <w:rStyle w:val="25"/>
        </w:rPr>
        <w:footnoteRef/>
      </w:r>
      <w:r>
        <w:t xml:space="preserve"> </w:t>
      </w:r>
      <w:r>
        <w:rPr>
          <w:rFonts w:hint="eastAsia"/>
        </w:rPr>
        <w:t>保留两位有效数字时，2组城市得分一致，分别是淄博市和济南市、大庆市和包头市；保留三位小数时，淄博市得分79.669</w:t>
      </w:r>
      <w:r>
        <w:t>，</w:t>
      </w:r>
      <w:r>
        <w:rPr>
          <w:rFonts w:hint="eastAsia"/>
        </w:rPr>
        <w:t>济南</w:t>
      </w:r>
      <w:r>
        <w:t>市</w:t>
      </w:r>
      <w:r>
        <w:rPr>
          <w:rFonts w:hint="eastAsia"/>
        </w:rPr>
        <w:t>79.665</w:t>
      </w:r>
      <w:r>
        <w:t>，</w:t>
      </w:r>
      <w:r>
        <w:rPr>
          <w:rFonts w:hint="eastAsia"/>
        </w:rPr>
        <w:t>大庆市76.240，包头市76.238</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435"/>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zZWU0NWZkYjIwNzg2MTM5Njg4OWUyYzQ0M2EzZDkifQ=="/>
  </w:docVars>
  <w:rsids>
    <w:rsidRoot w:val="00172A27"/>
    <w:rsid w:val="000008A8"/>
    <w:rsid w:val="00004C23"/>
    <w:rsid w:val="00006982"/>
    <w:rsid w:val="00012A2F"/>
    <w:rsid w:val="0002090F"/>
    <w:rsid w:val="00022ED7"/>
    <w:rsid w:val="00030B8D"/>
    <w:rsid w:val="00031A98"/>
    <w:rsid w:val="00045886"/>
    <w:rsid w:val="00052D48"/>
    <w:rsid w:val="00054CF5"/>
    <w:rsid w:val="0006132D"/>
    <w:rsid w:val="00061AE2"/>
    <w:rsid w:val="0008311F"/>
    <w:rsid w:val="000834C9"/>
    <w:rsid w:val="0008354F"/>
    <w:rsid w:val="000923F4"/>
    <w:rsid w:val="000A37F2"/>
    <w:rsid w:val="000A5789"/>
    <w:rsid w:val="000B2B10"/>
    <w:rsid w:val="000B325C"/>
    <w:rsid w:val="000B32F3"/>
    <w:rsid w:val="000B70D4"/>
    <w:rsid w:val="000C1236"/>
    <w:rsid w:val="000C3472"/>
    <w:rsid w:val="000C6AAC"/>
    <w:rsid w:val="000D1B99"/>
    <w:rsid w:val="000E7D04"/>
    <w:rsid w:val="000F52E5"/>
    <w:rsid w:val="00106A6D"/>
    <w:rsid w:val="0011084F"/>
    <w:rsid w:val="001119E5"/>
    <w:rsid w:val="00111AB0"/>
    <w:rsid w:val="00126971"/>
    <w:rsid w:val="00131D04"/>
    <w:rsid w:val="00142B06"/>
    <w:rsid w:val="001560F9"/>
    <w:rsid w:val="00156992"/>
    <w:rsid w:val="00157099"/>
    <w:rsid w:val="00172A27"/>
    <w:rsid w:val="00176D87"/>
    <w:rsid w:val="00182CE9"/>
    <w:rsid w:val="0018563A"/>
    <w:rsid w:val="00192BEE"/>
    <w:rsid w:val="0019627F"/>
    <w:rsid w:val="001969A0"/>
    <w:rsid w:val="001A27A4"/>
    <w:rsid w:val="001B3732"/>
    <w:rsid w:val="001B38E1"/>
    <w:rsid w:val="001B757F"/>
    <w:rsid w:val="001C4A26"/>
    <w:rsid w:val="001C534A"/>
    <w:rsid w:val="001C5965"/>
    <w:rsid w:val="001F3071"/>
    <w:rsid w:val="001F416B"/>
    <w:rsid w:val="00204013"/>
    <w:rsid w:val="002065BD"/>
    <w:rsid w:val="00206660"/>
    <w:rsid w:val="0021584E"/>
    <w:rsid w:val="002158FF"/>
    <w:rsid w:val="002335C6"/>
    <w:rsid w:val="002376CA"/>
    <w:rsid w:val="00250D10"/>
    <w:rsid w:val="0026036F"/>
    <w:rsid w:val="00261D3B"/>
    <w:rsid w:val="002703FD"/>
    <w:rsid w:val="00270BE1"/>
    <w:rsid w:val="00276FEE"/>
    <w:rsid w:val="002776C4"/>
    <w:rsid w:val="002A1710"/>
    <w:rsid w:val="002B0CB1"/>
    <w:rsid w:val="002B182C"/>
    <w:rsid w:val="002C0354"/>
    <w:rsid w:val="002C34D6"/>
    <w:rsid w:val="002D1A54"/>
    <w:rsid w:val="002D2918"/>
    <w:rsid w:val="002D6C73"/>
    <w:rsid w:val="002E2716"/>
    <w:rsid w:val="002E4652"/>
    <w:rsid w:val="002F1FEB"/>
    <w:rsid w:val="002F275A"/>
    <w:rsid w:val="002F2960"/>
    <w:rsid w:val="00322268"/>
    <w:rsid w:val="00326392"/>
    <w:rsid w:val="0033186C"/>
    <w:rsid w:val="00337D19"/>
    <w:rsid w:val="00340670"/>
    <w:rsid w:val="00357852"/>
    <w:rsid w:val="00357A99"/>
    <w:rsid w:val="00363E1F"/>
    <w:rsid w:val="00373DBC"/>
    <w:rsid w:val="00384327"/>
    <w:rsid w:val="00386780"/>
    <w:rsid w:val="00392384"/>
    <w:rsid w:val="003B32E0"/>
    <w:rsid w:val="003B40A2"/>
    <w:rsid w:val="003C08EF"/>
    <w:rsid w:val="003C5720"/>
    <w:rsid w:val="003E2968"/>
    <w:rsid w:val="003F0988"/>
    <w:rsid w:val="003F1C88"/>
    <w:rsid w:val="003F33E6"/>
    <w:rsid w:val="003F5CFF"/>
    <w:rsid w:val="00402704"/>
    <w:rsid w:val="004109AA"/>
    <w:rsid w:val="00412A2F"/>
    <w:rsid w:val="004179E6"/>
    <w:rsid w:val="00420646"/>
    <w:rsid w:val="004321EF"/>
    <w:rsid w:val="00433440"/>
    <w:rsid w:val="00433BF2"/>
    <w:rsid w:val="0043657C"/>
    <w:rsid w:val="00451294"/>
    <w:rsid w:val="00461F0E"/>
    <w:rsid w:val="004625FC"/>
    <w:rsid w:val="0046681F"/>
    <w:rsid w:val="00473FE0"/>
    <w:rsid w:val="0047574C"/>
    <w:rsid w:val="00476A0D"/>
    <w:rsid w:val="00482A3B"/>
    <w:rsid w:val="00486C58"/>
    <w:rsid w:val="00486F6B"/>
    <w:rsid w:val="00491CAB"/>
    <w:rsid w:val="00492E29"/>
    <w:rsid w:val="00493835"/>
    <w:rsid w:val="004A3E89"/>
    <w:rsid w:val="004D30A1"/>
    <w:rsid w:val="004D378F"/>
    <w:rsid w:val="004D3D04"/>
    <w:rsid w:val="004D5B5C"/>
    <w:rsid w:val="004E15DB"/>
    <w:rsid w:val="004F2587"/>
    <w:rsid w:val="0051719E"/>
    <w:rsid w:val="00522172"/>
    <w:rsid w:val="00535C87"/>
    <w:rsid w:val="00550F1A"/>
    <w:rsid w:val="00551FB9"/>
    <w:rsid w:val="00552917"/>
    <w:rsid w:val="00554D4A"/>
    <w:rsid w:val="00561310"/>
    <w:rsid w:val="00561323"/>
    <w:rsid w:val="00566EED"/>
    <w:rsid w:val="00582EE9"/>
    <w:rsid w:val="00584828"/>
    <w:rsid w:val="00591921"/>
    <w:rsid w:val="005B797B"/>
    <w:rsid w:val="005C7B8F"/>
    <w:rsid w:val="005E06F3"/>
    <w:rsid w:val="005E0DE2"/>
    <w:rsid w:val="005E7974"/>
    <w:rsid w:val="005F4A02"/>
    <w:rsid w:val="005F6079"/>
    <w:rsid w:val="006009FE"/>
    <w:rsid w:val="006013E9"/>
    <w:rsid w:val="00602320"/>
    <w:rsid w:val="00612820"/>
    <w:rsid w:val="00622F9D"/>
    <w:rsid w:val="00634573"/>
    <w:rsid w:val="00643C98"/>
    <w:rsid w:val="00645482"/>
    <w:rsid w:val="00646012"/>
    <w:rsid w:val="0066560A"/>
    <w:rsid w:val="00667331"/>
    <w:rsid w:val="00674356"/>
    <w:rsid w:val="00674CD9"/>
    <w:rsid w:val="006750B8"/>
    <w:rsid w:val="00676EDF"/>
    <w:rsid w:val="0067763C"/>
    <w:rsid w:val="00677FF5"/>
    <w:rsid w:val="0068077A"/>
    <w:rsid w:val="006A311D"/>
    <w:rsid w:val="006A47A0"/>
    <w:rsid w:val="006A5A61"/>
    <w:rsid w:val="006C4B42"/>
    <w:rsid w:val="006D4E28"/>
    <w:rsid w:val="006E0E8C"/>
    <w:rsid w:val="006E163E"/>
    <w:rsid w:val="006F1EF5"/>
    <w:rsid w:val="007002D7"/>
    <w:rsid w:val="00701B80"/>
    <w:rsid w:val="00722096"/>
    <w:rsid w:val="00727151"/>
    <w:rsid w:val="007313F8"/>
    <w:rsid w:val="007333C3"/>
    <w:rsid w:val="0073724F"/>
    <w:rsid w:val="00744223"/>
    <w:rsid w:val="00744DD0"/>
    <w:rsid w:val="00751051"/>
    <w:rsid w:val="00751650"/>
    <w:rsid w:val="007650F3"/>
    <w:rsid w:val="007651A4"/>
    <w:rsid w:val="007666B2"/>
    <w:rsid w:val="00770AB3"/>
    <w:rsid w:val="00773BF9"/>
    <w:rsid w:val="0077609F"/>
    <w:rsid w:val="0078313E"/>
    <w:rsid w:val="00786B19"/>
    <w:rsid w:val="00794B0F"/>
    <w:rsid w:val="007A5DCF"/>
    <w:rsid w:val="007B0B55"/>
    <w:rsid w:val="007C43C7"/>
    <w:rsid w:val="007D236A"/>
    <w:rsid w:val="007E2B06"/>
    <w:rsid w:val="007E4CA5"/>
    <w:rsid w:val="007F33EC"/>
    <w:rsid w:val="007F7B20"/>
    <w:rsid w:val="00802AAE"/>
    <w:rsid w:val="00804A97"/>
    <w:rsid w:val="00810188"/>
    <w:rsid w:val="00810A3D"/>
    <w:rsid w:val="00810B7B"/>
    <w:rsid w:val="00812D65"/>
    <w:rsid w:val="00817A17"/>
    <w:rsid w:val="00817E66"/>
    <w:rsid w:val="00820482"/>
    <w:rsid w:val="00845518"/>
    <w:rsid w:val="00847624"/>
    <w:rsid w:val="0085514B"/>
    <w:rsid w:val="008571C0"/>
    <w:rsid w:val="0086060A"/>
    <w:rsid w:val="00877A54"/>
    <w:rsid w:val="00883E4B"/>
    <w:rsid w:val="00884CD5"/>
    <w:rsid w:val="00884FE6"/>
    <w:rsid w:val="00891CD5"/>
    <w:rsid w:val="0089789B"/>
    <w:rsid w:val="008A5BBF"/>
    <w:rsid w:val="008A7DDC"/>
    <w:rsid w:val="008B318F"/>
    <w:rsid w:val="008B6492"/>
    <w:rsid w:val="008B7AEB"/>
    <w:rsid w:val="008C50BE"/>
    <w:rsid w:val="008C70D4"/>
    <w:rsid w:val="008D4597"/>
    <w:rsid w:val="008E2A11"/>
    <w:rsid w:val="008F3B7C"/>
    <w:rsid w:val="008F4AF1"/>
    <w:rsid w:val="00922AC3"/>
    <w:rsid w:val="00922CB7"/>
    <w:rsid w:val="00943DC4"/>
    <w:rsid w:val="009535CE"/>
    <w:rsid w:val="00954326"/>
    <w:rsid w:val="00954736"/>
    <w:rsid w:val="00957335"/>
    <w:rsid w:val="00963589"/>
    <w:rsid w:val="00967302"/>
    <w:rsid w:val="009927A0"/>
    <w:rsid w:val="00992B85"/>
    <w:rsid w:val="00993E6D"/>
    <w:rsid w:val="009A158E"/>
    <w:rsid w:val="009A6216"/>
    <w:rsid w:val="009B2593"/>
    <w:rsid w:val="009B3AC8"/>
    <w:rsid w:val="009C3839"/>
    <w:rsid w:val="009C4875"/>
    <w:rsid w:val="009C7209"/>
    <w:rsid w:val="009E2905"/>
    <w:rsid w:val="009F1D66"/>
    <w:rsid w:val="00A04050"/>
    <w:rsid w:val="00A04FE0"/>
    <w:rsid w:val="00A25BD4"/>
    <w:rsid w:val="00A413B7"/>
    <w:rsid w:val="00A41A41"/>
    <w:rsid w:val="00A41EAE"/>
    <w:rsid w:val="00A54816"/>
    <w:rsid w:val="00A75205"/>
    <w:rsid w:val="00A860F0"/>
    <w:rsid w:val="00AB48C7"/>
    <w:rsid w:val="00AC577F"/>
    <w:rsid w:val="00AC6459"/>
    <w:rsid w:val="00AD175B"/>
    <w:rsid w:val="00AD3D92"/>
    <w:rsid w:val="00AD720A"/>
    <w:rsid w:val="00AE39D5"/>
    <w:rsid w:val="00AE5F4B"/>
    <w:rsid w:val="00AE6A8F"/>
    <w:rsid w:val="00AF0E8B"/>
    <w:rsid w:val="00B0402C"/>
    <w:rsid w:val="00B14ACE"/>
    <w:rsid w:val="00B161CE"/>
    <w:rsid w:val="00B23478"/>
    <w:rsid w:val="00B37E2F"/>
    <w:rsid w:val="00B426A9"/>
    <w:rsid w:val="00B43BDB"/>
    <w:rsid w:val="00B533A0"/>
    <w:rsid w:val="00B5443F"/>
    <w:rsid w:val="00B55F29"/>
    <w:rsid w:val="00B64778"/>
    <w:rsid w:val="00B71346"/>
    <w:rsid w:val="00B81C96"/>
    <w:rsid w:val="00B81F75"/>
    <w:rsid w:val="00B86CDB"/>
    <w:rsid w:val="00B871C8"/>
    <w:rsid w:val="00B90269"/>
    <w:rsid w:val="00BB0D4F"/>
    <w:rsid w:val="00BB0FB4"/>
    <w:rsid w:val="00BB15A1"/>
    <w:rsid w:val="00BB7CAB"/>
    <w:rsid w:val="00BC071A"/>
    <w:rsid w:val="00BF521F"/>
    <w:rsid w:val="00C037BB"/>
    <w:rsid w:val="00C1096A"/>
    <w:rsid w:val="00C13CE2"/>
    <w:rsid w:val="00C16346"/>
    <w:rsid w:val="00C175B9"/>
    <w:rsid w:val="00C17643"/>
    <w:rsid w:val="00C26FE9"/>
    <w:rsid w:val="00C31481"/>
    <w:rsid w:val="00C47FCA"/>
    <w:rsid w:val="00C5322F"/>
    <w:rsid w:val="00C560C0"/>
    <w:rsid w:val="00C6111C"/>
    <w:rsid w:val="00C6641C"/>
    <w:rsid w:val="00C67375"/>
    <w:rsid w:val="00C7470B"/>
    <w:rsid w:val="00C7494C"/>
    <w:rsid w:val="00C76C3B"/>
    <w:rsid w:val="00C76D09"/>
    <w:rsid w:val="00C841F8"/>
    <w:rsid w:val="00C8513E"/>
    <w:rsid w:val="00C87C93"/>
    <w:rsid w:val="00C91DF8"/>
    <w:rsid w:val="00CA534C"/>
    <w:rsid w:val="00CB61EF"/>
    <w:rsid w:val="00CE24CA"/>
    <w:rsid w:val="00CE543C"/>
    <w:rsid w:val="00CE6F2A"/>
    <w:rsid w:val="00CF5055"/>
    <w:rsid w:val="00CF5DB1"/>
    <w:rsid w:val="00D16A12"/>
    <w:rsid w:val="00D17700"/>
    <w:rsid w:val="00D31713"/>
    <w:rsid w:val="00D31CB9"/>
    <w:rsid w:val="00D3269B"/>
    <w:rsid w:val="00D34FB6"/>
    <w:rsid w:val="00D46528"/>
    <w:rsid w:val="00D47C3A"/>
    <w:rsid w:val="00D53CE5"/>
    <w:rsid w:val="00D53EB4"/>
    <w:rsid w:val="00D560ED"/>
    <w:rsid w:val="00D57075"/>
    <w:rsid w:val="00D611B0"/>
    <w:rsid w:val="00D62FB8"/>
    <w:rsid w:val="00D63AFD"/>
    <w:rsid w:val="00D6749A"/>
    <w:rsid w:val="00D750D6"/>
    <w:rsid w:val="00D9038E"/>
    <w:rsid w:val="00D91C88"/>
    <w:rsid w:val="00D92A41"/>
    <w:rsid w:val="00DB2008"/>
    <w:rsid w:val="00DB2AF9"/>
    <w:rsid w:val="00DB6BB7"/>
    <w:rsid w:val="00DC1600"/>
    <w:rsid w:val="00DC691F"/>
    <w:rsid w:val="00DE2658"/>
    <w:rsid w:val="00DE476E"/>
    <w:rsid w:val="00DF5C0B"/>
    <w:rsid w:val="00E03267"/>
    <w:rsid w:val="00E04189"/>
    <w:rsid w:val="00E061A0"/>
    <w:rsid w:val="00E11232"/>
    <w:rsid w:val="00E17585"/>
    <w:rsid w:val="00E20EE6"/>
    <w:rsid w:val="00E2437D"/>
    <w:rsid w:val="00E31218"/>
    <w:rsid w:val="00E45EF5"/>
    <w:rsid w:val="00E46B79"/>
    <w:rsid w:val="00E50ED2"/>
    <w:rsid w:val="00E52B5A"/>
    <w:rsid w:val="00E5590C"/>
    <w:rsid w:val="00E57263"/>
    <w:rsid w:val="00E7163C"/>
    <w:rsid w:val="00E748FD"/>
    <w:rsid w:val="00E762EE"/>
    <w:rsid w:val="00E76C74"/>
    <w:rsid w:val="00E83A2F"/>
    <w:rsid w:val="00E84023"/>
    <w:rsid w:val="00E863A8"/>
    <w:rsid w:val="00E92F2A"/>
    <w:rsid w:val="00EC2D5E"/>
    <w:rsid w:val="00EC318A"/>
    <w:rsid w:val="00ED1457"/>
    <w:rsid w:val="00ED2147"/>
    <w:rsid w:val="00ED3A1E"/>
    <w:rsid w:val="00EF3DEE"/>
    <w:rsid w:val="00F0114C"/>
    <w:rsid w:val="00F05454"/>
    <w:rsid w:val="00F0727E"/>
    <w:rsid w:val="00F07574"/>
    <w:rsid w:val="00F13791"/>
    <w:rsid w:val="00F21EF8"/>
    <w:rsid w:val="00F27DE4"/>
    <w:rsid w:val="00F343F0"/>
    <w:rsid w:val="00F44718"/>
    <w:rsid w:val="00F451AB"/>
    <w:rsid w:val="00F756BF"/>
    <w:rsid w:val="00F83A2D"/>
    <w:rsid w:val="00F83AA6"/>
    <w:rsid w:val="00F857A4"/>
    <w:rsid w:val="00F95753"/>
    <w:rsid w:val="00FA01D6"/>
    <w:rsid w:val="00FA10BA"/>
    <w:rsid w:val="00FA5251"/>
    <w:rsid w:val="00FA7455"/>
    <w:rsid w:val="00FB23AC"/>
    <w:rsid w:val="00FB6868"/>
    <w:rsid w:val="00FD0725"/>
    <w:rsid w:val="00FD401A"/>
    <w:rsid w:val="00FE0B3A"/>
    <w:rsid w:val="00FE53FD"/>
    <w:rsid w:val="00FE565F"/>
    <w:rsid w:val="00FE638E"/>
    <w:rsid w:val="00FF2679"/>
    <w:rsid w:val="010559DD"/>
    <w:rsid w:val="0116336F"/>
    <w:rsid w:val="0139669D"/>
    <w:rsid w:val="01763BCE"/>
    <w:rsid w:val="01BD75BE"/>
    <w:rsid w:val="020016E9"/>
    <w:rsid w:val="020646DD"/>
    <w:rsid w:val="022700B0"/>
    <w:rsid w:val="026B3634"/>
    <w:rsid w:val="0273010D"/>
    <w:rsid w:val="02785724"/>
    <w:rsid w:val="02AA327D"/>
    <w:rsid w:val="02E37511"/>
    <w:rsid w:val="03195159"/>
    <w:rsid w:val="03235D6C"/>
    <w:rsid w:val="0381697D"/>
    <w:rsid w:val="03A03184"/>
    <w:rsid w:val="03AC71EE"/>
    <w:rsid w:val="03B412D4"/>
    <w:rsid w:val="03C45CBB"/>
    <w:rsid w:val="03C85109"/>
    <w:rsid w:val="04082AD7"/>
    <w:rsid w:val="040F5BED"/>
    <w:rsid w:val="043E6C3C"/>
    <w:rsid w:val="045F1833"/>
    <w:rsid w:val="046C5425"/>
    <w:rsid w:val="04D05CEB"/>
    <w:rsid w:val="05033ACF"/>
    <w:rsid w:val="05145BD8"/>
    <w:rsid w:val="052120A3"/>
    <w:rsid w:val="05637014"/>
    <w:rsid w:val="056B5E35"/>
    <w:rsid w:val="056F72B2"/>
    <w:rsid w:val="057B24BA"/>
    <w:rsid w:val="057C4FC6"/>
    <w:rsid w:val="057E74F5"/>
    <w:rsid w:val="05810D04"/>
    <w:rsid w:val="05877546"/>
    <w:rsid w:val="059E1945"/>
    <w:rsid w:val="05C50C80"/>
    <w:rsid w:val="05E41A4E"/>
    <w:rsid w:val="05F119CC"/>
    <w:rsid w:val="061834A6"/>
    <w:rsid w:val="0635559F"/>
    <w:rsid w:val="06381544"/>
    <w:rsid w:val="06387616"/>
    <w:rsid w:val="064E5119"/>
    <w:rsid w:val="06840B3B"/>
    <w:rsid w:val="06C90C44"/>
    <w:rsid w:val="06E15F59"/>
    <w:rsid w:val="06F02D93"/>
    <w:rsid w:val="073F5E18"/>
    <w:rsid w:val="075E313A"/>
    <w:rsid w:val="077922F3"/>
    <w:rsid w:val="07B85EB1"/>
    <w:rsid w:val="07B95303"/>
    <w:rsid w:val="07C74CE4"/>
    <w:rsid w:val="07F42AAE"/>
    <w:rsid w:val="08230F87"/>
    <w:rsid w:val="08280702"/>
    <w:rsid w:val="08386081"/>
    <w:rsid w:val="084B3FEC"/>
    <w:rsid w:val="08572FF3"/>
    <w:rsid w:val="088E0E17"/>
    <w:rsid w:val="08962D19"/>
    <w:rsid w:val="08BA6A96"/>
    <w:rsid w:val="08C3366E"/>
    <w:rsid w:val="08D00067"/>
    <w:rsid w:val="09023F99"/>
    <w:rsid w:val="090E7E8D"/>
    <w:rsid w:val="09320D22"/>
    <w:rsid w:val="094042E6"/>
    <w:rsid w:val="09436D9F"/>
    <w:rsid w:val="094644D7"/>
    <w:rsid w:val="095567BF"/>
    <w:rsid w:val="095F0577"/>
    <w:rsid w:val="09785C8A"/>
    <w:rsid w:val="09975029"/>
    <w:rsid w:val="09BB7394"/>
    <w:rsid w:val="09C71DCA"/>
    <w:rsid w:val="09D26061"/>
    <w:rsid w:val="0A524FB1"/>
    <w:rsid w:val="0A5D1981"/>
    <w:rsid w:val="0A60366D"/>
    <w:rsid w:val="0A684239"/>
    <w:rsid w:val="0A782765"/>
    <w:rsid w:val="0A8120CC"/>
    <w:rsid w:val="0A8F6E8F"/>
    <w:rsid w:val="0A957715"/>
    <w:rsid w:val="0AA80986"/>
    <w:rsid w:val="0AD16319"/>
    <w:rsid w:val="0AD97714"/>
    <w:rsid w:val="0ADE7410"/>
    <w:rsid w:val="0AE97BF6"/>
    <w:rsid w:val="0AEC3153"/>
    <w:rsid w:val="0AFD0EBC"/>
    <w:rsid w:val="0B2C17A1"/>
    <w:rsid w:val="0B623B93"/>
    <w:rsid w:val="0B6435BB"/>
    <w:rsid w:val="0BBE087D"/>
    <w:rsid w:val="0BF93D72"/>
    <w:rsid w:val="0C006EB6"/>
    <w:rsid w:val="0C0932BA"/>
    <w:rsid w:val="0C454E7A"/>
    <w:rsid w:val="0C455F93"/>
    <w:rsid w:val="0C4D6756"/>
    <w:rsid w:val="0C9B273A"/>
    <w:rsid w:val="0CA43CE5"/>
    <w:rsid w:val="0CE322B5"/>
    <w:rsid w:val="0CE9794A"/>
    <w:rsid w:val="0D04253E"/>
    <w:rsid w:val="0D2B2D8E"/>
    <w:rsid w:val="0D4D3C52"/>
    <w:rsid w:val="0D674D12"/>
    <w:rsid w:val="0D991370"/>
    <w:rsid w:val="0DC00E79"/>
    <w:rsid w:val="0DC54D8F"/>
    <w:rsid w:val="0DCD2DC7"/>
    <w:rsid w:val="0DEF2150"/>
    <w:rsid w:val="0E030449"/>
    <w:rsid w:val="0E0F47D6"/>
    <w:rsid w:val="0E910299"/>
    <w:rsid w:val="0E94148D"/>
    <w:rsid w:val="0EA71483"/>
    <w:rsid w:val="0EB63B25"/>
    <w:rsid w:val="0F3F3C37"/>
    <w:rsid w:val="0F735E17"/>
    <w:rsid w:val="0FBE6564"/>
    <w:rsid w:val="0FD312F8"/>
    <w:rsid w:val="0FDB200C"/>
    <w:rsid w:val="0FFC3664"/>
    <w:rsid w:val="10267078"/>
    <w:rsid w:val="102722AD"/>
    <w:rsid w:val="106664D2"/>
    <w:rsid w:val="106A2B50"/>
    <w:rsid w:val="10AD5132"/>
    <w:rsid w:val="10CC380A"/>
    <w:rsid w:val="10E55D53"/>
    <w:rsid w:val="10FB7C4C"/>
    <w:rsid w:val="11132378"/>
    <w:rsid w:val="11164A85"/>
    <w:rsid w:val="11186A50"/>
    <w:rsid w:val="111F40E1"/>
    <w:rsid w:val="114F07E8"/>
    <w:rsid w:val="116059E0"/>
    <w:rsid w:val="11641C95"/>
    <w:rsid w:val="11924A5D"/>
    <w:rsid w:val="11A715CA"/>
    <w:rsid w:val="11BD4E2C"/>
    <w:rsid w:val="11F25B20"/>
    <w:rsid w:val="12276EF4"/>
    <w:rsid w:val="12415B32"/>
    <w:rsid w:val="12481D5F"/>
    <w:rsid w:val="125A7EB4"/>
    <w:rsid w:val="126A2BF3"/>
    <w:rsid w:val="12A42463"/>
    <w:rsid w:val="12B74046"/>
    <w:rsid w:val="12E358B9"/>
    <w:rsid w:val="134B4103"/>
    <w:rsid w:val="134F56EF"/>
    <w:rsid w:val="136441CE"/>
    <w:rsid w:val="1369635F"/>
    <w:rsid w:val="13F43461"/>
    <w:rsid w:val="140A38C1"/>
    <w:rsid w:val="140B692A"/>
    <w:rsid w:val="14553B17"/>
    <w:rsid w:val="14661738"/>
    <w:rsid w:val="14A705C6"/>
    <w:rsid w:val="14AD2D11"/>
    <w:rsid w:val="14B60A59"/>
    <w:rsid w:val="14EB18BB"/>
    <w:rsid w:val="150B768C"/>
    <w:rsid w:val="15265184"/>
    <w:rsid w:val="15433DB9"/>
    <w:rsid w:val="154F4A0A"/>
    <w:rsid w:val="155142DE"/>
    <w:rsid w:val="1562570F"/>
    <w:rsid w:val="15942E84"/>
    <w:rsid w:val="15E35B99"/>
    <w:rsid w:val="15F35395"/>
    <w:rsid w:val="16234EED"/>
    <w:rsid w:val="16332CCA"/>
    <w:rsid w:val="16677F31"/>
    <w:rsid w:val="16775FC6"/>
    <w:rsid w:val="1683496B"/>
    <w:rsid w:val="16B20DAC"/>
    <w:rsid w:val="16D03928"/>
    <w:rsid w:val="1706734A"/>
    <w:rsid w:val="172D53E2"/>
    <w:rsid w:val="174567D7"/>
    <w:rsid w:val="175D64D0"/>
    <w:rsid w:val="17780D63"/>
    <w:rsid w:val="17A31315"/>
    <w:rsid w:val="17D466B4"/>
    <w:rsid w:val="17F229ED"/>
    <w:rsid w:val="180F222F"/>
    <w:rsid w:val="18352504"/>
    <w:rsid w:val="18394A9B"/>
    <w:rsid w:val="18455C50"/>
    <w:rsid w:val="18894393"/>
    <w:rsid w:val="189B3722"/>
    <w:rsid w:val="18F63219"/>
    <w:rsid w:val="18FC27B3"/>
    <w:rsid w:val="19246D19"/>
    <w:rsid w:val="19584673"/>
    <w:rsid w:val="196842EC"/>
    <w:rsid w:val="1981237A"/>
    <w:rsid w:val="19866520"/>
    <w:rsid w:val="19F30824"/>
    <w:rsid w:val="19FE5E1E"/>
    <w:rsid w:val="1A045DC3"/>
    <w:rsid w:val="1A0D4AD8"/>
    <w:rsid w:val="1A1A208B"/>
    <w:rsid w:val="1A2F0966"/>
    <w:rsid w:val="1A401090"/>
    <w:rsid w:val="1A5C2369"/>
    <w:rsid w:val="1A6828F0"/>
    <w:rsid w:val="1A9058A9"/>
    <w:rsid w:val="1AE259D8"/>
    <w:rsid w:val="1B2B737F"/>
    <w:rsid w:val="1B7C43C9"/>
    <w:rsid w:val="1BAD6638"/>
    <w:rsid w:val="1BDB5484"/>
    <w:rsid w:val="1BE13EE2"/>
    <w:rsid w:val="1BE55780"/>
    <w:rsid w:val="1BE61C24"/>
    <w:rsid w:val="1BEA6AFC"/>
    <w:rsid w:val="1BF105C9"/>
    <w:rsid w:val="1C646FED"/>
    <w:rsid w:val="1C715266"/>
    <w:rsid w:val="1CAB7AE1"/>
    <w:rsid w:val="1CB82DF6"/>
    <w:rsid w:val="1CC7132A"/>
    <w:rsid w:val="1D04432C"/>
    <w:rsid w:val="1D1D508B"/>
    <w:rsid w:val="1D2C40BC"/>
    <w:rsid w:val="1D3369BF"/>
    <w:rsid w:val="1D3B29EA"/>
    <w:rsid w:val="1D543842"/>
    <w:rsid w:val="1D5E1C8E"/>
    <w:rsid w:val="1D884F5D"/>
    <w:rsid w:val="1DB00ED0"/>
    <w:rsid w:val="1DC53ABB"/>
    <w:rsid w:val="1E00438A"/>
    <w:rsid w:val="1E5C4BFD"/>
    <w:rsid w:val="1E697EEE"/>
    <w:rsid w:val="1E6A437D"/>
    <w:rsid w:val="1E840F3A"/>
    <w:rsid w:val="1E9B5D2E"/>
    <w:rsid w:val="1EB15DEE"/>
    <w:rsid w:val="1EBF49AE"/>
    <w:rsid w:val="1EC35A1D"/>
    <w:rsid w:val="1ECB3353"/>
    <w:rsid w:val="1F2F5F25"/>
    <w:rsid w:val="1F342C07"/>
    <w:rsid w:val="1F615A66"/>
    <w:rsid w:val="1F882B80"/>
    <w:rsid w:val="1F8A4FBC"/>
    <w:rsid w:val="1FAC74FB"/>
    <w:rsid w:val="1FDD640A"/>
    <w:rsid w:val="1FE06210"/>
    <w:rsid w:val="203462B0"/>
    <w:rsid w:val="203942EC"/>
    <w:rsid w:val="203A6603"/>
    <w:rsid w:val="203F7B19"/>
    <w:rsid w:val="2040495B"/>
    <w:rsid w:val="205123E9"/>
    <w:rsid w:val="208512E0"/>
    <w:rsid w:val="209A36CC"/>
    <w:rsid w:val="20A07DA0"/>
    <w:rsid w:val="20B3761A"/>
    <w:rsid w:val="20E165FA"/>
    <w:rsid w:val="20F53248"/>
    <w:rsid w:val="21130F53"/>
    <w:rsid w:val="21174DA2"/>
    <w:rsid w:val="212C5072"/>
    <w:rsid w:val="214F3BC5"/>
    <w:rsid w:val="215C7423"/>
    <w:rsid w:val="21A513E7"/>
    <w:rsid w:val="21A63C04"/>
    <w:rsid w:val="21AB2C5C"/>
    <w:rsid w:val="21B53E47"/>
    <w:rsid w:val="21BD1792"/>
    <w:rsid w:val="21F650DA"/>
    <w:rsid w:val="21FA5CFD"/>
    <w:rsid w:val="21FE49AD"/>
    <w:rsid w:val="22274D44"/>
    <w:rsid w:val="229015F1"/>
    <w:rsid w:val="22D41F3F"/>
    <w:rsid w:val="22DB5B2F"/>
    <w:rsid w:val="22EC5466"/>
    <w:rsid w:val="23154E50"/>
    <w:rsid w:val="232B7E87"/>
    <w:rsid w:val="234E13EE"/>
    <w:rsid w:val="2385527C"/>
    <w:rsid w:val="23970786"/>
    <w:rsid w:val="23F84985"/>
    <w:rsid w:val="242C3514"/>
    <w:rsid w:val="2463402E"/>
    <w:rsid w:val="24A72788"/>
    <w:rsid w:val="24AE34FB"/>
    <w:rsid w:val="24C640DD"/>
    <w:rsid w:val="25035421"/>
    <w:rsid w:val="250F386E"/>
    <w:rsid w:val="25221879"/>
    <w:rsid w:val="254C623B"/>
    <w:rsid w:val="255F62B9"/>
    <w:rsid w:val="25793A5D"/>
    <w:rsid w:val="257B7155"/>
    <w:rsid w:val="257F6C45"/>
    <w:rsid w:val="25900D83"/>
    <w:rsid w:val="25CE2857"/>
    <w:rsid w:val="26013AFE"/>
    <w:rsid w:val="26243349"/>
    <w:rsid w:val="266A793A"/>
    <w:rsid w:val="267F47AF"/>
    <w:rsid w:val="26CA2142"/>
    <w:rsid w:val="26E710A3"/>
    <w:rsid w:val="27071C30"/>
    <w:rsid w:val="270E195B"/>
    <w:rsid w:val="271B299E"/>
    <w:rsid w:val="273A290F"/>
    <w:rsid w:val="2777107D"/>
    <w:rsid w:val="27927A00"/>
    <w:rsid w:val="27953F9D"/>
    <w:rsid w:val="27991F2A"/>
    <w:rsid w:val="27A07364"/>
    <w:rsid w:val="27B30E28"/>
    <w:rsid w:val="28687E65"/>
    <w:rsid w:val="286D0FD7"/>
    <w:rsid w:val="28A078B6"/>
    <w:rsid w:val="28A16ED3"/>
    <w:rsid w:val="28B119B2"/>
    <w:rsid w:val="28C3509B"/>
    <w:rsid w:val="28D518A9"/>
    <w:rsid w:val="28E213BC"/>
    <w:rsid w:val="29003BF9"/>
    <w:rsid w:val="292C544C"/>
    <w:rsid w:val="293463EA"/>
    <w:rsid w:val="29612DAE"/>
    <w:rsid w:val="2966771D"/>
    <w:rsid w:val="297426A4"/>
    <w:rsid w:val="29882ED5"/>
    <w:rsid w:val="29973753"/>
    <w:rsid w:val="29C30439"/>
    <w:rsid w:val="29C408CE"/>
    <w:rsid w:val="2A121A50"/>
    <w:rsid w:val="2A510485"/>
    <w:rsid w:val="2A624424"/>
    <w:rsid w:val="2A8A32B7"/>
    <w:rsid w:val="2AB26C9B"/>
    <w:rsid w:val="2AED6A53"/>
    <w:rsid w:val="2AF83E1C"/>
    <w:rsid w:val="2B0B4AD7"/>
    <w:rsid w:val="2B230073"/>
    <w:rsid w:val="2B312C9A"/>
    <w:rsid w:val="2B410C07"/>
    <w:rsid w:val="2B4D019C"/>
    <w:rsid w:val="2B97636B"/>
    <w:rsid w:val="2BCE4512"/>
    <w:rsid w:val="2BDE20E2"/>
    <w:rsid w:val="2BF150EC"/>
    <w:rsid w:val="2BF57C11"/>
    <w:rsid w:val="2C296474"/>
    <w:rsid w:val="2C4E1120"/>
    <w:rsid w:val="2CAA4B86"/>
    <w:rsid w:val="2CF76A1E"/>
    <w:rsid w:val="2D202DC8"/>
    <w:rsid w:val="2D482013"/>
    <w:rsid w:val="2D5A7ACF"/>
    <w:rsid w:val="2D965BA3"/>
    <w:rsid w:val="2DCF2F7A"/>
    <w:rsid w:val="2DE4042D"/>
    <w:rsid w:val="2DFA0D7D"/>
    <w:rsid w:val="2E00186E"/>
    <w:rsid w:val="2E086270"/>
    <w:rsid w:val="2E0A7E3C"/>
    <w:rsid w:val="2E183793"/>
    <w:rsid w:val="2E1B7B4D"/>
    <w:rsid w:val="2E2A35E1"/>
    <w:rsid w:val="2E3C6269"/>
    <w:rsid w:val="2E62341E"/>
    <w:rsid w:val="2E6E7857"/>
    <w:rsid w:val="2EFF27FC"/>
    <w:rsid w:val="2F191309"/>
    <w:rsid w:val="2F566C69"/>
    <w:rsid w:val="2F7E5AB9"/>
    <w:rsid w:val="2FD51137"/>
    <w:rsid w:val="3007759A"/>
    <w:rsid w:val="30122633"/>
    <w:rsid w:val="302023BB"/>
    <w:rsid w:val="302774F6"/>
    <w:rsid w:val="30662EDC"/>
    <w:rsid w:val="307C0EC3"/>
    <w:rsid w:val="309317F7"/>
    <w:rsid w:val="30C8448F"/>
    <w:rsid w:val="30E87D95"/>
    <w:rsid w:val="311F308B"/>
    <w:rsid w:val="312A63D9"/>
    <w:rsid w:val="31460074"/>
    <w:rsid w:val="3150061A"/>
    <w:rsid w:val="31663A7F"/>
    <w:rsid w:val="3177520D"/>
    <w:rsid w:val="317E5DFE"/>
    <w:rsid w:val="31B41A25"/>
    <w:rsid w:val="31BB6ACD"/>
    <w:rsid w:val="31BE2259"/>
    <w:rsid w:val="31D16A7B"/>
    <w:rsid w:val="328D2734"/>
    <w:rsid w:val="32965E2A"/>
    <w:rsid w:val="32D653E4"/>
    <w:rsid w:val="32DE6731"/>
    <w:rsid w:val="32F16CCB"/>
    <w:rsid w:val="333C12B0"/>
    <w:rsid w:val="33924C86"/>
    <w:rsid w:val="33947D60"/>
    <w:rsid w:val="3399048A"/>
    <w:rsid w:val="33EE6174"/>
    <w:rsid w:val="33FB393B"/>
    <w:rsid w:val="3405307C"/>
    <w:rsid w:val="34060295"/>
    <w:rsid w:val="340A5845"/>
    <w:rsid w:val="34120C85"/>
    <w:rsid w:val="34593478"/>
    <w:rsid w:val="34921651"/>
    <w:rsid w:val="357C0694"/>
    <w:rsid w:val="35E50F6C"/>
    <w:rsid w:val="35E86080"/>
    <w:rsid w:val="35F70776"/>
    <w:rsid w:val="36015455"/>
    <w:rsid w:val="36030AE8"/>
    <w:rsid w:val="360573E6"/>
    <w:rsid w:val="36277162"/>
    <w:rsid w:val="365469AA"/>
    <w:rsid w:val="366636C2"/>
    <w:rsid w:val="36A91D74"/>
    <w:rsid w:val="36AD060C"/>
    <w:rsid w:val="36BD5820"/>
    <w:rsid w:val="36BF3346"/>
    <w:rsid w:val="36ED633C"/>
    <w:rsid w:val="37024FE0"/>
    <w:rsid w:val="37054AD1"/>
    <w:rsid w:val="37087DC4"/>
    <w:rsid w:val="375D66BB"/>
    <w:rsid w:val="376249A9"/>
    <w:rsid w:val="377A54BF"/>
    <w:rsid w:val="378E7063"/>
    <w:rsid w:val="3799307A"/>
    <w:rsid w:val="37A83DDA"/>
    <w:rsid w:val="37FD7AE0"/>
    <w:rsid w:val="37FE7C91"/>
    <w:rsid w:val="38233460"/>
    <w:rsid w:val="38237904"/>
    <w:rsid w:val="38482EC7"/>
    <w:rsid w:val="386553FF"/>
    <w:rsid w:val="38707A07"/>
    <w:rsid w:val="38CA7D80"/>
    <w:rsid w:val="38DD7AB3"/>
    <w:rsid w:val="38F505F6"/>
    <w:rsid w:val="39043CD2"/>
    <w:rsid w:val="3933135A"/>
    <w:rsid w:val="39451584"/>
    <w:rsid w:val="39550757"/>
    <w:rsid w:val="39B17F5B"/>
    <w:rsid w:val="39C11211"/>
    <w:rsid w:val="39F4397F"/>
    <w:rsid w:val="3A084132"/>
    <w:rsid w:val="3A2B4D58"/>
    <w:rsid w:val="3A39340F"/>
    <w:rsid w:val="3A4D2F4C"/>
    <w:rsid w:val="3A5519C8"/>
    <w:rsid w:val="3A6A6B8E"/>
    <w:rsid w:val="3AA16A08"/>
    <w:rsid w:val="3AA34D2C"/>
    <w:rsid w:val="3AB570C2"/>
    <w:rsid w:val="3AB60179"/>
    <w:rsid w:val="3ACD1DA9"/>
    <w:rsid w:val="3AD85FED"/>
    <w:rsid w:val="3AE02BAB"/>
    <w:rsid w:val="3AFD635D"/>
    <w:rsid w:val="3B175C66"/>
    <w:rsid w:val="3B583D69"/>
    <w:rsid w:val="3B7D2B61"/>
    <w:rsid w:val="3B800BCA"/>
    <w:rsid w:val="3B9C1EA7"/>
    <w:rsid w:val="3BB87D12"/>
    <w:rsid w:val="3BC1546A"/>
    <w:rsid w:val="3BC71AFA"/>
    <w:rsid w:val="3BE754C1"/>
    <w:rsid w:val="3BF63CF6"/>
    <w:rsid w:val="3BF74C54"/>
    <w:rsid w:val="3C0435A9"/>
    <w:rsid w:val="3C056CEB"/>
    <w:rsid w:val="3C0B0141"/>
    <w:rsid w:val="3C326368"/>
    <w:rsid w:val="3C4B553C"/>
    <w:rsid w:val="3C8C1F1C"/>
    <w:rsid w:val="3C9C1A33"/>
    <w:rsid w:val="3D155CBC"/>
    <w:rsid w:val="3D2008B6"/>
    <w:rsid w:val="3D257C7B"/>
    <w:rsid w:val="3D3639BB"/>
    <w:rsid w:val="3D3A0FE2"/>
    <w:rsid w:val="3D4438A4"/>
    <w:rsid w:val="3D47142E"/>
    <w:rsid w:val="3D5A3DC8"/>
    <w:rsid w:val="3DC94AA2"/>
    <w:rsid w:val="3DD44091"/>
    <w:rsid w:val="3DDB658B"/>
    <w:rsid w:val="3E04391C"/>
    <w:rsid w:val="3E073969"/>
    <w:rsid w:val="3E236DA5"/>
    <w:rsid w:val="3E7C7D6E"/>
    <w:rsid w:val="3F0538C0"/>
    <w:rsid w:val="3F0B4C4E"/>
    <w:rsid w:val="3F72791C"/>
    <w:rsid w:val="3F7A2219"/>
    <w:rsid w:val="3F970905"/>
    <w:rsid w:val="3FAA4467"/>
    <w:rsid w:val="3FB5472E"/>
    <w:rsid w:val="3FC574F3"/>
    <w:rsid w:val="3FC96EB0"/>
    <w:rsid w:val="3FD140EA"/>
    <w:rsid w:val="3FF30B60"/>
    <w:rsid w:val="3FF658FE"/>
    <w:rsid w:val="4010076E"/>
    <w:rsid w:val="401705A5"/>
    <w:rsid w:val="40251D40"/>
    <w:rsid w:val="405E5D3B"/>
    <w:rsid w:val="406D6B6B"/>
    <w:rsid w:val="40AD420F"/>
    <w:rsid w:val="40C61775"/>
    <w:rsid w:val="40D23C76"/>
    <w:rsid w:val="40D774B1"/>
    <w:rsid w:val="41107BC1"/>
    <w:rsid w:val="41285F8B"/>
    <w:rsid w:val="41566655"/>
    <w:rsid w:val="41CC2DBB"/>
    <w:rsid w:val="41CF6407"/>
    <w:rsid w:val="41D526DA"/>
    <w:rsid w:val="41FA176A"/>
    <w:rsid w:val="41FD4D22"/>
    <w:rsid w:val="42154762"/>
    <w:rsid w:val="421E4007"/>
    <w:rsid w:val="42674891"/>
    <w:rsid w:val="426C1EA8"/>
    <w:rsid w:val="42723962"/>
    <w:rsid w:val="43076EE3"/>
    <w:rsid w:val="431762B8"/>
    <w:rsid w:val="432664FB"/>
    <w:rsid w:val="4359242C"/>
    <w:rsid w:val="437F1D8F"/>
    <w:rsid w:val="43994F1E"/>
    <w:rsid w:val="43D917BF"/>
    <w:rsid w:val="43F307BE"/>
    <w:rsid w:val="44276C2C"/>
    <w:rsid w:val="4444057E"/>
    <w:rsid w:val="444821D2"/>
    <w:rsid w:val="44573811"/>
    <w:rsid w:val="44663377"/>
    <w:rsid w:val="446E36D8"/>
    <w:rsid w:val="44BC7C62"/>
    <w:rsid w:val="44BF09B5"/>
    <w:rsid w:val="44DA57EF"/>
    <w:rsid w:val="451C5E07"/>
    <w:rsid w:val="45543C5D"/>
    <w:rsid w:val="45654037"/>
    <w:rsid w:val="45975304"/>
    <w:rsid w:val="45A57BAB"/>
    <w:rsid w:val="45B002FD"/>
    <w:rsid w:val="45B14F57"/>
    <w:rsid w:val="45B222C8"/>
    <w:rsid w:val="45B54EF1"/>
    <w:rsid w:val="46105CC6"/>
    <w:rsid w:val="46223505"/>
    <w:rsid w:val="46265976"/>
    <w:rsid w:val="467E50F1"/>
    <w:rsid w:val="469034EF"/>
    <w:rsid w:val="469A13E8"/>
    <w:rsid w:val="46C52CF3"/>
    <w:rsid w:val="46C779D4"/>
    <w:rsid w:val="46DF70EC"/>
    <w:rsid w:val="46FB75DC"/>
    <w:rsid w:val="47030DED"/>
    <w:rsid w:val="47034D20"/>
    <w:rsid w:val="47094C4A"/>
    <w:rsid w:val="47135926"/>
    <w:rsid w:val="47150D60"/>
    <w:rsid w:val="47393B39"/>
    <w:rsid w:val="473C453F"/>
    <w:rsid w:val="4757086C"/>
    <w:rsid w:val="47831AD4"/>
    <w:rsid w:val="47965103"/>
    <w:rsid w:val="47AD2F34"/>
    <w:rsid w:val="47C82E9D"/>
    <w:rsid w:val="47EE5F11"/>
    <w:rsid w:val="47FC208C"/>
    <w:rsid w:val="4818281B"/>
    <w:rsid w:val="481A6FD2"/>
    <w:rsid w:val="48832F73"/>
    <w:rsid w:val="48871B74"/>
    <w:rsid w:val="48914416"/>
    <w:rsid w:val="48976F9D"/>
    <w:rsid w:val="489C717D"/>
    <w:rsid w:val="48B325DE"/>
    <w:rsid w:val="48C31761"/>
    <w:rsid w:val="48F74BC1"/>
    <w:rsid w:val="49693AB4"/>
    <w:rsid w:val="496B07D2"/>
    <w:rsid w:val="499019A0"/>
    <w:rsid w:val="499E049E"/>
    <w:rsid w:val="49A44C44"/>
    <w:rsid w:val="49C0722B"/>
    <w:rsid w:val="49C90BBB"/>
    <w:rsid w:val="49D64E06"/>
    <w:rsid w:val="49D7069C"/>
    <w:rsid w:val="49F53D16"/>
    <w:rsid w:val="49FC1B85"/>
    <w:rsid w:val="4A0D5F9E"/>
    <w:rsid w:val="4A66742B"/>
    <w:rsid w:val="4AB42E7C"/>
    <w:rsid w:val="4AC2685D"/>
    <w:rsid w:val="4AE118AE"/>
    <w:rsid w:val="4AFA62A3"/>
    <w:rsid w:val="4B2257F9"/>
    <w:rsid w:val="4B26353C"/>
    <w:rsid w:val="4B5046DA"/>
    <w:rsid w:val="4B7444F5"/>
    <w:rsid w:val="4BA10E14"/>
    <w:rsid w:val="4BD56D10"/>
    <w:rsid w:val="4BF91669"/>
    <w:rsid w:val="4C2061DD"/>
    <w:rsid w:val="4C227F34"/>
    <w:rsid w:val="4C56276E"/>
    <w:rsid w:val="4C566198"/>
    <w:rsid w:val="4C6E7826"/>
    <w:rsid w:val="4C783AA6"/>
    <w:rsid w:val="4C8E75EA"/>
    <w:rsid w:val="4CAE6D59"/>
    <w:rsid w:val="4D140A54"/>
    <w:rsid w:val="4D6A36BC"/>
    <w:rsid w:val="4D7009BD"/>
    <w:rsid w:val="4D8C284A"/>
    <w:rsid w:val="4D924EB8"/>
    <w:rsid w:val="4D934592"/>
    <w:rsid w:val="4D934966"/>
    <w:rsid w:val="4D9B1F81"/>
    <w:rsid w:val="4DBC3CE3"/>
    <w:rsid w:val="4DCD4142"/>
    <w:rsid w:val="4DF93199"/>
    <w:rsid w:val="4DF96CE5"/>
    <w:rsid w:val="4E013DEC"/>
    <w:rsid w:val="4E0C01AF"/>
    <w:rsid w:val="4E182972"/>
    <w:rsid w:val="4E65437B"/>
    <w:rsid w:val="4E784EA3"/>
    <w:rsid w:val="4E9904C8"/>
    <w:rsid w:val="4EC55DD4"/>
    <w:rsid w:val="4ECF7A46"/>
    <w:rsid w:val="4EDB288F"/>
    <w:rsid w:val="4EEA6837"/>
    <w:rsid w:val="4EF42B90"/>
    <w:rsid w:val="4EF456FF"/>
    <w:rsid w:val="4EF63225"/>
    <w:rsid w:val="4F004052"/>
    <w:rsid w:val="4F1D6FB1"/>
    <w:rsid w:val="4F214C15"/>
    <w:rsid w:val="4F336227"/>
    <w:rsid w:val="4F44672C"/>
    <w:rsid w:val="4F500095"/>
    <w:rsid w:val="4F6857F5"/>
    <w:rsid w:val="4F6A6575"/>
    <w:rsid w:val="4F6E3703"/>
    <w:rsid w:val="4F7B372A"/>
    <w:rsid w:val="4FE139C2"/>
    <w:rsid w:val="4FE267A8"/>
    <w:rsid w:val="4FF2254F"/>
    <w:rsid w:val="500876B4"/>
    <w:rsid w:val="500D57C8"/>
    <w:rsid w:val="500E459E"/>
    <w:rsid w:val="503C6D48"/>
    <w:rsid w:val="506B7C43"/>
    <w:rsid w:val="506C7D83"/>
    <w:rsid w:val="50E77F9D"/>
    <w:rsid w:val="50F47C38"/>
    <w:rsid w:val="50FC480D"/>
    <w:rsid w:val="51554551"/>
    <w:rsid w:val="515C03CF"/>
    <w:rsid w:val="51671B48"/>
    <w:rsid w:val="51856AE2"/>
    <w:rsid w:val="51A64D11"/>
    <w:rsid w:val="51BF748B"/>
    <w:rsid w:val="51C7704B"/>
    <w:rsid w:val="51ED7C35"/>
    <w:rsid w:val="520B6FE7"/>
    <w:rsid w:val="52146D94"/>
    <w:rsid w:val="522462FB"/>
    <w:rsid w:val="52384C20"/>
    <w:rsid w:val="52417145"/>
    <w:rsid w:val="525039D6"/>
    <w:rsid w:val="525761CE"/>
    <w:rsid w:val="52B21B59"/>
    <w:rsid w:val="52BE04FE"/>
    <w:rsid w:val="52CC2C1B"/>
    <w:rsid w:val="530806BE"/>
    <w:rsid w:val="53206AC2"/>
    <w:rsid w:val="533C259D"/>
    <w:rsid w:val="534644AC"/>
    <w:rsid w:val="537C1978"/>
    <w:rsid w:val="53980D4F"/>
    <w:rsid w:val="53A15444"/>
    <w:rsid w:val="53A307D1"/>
    <w:rsid w:val="54370568"/>
    <w:rsid w:val="54862A71"/>
    <w:rsid w:val="54991BBB"/>
    <w:rsid w:val="54A8495A"/>
    <w:rsid w:val="54DC110F"/>
    <w:rsid w:val="54E15A64"/>
    <w:rsid w:val="5514418E"/>
    <w:rsid w:val="55313209"/>
    <w:rsid w:val="55332E6F"/>
    <w:rsid w:val="554161BE"/>
    <w:rsid w:val="556D1D67"/>
    <w:rsid w:val="558570B1"/>
    <w:rsid w:val="559519EA"/>
    <w:rsid w:val="55AD3EF1"/>
    <w:rsid w:val="55DA64FB"/>
    <w:rsid w:val="55F935FB"/>
    <w:rsid w:val="5626019E"/>
    <w:rsid w:val="5654407F"/>
    <w:rsid w:val="56B8088C"/>
    <w:rsid w:val="56C123D6"/>
    <w:rsid w:val="56DF6C95"/>
    <w:rsid w:val="56E03FFB"/>
    <w:rsid w:val="56E83D9B"/>
    <w:rsid w:val="56EA52BF"/>
    <w:rsid w:val="56EB73E7"/>
    <w:rsid w:val="56EE6619"/>
    <w:rsid w:val="56FC57A6"/>
    <w:rsid w:val="571728EA"/>
    <w:rsid w:val="5723162C"/>
    <w:rsid w:val="57402D27"/>
    <w:rsid w:val="574D2267"/>
    <w:rsid w:val="57572CCF"/>
    <w:rsid w:val="57605DD4"/>
    <w:rsid w:val="576153F6"/>
    <w:rsid w:val="576158FB"/>
    <w:rsid w:val="57861832"/>
    <w:rsid w:val="579F7E09"/>
    <w:rsid w:val="57A9177C"/>
    <w:rsid w:val="57BA1E8A"/>
    <w:rsid w:val="57DE396D"/>
    <w:rsid w:val="57E722A5"/>
    <w:rsid w:val="58227FCE"/>
    <w:rsid w:val="59011144"/>
    <w:rsid w:val="59726670"/>
    <w:rsid w:val="59906FAB"/>
    <w:rsid w:val="59AD1108"/>
    <w:rsid w:val="59BE2972"/>
    <w:rsid w:val="59E96F07"/>
    <w:rsid w:val="5A203B84"/>
    <w:rsid w:val="5A3068D8"/>
    <w:rsid w:val="5A4B5FD3"/>
    <w:rsid w:val="5A5A4343"/>
    <w:rsid w:val="5A821DF3"/>
    <w:rsid w:val="5A917D40"/>
    <w:rsid w:val="5AE34FA5"/>
    <w:rsid w:val="5B160E40"/>
    <w:rsid w:val="5B7512F5"/>
    <w:rsid w:val="5B7C0F56"/>
    <w:rsid w:val="5B8A3417"/>
    <w:rsid w:val="5BA06CCD"/>
    <w:rsid w:val="5BB660FE"/>
    <w:rsid w:val="5BC91CB4"/>
    <w:rsid w:val="5BCA3A6F"/>
    <w:rsid w:val="5BF26AA0"/>
    <w:rsid w:val="5BF75E66"/>
    <w:rsid w:val="5C027780"/>
    <w:rsid w:val="5C0A0B88"/>
    <w:rsid w:val="5C184BC2"/>
    <w:rsid w:val="5C1C7D7A"/>
    <w:rsid w:val="5C3D310D"/>
    <w:rsid w:val="5C471564"/>
    <w:rsid w:val="5C4E0D30"/>
    <w:rsid w:val="5C69772C"/>
    <w:rsid w:val="5D0273FA"/>
    <w:rsid w:val="5D0F6B03"/>
    <w:rsid w:val="5D704AEA"/>
    <w:rsid w:val="5D740137"/>
    <w:rsid w:val="5DAF4A56"/>
    <w:rsid w:val="5E5166CA"/>
    <w:rsid w:val="5E540638"/>
    <w:rsid w:val="5E5835B4"/>
    <w:rsid w:val="5ED275F0"/>
    <w:rsid w:val="5EE24179"/>
    <w:rsid w:val="5EEA0227"/>
    <w:rsid w:val="5F1A61D0"/>
    <w:rsid w:val="5F294E00"/>
    <w:rsid w:val="5F64501C"/>
    <w:rsid w:val="5F742670"/>
    <w:rsid w:val="5F814D8D"/>
    <w:rsid w:val="5FA42829"/>
    <w:rsid w:val="5FC4546B"/>
    <w:rsid w:val="5FCC68F7"/>
    <w:rsid w:val="5FD722BE"/>
    <w:rsid w:val="60163727"/>
    <w:rsid w:val="601D1A7B"/>
    <w:rsid w:val="601E082E"/>
    <w:rsid w:val="60977494"/>
    <w:rsid w:val="609C372E"/>
    <w:rsid w:val="60AA20C1"/>
    <w:rsid w:val="60B43B18"/>
    <w:rsid w:val="60CB2763"/>
    <w:rsid w:val="60E92A9F"/>
    <w:rsid w:val="60ED6779"/>
    <w:rsid w:val="611D5DFB"/>
    <w:rsid w:val="61247BC3"/>
    <w:rsid w:val="613025C6"/>
    <w:rsid w:val="613920C7"/>
    <w:rsid w:val="61760BC2"/>
    <w:rsid w:val="61916060"/>
    <w:rsid w:val="619D4093"/>
    <w:rsid w:val="61A26A90"/>
    <w:rsid w:val="61D2367E"/>
    <w:rsid w:val="61D27B22"/>
    <w:rsid w:val="61DB4462"/>
    <w:rsid w:val="6203530E"/>
    <w:rsid w:val="62CB59A1"/>
    <w:rsid w:val="62E25518"/>
    <w:rsid w:val="62E95123"/>
    <w:rsid w:val="62F17EBE"/>
    <w:rsid w:val="63132F1B"/>
    <w:rsid w:val="63186283"/>
    <w:rsid w:val="63216418"/>
    <w:rsid w:val="633D546F"/>
    <w:rsid w:val="635602DE"/>
    <w:rsid w:val="635D6277"/>
    <w:rsid w:val="636429FB"/>
    <w:rsid w:val="638F7D3A"/>
    <w:rsid w:val="63C17E4E"/>
    <w:rsid w:val="643D2117"/>
    <w:rsid w:val="64487C27"/>
    <w:rsid w:val="647C2872"/>
    <w:rsid w:val="649160DB"/>
    <w:rsid w:val="64CE26A9"/>
    <w:rsid w:val="64DE5738"/>
    <w:rsid w:val="64F32289"/>
    <w:rsid w:val="654E5711"/>
    <w:rsid w:val="65537230"/>
    <w:rsid w:val="657A02B4"/>
    <w:rsid w:val="65F86793"/>
    <w:rsid w:val="661C1495"/>
    <w:rsid w:val="661F30DA"/>
    <w:rsid w:val="66367076"/>
    <w:rsid w:val="663C3472"/>
    <w:rsid w:val="664A237C"/>
    <w:rsid w:val="66504B25"/>
    <w:rsid w:val="66576209"/>
    <w:rsid w:val="665C62AD"/>
    <w:rsid w:val="66743BD3"/>
    <w:rsid w:val="66A55805"/>
    <w:rsid w:val="66EC51E2"/>
    <w:rsid w:val="66F26570"/>
    <w:rsid w:val="66F75934"/>
    <w:rsid w:val="67677574"/>
    <w:rsid w:val="67746F85"/>
    <w:rsid w:val="6780592A"/>
    <w:rsid w:val="67876CB8"/>
    <w:rsid w:val="67927636"/>
    <w:rsid w:val="67AE1395"/>
    <w:rsid w:val="67D44FEA"/>
    <w:rsid w:val="67ED5DDC"/>
    <w:rsid w:val="67F87BB6"/>
    <w:rsid w:val="680B1697"/>
    <w:rsid w:val="68401F12"/>
    <w:rsid w:val="686012CE"/>
    <w:rsid w:val="6867027C"/>
    <w:rsid w:val="686F37B4"/>
    <w:rsid w:val="688A4CB2"/>
    <w:rsid w:val="689613F6"/>
    <w:rsid w:val="68AF4719"/>
    <w:rsid w:val="68CD2057"/>
    <w:rsid w:val="68E67E07"/>
    <w:rsid w:val="690F32C0"/>
    <w:rsid w:val="692E1C6B"/>
    <w:rsid w:val="699851AD"/>
    <w:rsid w:val="69A41DA4"/>
    <w:rsid w:val="69A45FB3"/>
    <w:rsid w:val="69AF52B5"/>
    <w:rsid w:val="69E92186"/>
    <w:rsid w:val="69FD7706"/>
    <w:rsid w:val="6A107439"/>
    <w:rsid w:val="6A3C022E"/>
    <w:rsid w:val="6A4B66C3"/>
    <w:rsid w:val="6A534D26"/>
    <w:rsid w:val="6A681023"/>
    <w:rsid w:val="6AF1726A"/>
    <w:rsid w:val="6AF6488E"/>
    <w:rsid w:val="6B053823"/>
    <w:rsid w:val="6B4A3901"/>
    <w:rsid w:val="6B6D2669"/>
    <w:rsid w:val="6B7D1E93"/>
    <w:rsid w:val="6B807E45"/>
    <w:rsid w:val="6B944603"/>
    <w:rsid w:val="6BB94600"/>
    <w:rsid w:val="6BC2398C"/>
    <w:rsid w:val="6BD84869"/>
    <w:rsid w:val="6BEF6917"/>
    <w:rsid w:val="6C0427AB"/>
    <w:rsid w:val="6C1B20C5"/>
    <w:rsid w:val="6C21566B"/>
    <w:rsid w:val="6C26294D"/>
    <w:rsid w:val="6C276CBC"/>
    <w:rsid w:val="6C2813A5"/>
    <w:rsid w:val="6C2E6CD4"/>
    <w:rsid w:val="6C5C6891"/>
    <w:rsid w:val="6C9F6633"/>
    <w:rsid w:val="6CA87DFD"/>
    <w:rsid w:val="6CCE379D"/>
    <w:rsid w:val="6CF15A85"/>
    <w:rsid w:val="6D114DC4"/>
    <w:rsid w:val="6D1E19E8"/>
    <w:rsid w:val="6D24392A"/>
    <w:rsid w:val="6D7372BE"/>
    <w:rsid w:val="6D747CDF"/>
    <w:rsid w:val="6D8F68C7"/>
    <w:rsid w:val="6DB4632D"/>
    <w:rsid w:val="6DCA69DB"/>
    <w:rsid w:val="6DD52B54"/>
    <w:rsid w:val="6DD655D2"/>
    <w:rsid w:val="6DE1670B"/>
    <w:rsid w:val="6E3C57B6"/>
    <w:rsid w:val="6E5553BE"/>
    <w:rsid w:val="6E661CDF"/>
    <w:rsid w:val="6E7D62B3"/>
    <w:rsid w:val="6E8B3532"/>
    <w:rsid w:val="6E9941E1"/>
    <w:rsid w:val="6ECE434C"/>
    <w:rsid w:val="6ED4563E"/>
    <w:rsid w:val="6EE215ED"/>
    <w:rsid w:val="6EE444C2"/>
    <w:rsid w:val="6EFE3F02"/>
    <w:rsid w:val="6F057A72"/>
    <w:rsid w:val="6F4D1402"/>
    <w:rsid w:val="6F5175FA"/>
    <w:rsid w:val="6F686405"/>
    <w:rsid w:val="6F7171F9"/>
    <w:rsid w:val="6F88521F"/>
    <w:rsid w:val="6F9B4E77"/>
    <w:rsid w:val="6FE00A14"/>
    <w:rsid w:val="6FE27182"/>
    <w:rsid w:val="6FEF189F"/>
    <w:rsid w:val="6FF3739B"/>
    <w:rsid w:val="6FFF7C85"/>
    <w:rsid w:val="700F1F41"/>
    <w:rsid w:val="701D01BA"/>
    <w:rsid w:val="7020062D"/>
    <w:rsid w:val="70502F8B"/>
    <w:rsid w:val="7053137F"/>
    <w:rsid w:val="708446DD"/>
    <w:rsid w:val="70913A44"/>
    <w:rsid w:val="70A01949"/>
    <w:rsid w:val="70B00CE9"/>
    <w:rsid w:val="70D72A5F"/>
    <w:rsid w:val="70E422D4"/>
    <w:rsid w:val="70EA57E2"/>
    <w:rsid w:val="70EB4F76"/>
    <w:rsid w:val="70F738AB"/>
    <w:rsid w:val="71096990"/>
    <w:rsid w:val="710E21F8"/>
    <w:rsid w:val="71146042"/>
    <w:rsid w:val="715F2A54"/>
    <w:rsid w:val="71BE777B"/>
    <w:rsid w:val="71D46F9E"/>
    <w:rsid w:val="71DB690A"/>
    <w:rsid w:val="71DE5E90"/>
    <w:rsid w:val="72105496"/>
    <w:rsid w:val="72384680"/>
    <w:rsid w:val="72680BCC"/>
    <w:rsid w:val="72990AB5"/>
    <w:rsid w:val="729F135A"/>
    <w:rsid w:val="72CB3A14"/>
    <w:rsid w:val="72DC25AE"/>
    <w:rsid w:val="72DF5BFA"/>
    <w:rsid w:val="72FA192C"/>
    <w:rsid w:val="73493943"/>
    <w:rsid w:val="735C549D"/>
    <w:rsid w:val="73795632"/>
    <w:rsid w:val="738D1AFA"/>
    <w:rsid w:val="73AA0F61"/>
    <w:rsid w:val="73AD5CF9"/>
    <w:rsid w:val="73BA1F32"/>
    <w:rsid w:val="73BF7A39"/>
    <w:rsid w:val="74243BAD"/>
    <w:rsid w:val="74AA0E4C"/>
    <w:rsid w:val="74B667E8"/>
    <w:rsid w:val="74BA024E"/>
    <w:rsid w:val="74F445D9"/>
    <w:rsid w:val="750B717B"/>
    <w:rsid w:val="7544443B"/>
    <w:rsid w:val="75671ED7"/>
    <w:rsid w:val="756B7C19"/>
    <w:rsid w:val="75995703"/>
    <w:rsid w:val="759C4277"/>
    <w:rsid w:val="75DB56A4"/>
    <w:rsid w:val="761A613E"/>
    <w:rsid w:val="76261D92"/>
    <w:rsid w:val="76282E75"/>
    <w:rsid w:val="7659339C"/>
    <w:rsid w:val="7662182A"/>
    <w:rsid w:val="766D7524"/>
    <w:rsid w:val="76766876"/>
    <w:rsid w:val="767866E1"/>
    <w:rsid w:val="76977734"/>
    <w:rsid w:val="76B84C18"/>
    <w:rsid w:val="76C1432F"/>
    <w:rsid w:val="76D21DA0"/>
    <w:rsid w:val="77477A7E"/>
    <w:rsid w:val="7750356B"/>
    <w:rsid w:val="776B21BC"/>
    <w:rsid w:val="77875E34"/>
    <w:rsid w:val="77E561DF"/>
    <w:rsid w:val="77F90A8A"/>
    <w:rsid w:val="77FC247B"/>
    <w:rsid w:val="781668CA"/>
    <w:rsid w:val="78401D41"/>
    <w:rsid w:val="7873781A"/>
    <w:rsid w:val="7883171E"/>
    <w:rsid w:val="789B25C4"/>
    <w:rsid w:val="78AD54CB"/>
    <w:rsid w:val="78E51A91"/>
    <w:rsid w:val="78F6445B"/>
    <w:rsid w:val="78FD0D77"/>
    <w:rsid w:val="790F0F50"/>
    <w:rsid w:val="791D122B"/>
    <w:rsid w:val="7934169F"/>
    <w:rsid w:val="7940558A"/>
    <w:rsid w:val="79733540"/>
    <w:rsid w:val="79796A4E"/>
    <w:rsid w:val="79BC5129"/>
    <w:rsid w:val="7A066163"/>
    <w:rsid w:val="7A0832B2"/>
    <w:rsid w:val="7A09730C"/>
    <w:rsid w:val="7A2B67DE"/>
    <w:rsid w:val="7A396538"/>
    <w:rsid w:val="7A3F5123"/>
    <w:rsid w:val="7A7C235B"/>
    <w:rsid w:val="7B7315D6"/>
    <w:rsid w:val="7BD962C4"/>
    <w:rsid w:val="7BE73D72"/>
    <w:rsid w:val="7C3C7666"/>
    <w:rsid w:val="7C6D071B"/>
    <w:rsid w:val="7CA73018"/>
    <w:rsid w:val="7CD95DB0"/>
    <w:rsid w:val="7CED53B8"/>
    <w:rsid w:val="7D0526F7"/>
    <w:rsid w:val="7D0E09B5"/>
    <w:rsid w:val="7D4719CB"/>
    <w:rsid w:val="7D523F71"/>
    <w:rsid w:val="7D6036C8"/>
    <w:rsid w:val="7D6922BB"/>
    <w:rsid w:val="7D8D6754"/>
    <w:rsid w:val="7D9D293A"/>
    <w:rsid w:val="7DF20AE0"/>
    <w:rsid w:val="7E5A4710"/>
    <w:rsid w:val="7E646B6D"/>
    <w:rsid w:val="7E8104AE"/>
    <w:rsid w:val="7E8D2F81"/>
    <w:rsid w:val="7EA23531"/>
    <w:rsid w:val="7EB94FBC"/>
    <w:rsid w:val="7EE36A72"/>
    <w:rsid w:val="7EE512E5"/>
    <w:rsid w:val="7EED1C1F"/>
    <w:rsid w:val="7EFF5B5F"/>
    <w:rsid w:val="7F340786"/>
    <w:rsid w:val="7FB072F7"/>
    <w:rsid w:val="7FC76179"/>
    <w:rsid w:val="7FD06404"/>
    <w:rsid w:val="7FEB4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9" w:semiHidden="0" w:name="heading 1"/>
    <w:lsdException w:qFormat="1" w:uiPriority="99" w:semiHidden="0" w:name="heading 2"/>
    <w:lsdException w:qFormat="1"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0" w:semiHidden="0" w:name="annotation reference"/>
    <w:lsdException w:uiPriority="0" w:name="line number"/>
    <w:lsdException w:qFormat="1"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unhideWhenUsed/>
    <w:qFormat/>
    <w:uiPriority w:val="99"/>
    <w:pPr>
      <w:widowControl w:val="0"/>
      <w:autoSpaceDE w:val="0"/>
      <w:autoSpaceDN w:val="0"/>
      <w:adjustRightInd w:val="0"/>
      <w:jc w:val="both"/>
      <w:outlineLvl w:val="0"/>
    </w:pPr>
    <w:rPr>
      <w:rFonts w:ascii="Courier New" w:hAnsi="Courier New" w:cs="Times New Roman"/>
      <w:b/>
      <w:color w:val="000000"/>
      <w:kern w:val="2"/>
      <w:sz w:val="32"/>
    </w:rPr>
  </w:style>
  <w:style w:type="paragraph" w:styleId="3">
    <w:name w:val="heading 2"/>
    <w:basedOn w:val="1"/>
    <w:next w:val="1"/>
    <w:unhideWhenUsed/>
    <w:qFormat/>
    <w:uiPriority w:val="99"/>
    <w:pPr>
      <w:widowControl w:val="0"/>
      <w:autoSpaceDE w:val="0"/>
      <w:autoSpaceDN w:val="0"/>
      <w:adjustRightInd w:val="0"/>
      <w:jc w:val="both"/>
      <w:outlineLvl w:val="1"/>
    </w:pPr>
    <w:rPr>
      <w:rFonts w:ascii="Courier New" w:hAnsi="Courier New" w:cs="Times New Roman"/>
      <w:b/>
      <w:i/>
      <w:color w:val="000000"/>
      <w:kern w:val="2"/>
      <w:sz w:val="28"/>
    </w:rPr>
  </w:style>
  <w:style w:type="paragraph" w:styleId="4">
    <w:name w:val="heading 3"/>
    <w:basedOn w:val="1"/>
    <w:next w:val="1"/>
    <w:link w:val="29"/>
    <w:unhideWhenUsed/>
    <w:qFormat/>
    <w:uiPriority w:val="99"/>
    <w:pPr>
      <w:widowControl w:val="0"/>
      <w:autoSpaceDE w:val="0"/>
      <w:autoSpaceDN w:val="0"/>
      <w:adjustRightInd w:val="0"/>
      <w:jc w:val="both"/>
      <w:outlineLvl w:val="2"/>
    </w:pPr>
    <w:rPr>
      <w:rFonts w:ascii="Courier New" w:hAnsi="Courier New" w:cs="Times New Roman"/>
      <w:b/>
      <w:color w:val="000000"/>
      <w:kern w:val="2"/>
      <w:sz w:val="26"/>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2"/>
    <w:qFormat/>
    <w:uiPriority w:val="0"/>
  </w:style>
  <w:style w:type="paragraph" w:styleId="6">
    <w:name w:val="toc 3"/>
    <w:basedOn w:val="1"/>
    <w:next w:val="1"/>
    <w:qFormat/>
    <w:uiPriority w:val="39"/>
    <w:pPr>
      <w:widowControl w:val="0"/>
      <w:ind w:left="840" w:leftChars="400"/>
      <w:jc w:val="both"/>
    </w:pPr>
    <w:rPr>
      <w:rFonts w:asciiTheme="minorHAnsi" w:hAnsiTheme="minorHAnsi" w:eastAsiaTheme="minorEastAsia" w:cstheme="minorBidi"/>
      <w:kern w:val="2"/>
      <w:sz w:val="21"/>
    </w:rPr>
  </w:style>
  <w:style w:type="paragraph" w:styleId="7">
    <w:name w:val="Date"/>
    <w:basedOn w:val="1"/>
    <w:next w:val="1"/>
    <w:link w:val="39"/>
    <w:semiHidden/>
    <w:unhideWhenUsed/>
    <w:qFormat/>
    <w:uiPriority w:val="0"/>
    <w:pPr>
      <w:ind w:left="100" w:leftChars="2500"/>
    </w:pPr>
  </w:style>
  <w:style w:type="paragraph" w:styleId="8">
    <w:name w:val="Balloon Text"/>
    <w:basedOn w:val="1"/>
    <w:link w:val="31"/>
    <w:qFormat/>
    <w:uiPriority w:val="0"/>
    <w:rPr>
      <w:sz w:val="18"/>
      <w:szCs w:val="18"/>
    </w:rPr>
  </w:style>
  <w:style w:type="paragraph" w:styleId="9">
    <w:name w:val="footer"/>
    <w:basedOn w:val="1"/>
    <w:link w:val="38"/>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0">
    <w:name w:val="header"/>
    <w:basedOn w:val="1"/>
    <w:link w:val="37"/>
    <w:qFormat/>
    <w:uiPriority w:val="99"/>
    <w:pPr>
      <w:widowControl w:val="0"/>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heme="minorHAnsi" w:hAnsiTheme="minorHAnsi" w:eastAsiaTheme="minorEastAsia" w:cstheme="minorBidi"/>
      <w:kern w:val="2"/>
      <w:sz w:val="18"/>
    </w:rPr>
  </w:style>
  <w:style w:type="paragraph" w:styleId="11">
    <w:name w:val="toc 1"/>
    <w:basedOn w:val="1"/>
    <w:next w:val="1"/>
    <w:qFormat/>
    <w:uiPriority w:val="39"/>
    <w:pPr>
      <w:widowControl w:val="0"/>
      <w:jc w:val="both"/>
    </w:pPr>
    <w:rPr>
      <w:rFonts w:asciiTheme="minorHAnsi" w:hAnsiTheme="minorHAnsi" w:eastAsiaTheme="minorEastAsia" w:cstheme="minorBidi"/>
      <w:kern w:val="2"/>
      <w:sz w:val="21"/>
    </w:rPr>
  </w:style>
  <w:style w:type="paragraph" w:styleId="12">
    <w:name w:val="footnote text"/>
    <w:basedOn w:val="1"/>
    <w:unhideWhenUsed/>
    <w:qFormat/>
    <w:uiPriority w:val="99"/>
    <w:pPr>
      <w:widowControl w:val="0"/>
      <w:snapToGrid w:val="0"/>
    </w:pPr>
    <w:rPr>
      <w:rFonts w:cs="Times New Roman" w:asciiTheme="minorHAnsi" w:hAnsiTheme="minorHAnsi"/>
      <w:kern w:val="2"/>
      <w:sz w:val="18"/>
      <w:szCs w:val="20"/>
    </w:rPr>
  </w:style>
  <w:style w:type="paragraph" w:styleId="13">
    <w:name w:val="toc 2"/>
    <w:basedOn w:val="1"/>
    <w:next w:val="1"/>
    <w:qFormat/>
    <w:uiPriority w:val="39"/>
    <w:pPr>
      <w:widowControl w:val="0"/>
      <w:ind w:left="420" w:leftChars="200"/>
      <w:jc w:val="both"/>
    </w:pPr>
    <w:rPr>
      <w:rFonts w:asciiTheme="minorHAnsi" w:hAnsiTheme="minorHAnsi" w:eastAsiaTheme="minorEastAsia" w:cstheme="minorBidi"/>
      <w:kern w:val="2"/>
      <w:sz w:val="21"/>
    </w:rPr>
  </w:style>
  <w:style w:type="paragraph" w:styleId="14">
    <w:name w:val="Normal (Web)"/>
    <w:basedOn w:val="1"/>
    <w:qFormat/>
    <w:uiPriority w:val="99"/>
    <w:pPr>
      <w:spacing w:beforeAutospacing="1" w:afterAutospacing="1"/>
    </w:pPr>
    <w:rPr>
      <w:rFonts w:cs="Times New Roman"/>
    </w:rPr>
  </w:style>
  <w:style w:type="paragraph" w:styleId="15">
    <w:name w:val="annotation subject"/>
    <w:basedOn w:val="5"/>
    <w:next w:val="5"/>
    <w:link w:val="33"/>
    <w:qFormat/>
    <w:uiPriority w:val="0"/>
    <w:rPr>
      <w:b/>
      <w:bCs/>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unhideWhenUsed/>
    <w:qFormat/>
    <w:uiPriority w:val="99"/>
  </w:style>
  <w:style w:type="character" w:styleId="21">
    <w:name w:val="FollowedHyperlink"/>
    <w:basedOn w:val="18"/>
    <w:qFormat/>
    <w:uiPriority w:val="0"/>
    <w:rPr>
      <w:color w:val="333333"/>
      <w:u w:val="none"/>
    </w:rPr>
  </w:style>
  <w:style w:type="character" w:styleId="22">
    <w:name w:val="Emphasis"/>
    <w:basedOn w:val="18"/>
    <w:qFormat/>
    <w:uiPriority w:val="0"/>
    <w:rPr>
      <w:i/>
    </w:rPr>
  </w:style>
  <w:style w:type="character" w:styleId="23">
    <w:name w:val="Hyperlink"/>
    <w:basedOn w:val="18"/>
    <w:qFormat/>
    <w:uiPriority w:val="99"/>
    <w:rPr>
      <w:color w:val="0000FF"/>
      <w:u w:val="single"/>
    </w:rPr>
  </w:style>
  <w:style w:type="character" w:styleId="24">
    <w:name w:val="annotation reference"/>
    <w:basedOn w:val="18"/>
    <w:qFormat/>
    <w:uiPriority w:val="0"/>
    <w:rPr>
      <w:sz w:val="21"/>
      <w:szCs w:val="21"/>
    </w:rPr>
  </w:style>
  <w:style w:type="character" w:styleId="25">
    <w:name w:val="footnote reference"/>
    <w:unhideWhenUsed/>
    <w:qFormat/>
    <w:uiPriority w:val="99"/>
    <w:rPr>
      <w:vertAlign w:val="superscript"/>
    </w:rPr>
  </w:style>
  <w:style w:type="paragraph" w:customStyle="1" w:styleId="26">
    <w:name w:val="总报告正文"/>
    <w:basedOn w:val="1"/>
    <w:qFormat/>
    <w:uiPriority w:val="0"/>
    <w:pPr>
      <w:widowControl w:val="0"/>
      <w:spacing w:line="600" w:lineRule="exact"/>
      <w:ind w:firstLine="200" w:firstLineChars="200"/>
    </w:pPr>
    <w:rPr>
      <w:rFonts w:asciiTheme="minorHAnsi" w:hAnsiTheme="minorHAnsi" w:eastAsiaTheme="minorEastAsia" w:cstheme="minorBidi"/>
      <w:kern w:val="2"/>
      <w:sz w:val="21"/>
    </w:rPr>
  </w:style>
  <w:style w:type="paragraph" w:customStyle="1" w:styleId="27">
    <w:name w:val="样式1"/>
    <w:basedOn w:val="1"/>
    <w:qFormat/>
    <w:uiPriority w:val="0"/>
    <w:pPr>
      <w:jc w:val="center"/>
    </w:pPr>
    <w:rPr>
      <w:rFonts w:asciiTheme="minorHAnsi" w:hAnsiTheme="minorHAnsi" w:eastAsiaTheme="minorEastAsia" w:cstheme="minorBidi"/>
      <w:bCs/>
      <w:color w:val="000000"/>
      <w:kern w:val="2"/>
      <w:sz w:val="30"/>
    </w:rPr>
  </w:style>
  <w:style w:type="paragraph" w:styleId="28">
    <w:name w:val="List Paragraph"/>
    <w:basedOn w:val="1"/>
    <w:qFormat/>
    <w:uiPriority w:val="99"/>
    <w:pPr>
      <w:ind w:firstLine="420" w:firstLineChars="200"/>
    </w:pPr>
  </w:style>
  <w:style w:type="character" w:customStyle="1" w:styleId="29">
    <w:name w:val="标题 3 字符"/>
    <w:link w:val="4"/>
    <w:qFormat/>
    <w:uiPriority w:val="99"/>
    <w:rPr>
      <w:rFonts w:ascii="Courier New" w:hAnsi="Courier New" w:cs="Times New Roman"/>
      <w:b/>
      <w:color w:val="000000"/>
      <w:kern w:val="2"/>
      <w:sz w:val="26"/>
    </w:rPr>
  </w:style>
  <w:style w:type="character" w:customStyle="1" w:styleId="30">
    <w:name w:val="bsharetext"/>
    <w:basedOn w:val="18"/>
    <w:qFormat/>
    <w:uiPriority w:val="0"/>
  </w:style>
  <w:style w:type="character" w:customStyle="1" w:styleId="31">
    <w:name w:val="批注框文本 字符"/>
    <w:basedOn w:val="18"/>
    <w:link w:val="8"/>
    <w:qFormat/>
    <w:uiPriority w:val="0"/>
    <w:rPr>
      <w:rFonts w:ascii="宋体" w:hAnsi="宋体" w:cs="宋体"/>
      <w:sz w:val="18"/>
      <w:szCs w:val="18"/>
    </w:rPr>
  </w:style>
  <w:style w:type="character" w:customStyle="1" w:styleId="32">
    <w:name w:val="批注文字 字符"/>
    <w:basedOn w:val="18"/>
    <w:link w:val="5"/>
    <w:qFormat/>
    <w:uiPriority w:val="0"/>
    <w:rPr>
      <w:rFonts w:ascii="宋体" w:hAnsi="宋体" w:cs="宋体"/>
      <w:sz w:val="24"/>
      <w:szCs w:val="24"/>
    </w:rPr>
  </w:style>
  <w:style w:type="character" w:customStyle="1" w:styleId="33">
    <w:name w:val="批注主题 字符"/>
    <w:basedOn w:val="32"/>
    <w:link w:val="15"/>
    <w:qFormat/>
    <w:uiPriority w:val="0"/>
    <w:rPr>
      <w:rFonts w:ascii="宋体" w:hAnsi="宋体" w:cs="宋体"/>
      <w:b/>
      <w:bCs/>
      <w:sz w:val="24"/>
      <w:szCs w:val="24"/>
    </w:rPr>
  </w:style>
  <w:style w:type="character" w:customStyle="1" w:styleId="34">
    <w:name w:val="bjh-p"/>
    <w:basedOn w:val="18"/>
    <w:qFormat/>
    <w:uiPriority w:val="0"/>
  </w:style>
  <w:style w:type="paragraph" w:styleId="35">
    <w:name w:val="No Spacing"/>
    <w:link w:val="36"/>
    <w:qFormat/>
    <w:uiPriority w:val="1"/>
    <w:rPr>
      <w:rFonts w:asciiTheme="minorHAnsi" w:hAnsiTheme="minorHAnsi" w:eastAsiaTheme="minorEastAsia" w:cstheme="minorBidi"/>
      <w:sz w:val="22"/>
      <w:szCs w:val="22"/>
      <w:lang w:val="en-US" w:eastAsia="zh-CN" w:bidi="ar-SA"/>
    </w:rPr>
  </w:style>
  <w:style w:type="character" w:customStyle="1" w:styleId="36">
    <w:name w:val="无间隔 字符"/>
    <w:basedOn w:val="18"/>
    <w:link w:val="35"/>
    <w:qFormat/>
    <w:uiPriority w:val="1"/>
    <w:rPr>
      <w:rFonts w:asciiTheme="minorHAnsi" w:hAnsiTheme="minorHAnsi" w:eastAsiaTheme="minorEastAsia" w:cstheme="minorBidi"/>
      <w:sz w:val="22"/>
      <w:szCs w:val="22"/>
    </w:rPr>
  </w:style>
  <w:style w:type="character" w:customStyle="1" w:styleId="37">
    <w:name w:val="页眉 字符"/>
    <w:basedOn w:val="18"/>
    <w:link w:val="10"/>
    <w:qFormat/>
    <w:uiPriority w:val="99"/>
    <w:rPr>
      <w:rFonts w:asciiTheme="minorHAnsi" w:hAnsiTheme="minorHAnsi" w:eastAsiaTheme="minorEastAsia" w:cstheme="minorBidi"/>
      <w:kern w:val="2"/>
      <w:sz w:val="18"/>
      <w:szCs w:val="24"/>
    </w:rPr>
  </w:style>
  <w:style w:type="character" w:customStyle="1" w:styleId="38">
    <w:name w:val="页脚 字符"/>
    <w:basedOn w:val="18"/>
    <w:link w:val="9"/>
    <w:qFormat/>
    <w:uiPriority w:val="99"/>
    <w:rPr>
      <w:rFonts w:asciiTheme="minorHAnsi" w:hAnsiTheme="minorHAnsi" w:eastAsiaTheme="minorEastAsia" w:cstheme="minorBidi"/>
      <w:kern w:val="2"/>
      <w:sz w:val="18"/>
      <w:szCs w:val="18"/>
    </w:rPr>
  </w:style>
  <w:style w:type="character" w:customStyle="1" w:styleId="39">
    <w:name w:val="日期 字符"/>
    <w:basedOn w:val="18"/>
    <w:link w:val="7"/>
    <w:semiHidden/>
    <w:qFormat/>
    <w:uiPriority w:val="0"/>
    <w:rPr>
      <w:rFonts w:ascii="宋体" w:hAnsi="宋体" w:cs="宋体"/>
      <w:sz w:val="24"/>
      <w:szCs w:val="2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3">
    <w:name w:val="fontstyle01"/>
    <w:basedOn w:val="18"/>
    <w:qFormat/>
    <w:uiPriority w:val="0"/>
    <w:rPr>
      <w:rFonts w:hint="eastAsia" w:ascii="仿宋" w:hAnsi="仿宋" w:eastAsia="仿宋"/>
      <w:color w:val="1C1C1C"/>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customXml" Target="../customXml/item1.xml"/><Relationship Id="rId46" Type="http://schemas.openxmlformats.org/officeDocument/2006/relationships/chart" Target="charts/chart32.xml"/><Relationship Id="rId45" Type="http://schemas.openxmlformats.org/officeDocument/2006/relationships/chart" Target="charts/chart31.xml"/><Relationship Id="rId44" Type="http://schemas.openxmlformats.org/officeDocument/2006/relationships/chart" Target="charts/chart30.xml"/><Relationship Id="rId43" Type="http://schemas.openxmlformats.org/officeDocument/2006/relationships/chart" Target="charts/chart29.xml"/><Relationship Id="rId42" Type="http://schemas.openxmlformats.org/officeDocument/2006/relationships/chart" Target="charts/chart28.xml"/><Relationship Id="rId41" Type="http://schemas.openxmlformats.org/officeDocument/2006/relationships/chart" Target="charts/chart27.xml"/><Relationship Id="rId40" Type="http://schemas.openxmlformats.org/officeDocument/2006/relationships/chart" Target="charts/chart26.xml"/><Relationship Id="rId4" Type="http://schemas.openxmlformats.org/officeDocument/2006/relationships/footer" Target="footer1.xml"/><Relationship Id="rId39" Type="http://schemas.openxmlformats.org/officeDocument/2006/relationships/chart" Target="charts/chart25.xml"/><Relationship Id="rId38" Type="http://schemas.openxmlformats.org/officeDocument/2006/relationships/chart" Target="charts/chart24.xml"/><Relationship Id="rId37" Type="http://schemas.openxmlformats.org/officeDocument/2006/relationships/chart" Target="charts/chart23.xml"/><Relationship Id="rId36" Type="http://schemas.openxmlformats.org/officeDocument/2006/relationships/chart" Target="charts/chart22.xml"/><Relationship Id="rId35" Type="http://schemas.openxmlformats.org/officeDocument/2006/relationships/chart" Target="charts/chart21.xml"/><Relationship Id="rId34" Type="http://schemas.openxmlformats.org/officeDocument/2006/relationships/chart" Target="charts/chart20.xml"/><Relationship Id="rId33" Type="http://schemas.openxmlformats.org/officeDocument/2006/relationships/chart" Target="charts/chart19.xml"/><Relationship Id="rId32" Type="http://schemas.openxmlformats.org/officeDocument/2006/relationships/chart" Target="charts/chart18.xml"/><Relationship Id="rId31" Type="http://schemas.openxmlformats.org/officeDocument/2006/relationships/chart" Target="charts/chart17.xml"/><Relationship Id="rId30" Type="http://schemas.openxmlformats.org/officeDocument/2006/relationships/chart" Target="charts/chart16.xml"/><Relationship Id="rId3" Type="http://schemas.openxmlformats.org/officeDocument/2006/relationships/footnotes" Target="footnotes.xml"/><Relationship Id="rId29" Type="http://schemas.openxmlformats.org/officeDocument/2006/relationships/chart" Target="charts/chart15.xml"/><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chart" Target="charts/chart14.xml"/><Relationship Id="rId23" Type="http://schemas.openxmlformats.org/officeDocument/2006/relationships/chart" Target="charts/chart13.xml"/><Relationship Id="rId22" Type="http://schemas.openxmlformats.org/officeDocument/2006/relationships/chart" Target="charts/chart12.xml"/><Relationship Id="rId21" Type="http://schemas.openxmlformats.org/officeDocument/2006/relationships/chart" Target="charts/chart1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hart" Target="charts/chart10.xml"/><Relationship Id="rId18" Type="http://schemas.openxmlformats.org/officeDocument/2006/relationships/chart" Target="charts/chart9.xml"/><Relationship Id="rId17" Type="http://schemas.openxmlformats.org/officeDocument/2006/relationships/chart" Target="charts/chart8.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package" Target="../embeddings/Workbook32.xlsx"/></Relationships>
</file>

<file path=word/charts/_rels/chart11.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package" Target="../embeddings/Workbook27.xlsx"/></Relationships>
</file>

<file path=word/charts/_rels/chart12.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3.xlsx"/></Relationships>
</file>

<file path=word/charts/_rels/chart13.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package" Target="../embeddings/Workbook23.xlsx"/></Relationships>
</file>

<file path=word/charts/_rels/chart14.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package" Target="../embeddings/Workbook24.xlsx"/></Relationships>
</file>

<file path=word/charts/_rels/chart1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16.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4.xlsx"/></Relationships>
</file>

<file path=word/charts/_rels/chart1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18.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package" Target="../embeddings/Workbook28.xlsx"/></Relationships>
</file>

<file path=word/charts/_rels/chart19.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16.xlsx"/></Relationships>
</file>

<file path=word/charts/_rels/chart2.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package" Target="../embeddings/Workbook25.xlsx"/></Relationships>
</file>

<file path=word/charts/_rels/chart20.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package" Target="../embeddings/Workbook30.xlsx"/></Relationships>
</file>

<file path=word/charts/_rels/chart2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2.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17.xlsx"/></Relationships>
</file>

<file path=word/charts/_rels/chart23.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_rels/chart24.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15.xlsx"/></Relationships>
</file>

<file path=word/charts/_rels/chart25.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9.xlsx"/></Relationships>
</file>

<file path=word/charts/_rels/chart26.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19.xlsx"/></Relationships>
</file>

<file path=word/charts/_rels/chart27.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0.xlsx"/></Relationships>
</file>

<file path=word/charts/_rels/chart28.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2.xlsx"/></Relationships>
</file>

<file path=word/charts/_rels/chart29.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package" Target="../embeddings/Workbook22.xlsx"/></Relationships>
</file>

<file path=word/charts/_rels/chart3.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package" Target="../embeddings/Workbook29.xlsx"/></Relationships>
</file>

<file path=word/charts/_rels/chart30.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1.xlsx"/></Relationships>
</file>

<file path=word/charts/_rels/chart31.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package" Target="../embeddings/Workbook18.xlsx"/></Relationships>
</file>

<file path=word/charts/_rels/chart32.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package" Target="../embeddings/Workbook21.xlsx"/></Relationships>
</file>

<file path=word/charts/_rels/chart4.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package" Target="../embeddings/Workbook26.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package" Target="../embeddings/Workbook20.xlsx"/></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8.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package" Target="../embeddings/Workbook31.xlsx"/></Relationships>
</file>

<file path=word/charts/_rels/chart9.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17163181899046"/>
          <c:y val="0.030704253571357"/>
          <c:w val="0.947026246087166"/>
          <c:h val="0.764402948083502"/>
        </c:manualLayout>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Lbls>
            <c:dLbl>
              <c:idx val="0"/>
              <c:layout>
                <c:manualLayout>
                  <c:x val="0.00197127569698676"/>
                  <c:y val="0.03323029366306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97127569698676"/>
                  <c:y val="0.03116950025759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95691354548015"/>
                  <c:y val="-0.020092735703245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12447197972402"/>
                      <c:h val="0.0816589386913962"/>
                    </c:manualLayout>
                  </c15:layout>
                </c:ext>
              </c:extLst>
            </c:dLbl>
            <c:dLbl>
              <c:idx val="3"/>
              <c:layout>
                <c:manualLayout>
                  <c:x val="0.00394255139397353"/>
                  <c:y val="0.032972694487377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112644325542101"/>
                  <c:y val="0.02936630602782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112644325542101"/>
                  <c:y val="0.03142709943328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accent1">
                        <a:lumMod val="7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General</c:formatCode>
                <c:ptCount val="6"/>
                <c:pt idx="0">
                  <c:v>71.75</c:v>
                </c:pt>
                <c:pt idx="1">
                  <c:v>73.68</c:v>
                </c:pt>
                <c:pt idx="2">
                  <c:v>77.02</c:v>
                </c:pt>
                <c:pt idx="3">
                  <c:v>79.32</c:v>
                </c:pt>
                <c:pt idx="4">
                  <c:v>80.59</c:v>
                </c:pt>
                <c:pt idx="5">
                  <c:v>78.81</c:v>
                </c:pt>
              </c:numCache>
            </c:numRef>
          </c:val>
        </c:ser>
        <c:dLbls>
          <c:showLegendKey val="0"/>
          <c:showVal val="1"/>
          <c:showCatName val="0"/>
          <c:showSerName val="0"/>
          <c:showPercent val="0"/>
          <c:showBubbleSize val="0"/>
        </c:dLbls>
        <c:gapWidth val="219"/>
        <c:overlap val="-27"/>
        <c:axId val="290117967"/>
        <c:axId val="290122127"/>
      </c:barChart>
      <c:lineChart>
        <c:grouping val="standard"/>
        <c:varyColors val="0"/>
        <c:ser>
          <c:idx val="1"/>
          <c:order val="1"/>
          <c:tx>
            <c:strRef>
              <c:f>Sheet1!$C$1</c:f>
              <c:strCache>
                <c:ptCount val="1"/>
                <c:pt idx="0">
                  <c:v>增长率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5"/>
            <c:marker>
              <c:symbol val="circle"/>
              <c:size val="5"/>
              <c:spPr>
                <a:solidFill>
                  <a:schemeClr val="accent6">
                    <a:lumMod val="50000"/>
                  </a:schemeClr>
                </a:solidFill>
                <a:ln w="9525">
                  <a:solidFill>
                    <a:schemeClr val="accent6">
                      <a:lumMod val="50000"/>
                    </a:schemeClr>
                  </a:solidFill>
                </a:ln>
                <a:effectLst/>
              </c:spPr>
            </c:marker>
            <c:bubble3D val="0"/>
          </c:dPt>
          <c:dLbls>
            <c:dLbl>
              <c:idx val="0"/>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1" i="0" u="none" strike="noStrike" kern="1200" baseline="0">
                      <a:solidFill>
                        <a:schemeClr val="bg1"/>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21631345066959"/>
                  <c:y val="-0.055235005415165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03656139702289"/>
                  <c:y val="-0.0090159711488923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5892126173850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7421141343607"/>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410849054748673"/>
                </c:manualLayout>
              </c:layout>
              <c:tx>
                <c:rich>
                  <a:bodyPr rot="0" spcFirstLastPara="1" vertOverflow="ellipsis" vert="horz" wrap="square" lIns="38100" tIns="19050" rIns="38100" bIns="19050" anchor="ctr" anchorCtr="1">
                    <a:spAutoFit/>
                  </a:bodyPr>
                  <a:lstStyle/>
                  <a:p>
                    <a:pPr defTabSz="914400">
                      <a:defRPr lang="zh-CN" sz="900" b="1" i="0" u="none" strike="noStrike" kern="1200" baseline="0">
                        <a:solidFill>
                          <a:srgbClr val="00B050"/>
                        </a:solidFill>
                        <a:latin typeface="+mn-lt"/>
                        <a:ea typeface="+mn-ea"/>
                        <a:cs typeface="+mn-cs"/>
                      </a:defRPr>
                    </a:pPr>
                    <a:r>
                      <a:rPr lang="en-US" altLang="zh-CN">
                        <a:solidFill>
                          <a:schemeClr val="accent6">
                            <a:lumMod val="75000"/>
                          </a:schemeClr>
                        </a:solidFill>
                      </a:rPr>
                      <a:t>-2.21%</a:t>
                    </a:r>
                    <a:endParaRPr lang="en-US" altLang="zh-CN" baseline="0">
                      <a:solidFill>
                        <a:schemeClr val="accent6">
                          <a:lumMod val="75000"/>
                        </a:schemeClr>
                      </a:solidFill>
                    </a:endParaRP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00B050"/>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2">
                        <a:lumMod val="7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General</c:formatCode>
                <c:ptCount val="6"/>
                <c:pt idx="1" c:formatCode="0.00%">
                  <c:v>0.0268989547038328</c:v>
                </c:pt>
                <c:pt idx="2" c:formatCode="0.00%">
                  <c:v>0.045331161780673</c:v>
                </c:pt>
                <c:pt idx="3" c:formatCode="0.00%">
                  <c:v>0.029862373409504</c:v>
                </c:pt>
                <c:pt idx="4" c:formatCode="0.00%">
                  <c:v>0.0160110943015634</c:v>
                </c:pt>
                <c:pt idx="5" c:formatCode="0.00%">
                  <c:v>-0.0220871075815858</c:v>
                </c:pt>
              </c:numCache>
            </c:numRef>
          </c:val>
          <c:smooth val="0"/>
        </c:ser>
        <c:dLbls>
          <c:showLegendKey val="0"/>
          <c:showVal val="1"/>
          <c:showCatName val="0"/>
          <c:showSerName val="0"/>
          <c:showPercent val="0"/>
          <c:showBubbleSize val="0"/>
        </c:dLbls>
        <c:marker val="1"/>
        <c:smooth val="0"/>
        <c:axId val="290115471"/>
        <c:axId val="290122959"/>
      </c:lineChart>
      <c:catAx>
        <c:axId val="29011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122127"/>
        <c:crosses val="autoZero"/>
        <c:auto val="1"/>
        <c:lblAlgn val="ctr"/>
        <c:lblOffset val="100"/>
        <c:noMultiLvlLbl val="0"/>
      </c:catAx>
      <c:valAx>
        <c:axId val="290122127"/>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117967"/>
        <c:crosses val="autoZero"/>
        <c:crossBetween val="between"/>
      </c:valAx>
      <c:catAx>
        <c:axId val="290115471"/>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122959"/>
        <c:crosses val="autoZero"/>
        <c:auto val="1"/>
        <c:lblAlgn val="ctr"/>
        <c:lblOffset val="100"/>
        <c:noMultiLvlLbl val="0"/>
      </c:catAx>
      <c:valAx>
        <c:axId val="290122959"/>
        <c:scaling>
          <c:orientation val="minMax"/>
          <c:max val="0.08"/>
        </c:scaling>
        <c:delete val="0"/>
        <c:axPos val="r"/>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115471"/>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Pt>
            <c:idx val="4"/>
            <c:invertIfNegative val="0"/>
            <c:bubble3D val="0"/>
            <c:spPr>
              <a:solidFill>
                <a:schemeClr val="accent5">
                  <a:lumMod val="60000"/>
                  <a:lumOff val="40000"/>
                </a:schemeClr>
              </a:solidFill>
              <a:ln>
                <a:noFill/>
              </a:ln>
              <a:effectLst/>
            </c:spPr>
          </c:dPt>
          <c:dPt>
            <c:idx val="5"/>
            <c:invertIfNegative val="0"/>
            <c:bubble3D val="0"/>
            <c:spPr>
              <a:solidFill>
                <a:schemeClr val="accent5">
                  <a:lumMod val="60000"/>
                  <a:lumOff val="40000"/>
                </a:schemeClr>
              </a:solidFill>
              <a:ln>
                <a:noFill/>
              </a:ln>
              <a:effectLst/>
            </c:spPr>
          </c:dPt>
          <c:dPt>
            <c:idx val="6"/>
            <c:invertIfNegative val="0"/>
            <c:bubble3D val="0"/>
            <c:spPr>
              <a:solidFill>
                <a:schemeClr val="accent5">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损失比较小，就算了</c:v>
                </c:pt>
                <c:pt idx="1">
                  <c:v>感觉投诉也没有什么用</c:v>
                </c:pt>
                <c:pt idx="2">
                  <c:v>认为流程可能会比较复杂或花时间</c:v>
                </c:pt>
                <c:pt idx="3">
                  <c:v>不知道去哪投诉</c:v>
                </c:pt>
                <c:pt idx="4">
                  <c:v>当时没有意识到自己的权益受到侵害</c:v>
                </c:pt>
                <c:pt idx="5">
                  <c:v>投诉影响消费的心情</c:v>
                </c:pt>
                <c:pt idx="6">
                  <c:v>害怕投诉后遭到报复或其他不良影响</c:v>
                </c:pt>
              </c:strCache>
            </c:strRef>
          </c:cat>
          <c:val>
            <c:numRef>
              <c:f>Sheet1!$B$2:$B$8</c:f>
              <c:numCache>
                <c:formatCode>0.0_ </c:formatCode>
                <c:ptCount val="7"/>
                <c:pt idx="0">
                  <c:v>52.3737916219119</c:v>
                </c:pt>
                <c:pt idx="1">
                  <c:v>46.8098818474758</c:v>
                </c:pt>
                <c:pt idx="2">
                  <c:v>42.1983530254207</c:v>
                </c:pt>
                <c:pt idx="3">
                  <c:v>27.81238811314</c:v>
                </c:pt>
                <c:pt idx="4">
                  <c:v>14.5721446473326</c:v>
                </c:pt>
                <c:pt idx="5">
                  <c:v>12.2305764411028</c:v>
                </c:pt>
                <c:pt idx="6">
                  <c:v>8.69316147511636</c:v>
                </c:pt>
              </c:numCache>
            </c:numRef>
          </c:val>
        </c:ser>
        <c:dLbls>
          <c:showLegendKey val="0"/>
          <c:showVal val="1"/>
          <c:showCatName val="0"/>
          <c:showSerName val="0"/>
          <c:showPercent val="0"/>
          <c:showBubbleSize val="0"/>
        </c:dLbls>
        <c:gapWidth val="41"/>
        <c:overlap val="-27"/>
        <c:axId val="741175503"/>
        <c:axId val="741187567"/>
      </c:barChart>
      <c:catAx>
        <c:axId val="74117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187567"/>
        <c:crosses val="autoZero"/>
        <c:auto val="1"/>
        <c:lblAlgn val="ctr"/>
        <c:lblOffset val="100"/>
        <c:noMultiLvlLbl val="0"/>
      </c:catAx>
      <c:valAx>
        <c:axId val="741187567"/>
        <c:scaling>
          <c:orientation val="minMax"/>
        </c:scaling>
        <c:delete val="0"/>
        <c:axPos val="l"/>
        <c:numFmt formatCode="0.0_ "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1755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6">
                <a:lumMod val="75000"/>
              </a:schemeClr>
            </a:solidFill>
            <a:ln>
              <a:noFill/>
            </a:ln>
            <a:effectLst/>
          </c:spPr>
          <c:invertIfNegative val="0"/>
          <c:dPt>
            <c:idx val="37"/>
            <c:invertIfNegative val="0"/>
            <c:bubble3D val="0"/>
            <c:spPr>
              <a:solidFill>
                <a:schemeClr val="accent6">
                  <a:lumMod val="75000"/>
                </a:schemeClr>
              </a:solidFill>
              <a:ln>
                <a:noFill/>
              </a:ln>
              <a:effectLst/>
            </c:spPr>
          </c:dPt>
          <c:dPt>
            <c:idx val="39"/>
            <c:invertIfNegative val="0"/>
            <c:bubble3D val="0"/>
            <c:spPr>
              <a:solidFill>
                <a:srgbClr val="C00000"/>
              </a:solidFill>
              <a:ln>
                <a:noFill/>
              </a:ln>
              <a:effectLst/>
            </c:spPr>
          </c:dPt>
          <c:dLbls>
            <c:dLbl>
              <c:idx val="39"/>
              <c:layout/>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C0000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Sheet1!$A$2:$A$52</c:f>
              <c:strCache>
                <c:ptCount val="51"/>
                <c:pt idx="0">
                  <c:v>苏州市(1)</c:v>
                </c:pt>
                <c:pt idx="1">
                  <c:v>青岛市(2)</c:v>
                </c:pt>
                <c:pt idx="2">
                  <c:v>杭州市(3)</c:v>
                </c:pt>
                <c:pt idx="3">
                  <c:v>烟台市(4)</c:v>
                </c:pt>
                <c:pt idx="4">
                  <c:v>南京市(5)</c:v>
                </c:pt>
                <c:pt idx="5">
                  <c:v>佛山市(6)</c:v>
                </c:pt>
                <c:pt idx="6">
                  <c:v>无锡市(7)</c:v>
                </c:pt>
                <c:pt idx="7">
                  <c:v>厦门市(8)</c:v>
                </c:pt>
                <c:pt idx="8">
                  <c:v>北京市(9)</c:v>
                </c:pt>
                <c:pt idx="9">
                  <c:v>宜昌市(10)</c:v>
                </c:pt>
                <c:pt idx="10">
                  <c:v>宁波市(11)</c:v>
                </c:pt>
                <c:pt idx="11">
                  <c:v>深圳市(12)</c:v>
                </c:pt>
                <c:pt idx="12">
                  <c:v>潍坊市(13)</c:v>
                </c:pt>
                <c:pt idx="13">
                  <c:v>天津市(14)</c:v>
                </c:pt>
                <c:pt idx="14">
                  <c:v>南宁市(15)</c:v>
                </c:pt>
                <c:pt idx="15">
                  <c:v>常州市(16)</c:v>
                </c:pt>
                <c:pt idx="16">
                  <c:v>上海市(17)</c:v>
                </c:pt>
                <c:pt idx="17">
                  <c:v>成都市(18)</c:v>
                </c:pt>
                <c:pt idx="18">
                  <c:v>盐城市(19)</c:v>
                </c:pt>
                <c:pt idx="19">
                  <c:v>广州市(20)</c:v>
                </c:pt>
                <c:pt idx="20">
                  <c:v>泉州市(21)</c:v>
                </c:pt>
                <c:pt idx="21">
                  <c:v>金华市(22)</c:v>
                </c:pt>
                <c:pt idx="22">
                  <c:v>南通市(23)</c:v>
                </c:pt>
                <c:pt idx="23">
                  <c:v>洛阳市(24)</c:v>
                </c:pt>
                <c:pt idx="24">
                  <c:v>襄阳市(25)</c:v>
                </c:pt>
                <c:pt idx="25">
                  <c:v>嘉兴市(26)</c:v>
                </c:pt>
                <c:pt idx="26">
                  <c:v>吴忠市(27)</c:v>
                </c:pt>
                <c:pt idx="27">
                  <c:v>济宁市(28)</c:v>
                </c:pt>
                <c:pt idx="28">
                  <c:v>绍兴市(29)</c:v>
                </c:pt>
                <c:pt idx="29">
                  <c:v>温州市(30)</c:v>
                </c:pt>
                <c:pt idx="30">
                  <c:v>台州市(31)</c:v>
                </c:pt>
                <c:pt idx="31">
                  <c:v>武汉市(32)</c:v>
                </c:pt>
                <c:pt idx="32">
                  <c:v>沈阳市(33)</c:v>
                </c:pt>
                <c:pt idx="33">
                  <c:v>徐州市(34)</c:v>
                </c:pt>
                <c:pt idx="34">
                  <c:v>淄博市(35)</c:v>
                </c:pt>
                <c:pt idx="35">
                  <c:v>济南市(36)</c:v>
                </c:pt>
                <c:pt idx="36">
                  <c:v>哈尔滨市(37)</c:v>
                </c:pt>
                <c:pt idx="37">
                  <c:v>东莞市(38)</c:v>
                </c:pt>
                <c:pt idx="38">
                  <c:v>贵阳市(39)</c:v>
                </c:pt>
                <c:pt idx="39">
                  <c:v>全国综合得分</c:v>
                </c:pt>
                <c:pt idx="40">
                  <c:v>临沂市(40)</c:v>
                </c:pt>
                <c:pt idx="41">
                  <c:v>岳阳市(41)</c:v>
                </c:pt>
                <c:pt idx="42">
                  <c:v>长春市(42)</c:v>
                </c:pt>
                <c:pt idx="43">
                  <c:v>遵义市(43)</c:v>
                </c:pt>
                <c:pt idx="44">
                  <c:v>芜湖市(44)</c:v>
                </c:pt>
                <c:pt idx="45">
                  <c:v>银川市(45)</c:v>
                </c:pt>
                <c:pt idx="46">
                  <c:v>毕节市(46)</c:v>
                </c:pt>
                <c:pt idx="47">
                  <c:v>克拉玛依市(47)</c:v>
                </c:pt>
                <c:pt idx="48">
                  <c:v>日喀则市(48)</c:v>
                </c:pt>
                <c:pt idx="49">
                  <c:v>山南市(49)</c:v>
                </c:pt>
                <c:pt idx="50">
                  <c:v>渭南市(50)</c:v>
                </c:pt>
              </c:strCache>
            </c:strRef>
          </c:cat>
          <c:val>
            <c:numRef>
              <c:f>Sheet1!$B$2:$B$52</c:f>
              <c:numCache>
                <c:formatCode>0.00_ </c:formatCode>
                <c:ptCount val="51"/>
                <c:pt idx="0">
                  <c:v>91.80572142</c:v>
                </c:pt>
                <c:pt idx="1">
                  <c:v>90.39767895</c:v>
                </c:pt>
                <c:pt idx="2">
                  <c:v>89.73749807</c:v>
                </c:pt>
                <c:pt idx="3">
                  <c:v>89.16924065</c:v>
                </c:pt>
                <c:pt idx="4">
                  <c:v>88.85144368</c:v>
                </c:pt>
                <c:pt idx="5">
                  <c:v>88.15062242</c:v>
                </c:pt>
                <c:pt idx="6">
                  <c:v>88.13469619</c:v>
                </c:pt>
                <c:pt idx="7">
                  <c:v>84.44872821</c:v>
                </c:pt>
                <c:pt idx="8">
                  <c:v>84.42160068</c:v>
                </c:pt>
                <c:pt idx="9">
                  <c:v>83.53987332</c:v>
                </c:pt>
                <c:pt idx="10">
                  <c:v>83.02434343</c:v>
                </c:pt>
                <c:pt idx="11">
                  <c:v>82.85728241</c:v>
                </c:pt>
                <c:pt idx="12">
                  <c:v>82.78409676</c:v>
                </c:pt>
                <c:pt idx="13">
                  <c:v>82.74231107</c:v>
                </c:pt>
                <c:pt idx="14">
                  <c:v>82.72865258</c:v>
                </c:pt>
                <c:pt idx="15">
                  <c:v>82.70879624</c:v>
                </c:pt>
                <c:pt idx="16">
                  <c:v>82.12881117</c:v>
                </c:pt>
                <c:pt idx="17">
                  <c:v>82.10912288</c:v>
                </c:pt>
                <c:pt idx="18">
                  <c:v>81.97468155</c:v>
                </c:pt>
                <c:pt idx="19">
                  <c:v>81.89132335</c:v>
                </c:pt>
                <c:pt idx="20">
                  <c:v>81.68599113</c:v>
                </c:pt>
                <c:pt idx="21">
                  <c:v>81.60607602</c:v>
                </c:pt>
                <c:pt idx="22">
                  <c:v>81.56722428</c:v>
                </c:pt>
                <c:pt idx="23">
                  <c:v>81.4124198</c:v>
                </c:pt>
                <c:pt idx="24">
                  <c:v>81.40150302</c:v>
                </c:pt>
                <c:pt idx="25">
                  <c:v>80.94875169</c:v>
                </c:pt>
                <c:pt idx="26">
                  <c:v>80.64172439</c:v>
                </c:pt>
                <c:pt idx="27">
                  <c:v>80.40037466</c:v>
                </c:pt>
                <c:pt idx="28">
                  <c:v>80.38588508</c:v>
                </c:pt>
                <c:pt idx="29">
                  <c:v>80.27297192</c:v>
                </c:pt>
                <c:pt idx="30">
                  <c:v>80.16200555</c:v>
                </c:pt>
                <c:pt idx="31">
                  <c:v>80.0263495</c:v>
                </c:pt>
                <c:pt idx="32">
                  <c:v>80.01776023</c:v>
                </c:pt>
                <c:pt idx="33">
                  <c:v>79.84978136</c:v>
                </c:pt>
                <c:pt idx="34">
                  <c:v>79.66863527</c:v>
                </c:pt>
                <c:pt idx="35">
                  <c:v>79.66527968</c:v>
                </c:pt>
                <c:pt idx="36">
                  <c:v>79.59841228</c:v>
                </c:pt>
                <c:pt idx="37">
                  <c:v>78.89110559</c:v>
                </c:pt>
                <c:pt idx="38">
                  <c:v>78.81883141</c:v>
                </c:pt>
                <c:pt idx="39">
                  <c:v>78.81</c:v>
                </c:pt>
                <c:pt idx="40">
                  <c:v>78.60305024</c:v>
                </c:pt>
                <c:pt idx="41">
                  <c:v>78.45558566</c:v>
                </c:pt>
                <c:pt idx="42">
                  <c:v>78.4297558</c:v>
                </c:pt>
                <c:pt idx="43">
                  <c:v>78.35740891</c:v>
                </c:pt>
                <c:pt idx="44">
                  <c:v>78.22117129</c:v>
                </c:pt>
                <c:pt idx="45">
                  <c:v>78.19198223</c:v>
                </c:pt>
                <c:pt idx="46">
                  <c:v>78.13104117</c:v>
                </c:pt>
                <c:pt idx="47">
                  <c:v>77.88574054</c:v>
                </c:pt>
                <c:pt idx="48">
                  <c:v>77.82002729</c:v>
                </c:pt>
                <c:pt idx="49">
                  <c:v>77.72403436</c:v>
                </c:pt>
                <c:pt idx="50">
                  <c:v>77.41032091</c:v>
                </c:pt>
              </c:numCache>
            </c:numRef>
          </c:val>
        </c:ser>
        <c:dLbls>
          <c:showLegendKey val="0"/>
          <c:showVal val="1"/>
          <c:showCatName val="0"/>
          <c:showSerName val="0"/>
          <c:showPercent val="0"/>
          <c:showBubbleSize val="0"/>
        </c:dLbls>
        <c:gapWidth val="150"/>
        <c:axId val="655668681"/>
        <c:axId val="384638197"/>
      </c:barChart>
      <c:catAx>
        <c:axId val="65566868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4638197"/>
        <c:crosses val="autoZero"/>
        <c:auto val="1"/>
        <c:lblAlgn val="ctr"/>
        <c:lblOffset val="100"/>
        <c:noMultiLvlLbl val="0"/>
      </c:catAx>
      <c:valAx>
        <c:axId val="384638197"/>
        <c:scaling>
          <c:orientation val="minMax"/>
          <c:max val="93"/>
          <c:min val="70"/>
        </c:scaling>
        <c:delete val="1"/>
        <c:axPos val="t"/>
        <c:numFmt formatCode="0.00_ "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566868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6">
                <a:lumMod val="75000"/>
              </a:schemeClr>
            </a:solidFill>
            <a:ln>
              <a:noFill/>
            </a:ln>
            <a:effectLst/>
          </c:spPr>
          <c:invertIfNegative val="0"/>
          <c:dPt>
            <c:idx val="37"/>
            <c:invertIfNegative val="0"/>
            <c:bubble3D val="0"/>
            <c:spPr>
              <a:solidFill>
                <a:schemeClr val="accent6">
                  <a:lumMod val="75000"/>
                </a:schemeClr>
              </a:solidFill>
              <a:ln>
                <a:noFill/>
              </a:ln>
              <a:effectLst/>
            </c:spPr>
          </c:dPt>
          <c:dLbls>
            <c:dLbl>
              <c:idx val="39"/>
              <c:layout>
                <c:manualLayout>
                  <c:x val="0"/>
                  <c:y val="0.001312221153004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Sheet1!$A$2:$A$51</c:f>
              <c:strCache>
                <c:ptCount val="50"/>
                <c:pt idx="0">
                  <c:v>太原市(51)</c:v>
                </c:pt>
                <c:pt idx="1">
                  <c:v>昆明市(52)</c:v>
                </c:pt>
                <c:pt idx="2">
                  <c:v>西宁市(53)</c:v>
                </c:pt>
                <c:pt idx="3">
                  <c:v>大同市(54)</c:v>
                </c:pt>
                <c:pt idx="4">
                  <c:v>南昌市(55)</c:v>
                </c:pt>
                <c:pt idx="5">
                  <c:v>拉萨市(56)</c:v>
                </c:pt>
                <c:pt idx="6">
                  <c:v>齐齐哈尔市(57)</c:v>
                </c:pt>
                <c:pt idx="7">
                  <c:v>上饶市(58)</c:v>
                </c:pt>
                <c:pt idx="8">
                  <c:v>赣州市(59)</c:v>
                </c:pt>
                <c:pt idx="9">
                  <c:v>南充市(60)</c:v>
                </c:pt>
                <c:pt idx="10">
                  <c:v>天水市(61)</c:v>
                </c:pt>
                <c:pt idx="11">
                  <c:v>石家庄市(62)</c:v>
                </c:pt>
                <c:pt idx="12">
                  <c:v>大庆市(63)</c:v>
                </c:pt>
                <c:pt idx="13">
                  <c:v>包头市(64)</c:v>
                </c:pt>
                <c:pt idx="14">
                  <c:v>海西蒙古族藏族自治州(65)</c:v>
                </c:pt>
                <c:pt idx="15">
                  <c:v>福州市(66)</c:v>
                </c:pt>
                <c:pt idx="16">
                  <c:v>邯郸市(67)</c:v>
                </c:pt>
                <c:pt idx="17">
                  <c:v>重庆市(68)</c:v>
                </c:pt>
                <c:pt idx="18">
                  <c:v>儋州市(69)</c:v>
                </c:pt>
                <c:pt idx="19">
                  <c:v>大连市(70)</c:v>
                </c:pt>
                <c:pt idx="20">
                  <c:v>鄂尔多斯市(71)</c:v>
                </c:pt>
                <c:pt idx="21">
                  <c:v>汕头市(72)</c:v>
                </c:pt>
                <c:pt idx="22">
                  <c:v>鞍山市(73)</c:v>
                </c:pt>
                <c:pt idx="23">
                  <c:v>玉溪市(74)</c:v>
                </c:pt>
                <c:pt idx="24">
                  <c:v>西安市(75)</c:v>
                </c:pt>
                <c:pt idx="25">
                  <c:v>保定市(76)</c:v>
                </c:pt>
                <c:pt idx="26">
                  <c:v>合肥市(77)</c:v>
                </c:pt>
                <c:pt idx="27">
                  <c:v>南阳市(78)</c:v>
                </c:pt>
                <c:pt idx="28">
                  <c:v>长沙市(79)</c:v>
                </c:pt>
                <c:pt idx="29">
                  <c:v>石嘴山市(80)</c:v>
                </c:pt>
                <c:pt idx="30">
                  <c:v>唐山市(81)</c:v>
                </c:pt>
                <c:pt idx="31">
                  <c:v>海东市(82)</c:v>
                </c:pt>
                <c:pt idx="32">
                  <c:v>阜阳市(83)</c:v>
                </c:pt>
                <c:pt idx="33">
                  <c:v>曲靖市(84)</c:v>
                </c:pt>
                <c:pt idx="34">
                  <c:v>郑州市(85)</c:v>
                </c:pt>
                <c:pt idx="35">
                  <c:v>海口市(86)</c:v>
                </c:pt>
                <c:pt idx="36">
                  <c:v>绵阳市(87)</c:v>
                </c:pt>
                <c:pt idx="37">
                  <c:v>桂林市(88)</c:v>
                </c:pt>
                <c:pt idx="38">
                  <c:v>乌鲁木齐市(89)</c:v>
                </c:pt>
                <c:pt idx="39">
                  <c:v>松原市(90)</c:v>
                </c:pt>
                <c:pt idx="40">
                  <c:v>哈密市(91)</c:v>
                </c:pt>
                <c:pt idx="41">
                  <c:v>柳州市(92)</c:v>
                </c:pt>
                <c:pt idx="42">
                  <c:v>运城市(93)</c:v>
                </c:pt>
                <c:pt idx="43">
                  <c:v>兰州市(94)</c:v>
                </c:pt>
                <c:pt idx="44">
                  <c:v>宝鸡市(95)</c:v>
                </c:pt>
                <c:pt idx="45">
                  <c:v>三亚市(96)</c:v>
                </c:pt>
                <c:pt idx="46">
                  <c:v>呼和浩特市(97)</c:v>
                </c:pt>
                <c:pt idx="47">
                  <c:v>庆阳市(98)</c:v>
                </c:pt>
                <c:pt idx="48">
                  <c:v>吉林市(99)</c:v>
                </c:pt>
                <c:pt idx="49">
                  <c:v>衡阳市(100)</c:v>
                </c:pt>
              </c:strCache>
            </c:strRef>
          </c:cat>
          <c:val>
            <c:numRef>
              <c:f>Sheet1!$B$2:$B$51</c:f>
              <c:numCache>
                <c:formatCode>0.00_);[Red]\(0.00\)</c:formatCode>
                <c:ptCount val="50"/>
                <c:pt idx="0">
                  <c:v>77.38</c:v>
                </c:pt>
                <c:pt idx="1">
                  <c:v>77.37</c:v>
                </c:pt>
                <c:pt idx="2">
                  <c:v>77.02</c:v>
                </c:pt>
                <c:pt idx="3">
                  <c:v>76.95</c:v>
                </c:pt>
                <c:pt idx="4">
                  <c:v>76.92</c:v>
                </c:pt>
                <c:pt idx="5">
                  <c:v>76.88</c:v>
                </c:pt>
                <c:pt idx="6">
                  <c:v>76.76</c:v>
                </c:pt>
                <c:pt idx="7">
                  <c:v>76.67</c:v>
                </c:pt>
                <c:pt idx="8">
                  <c:v>76.63</c:v>
                </c:pt>
                <c:pt idx="9">
                  <c:v>76.59</c:v>
                </c:pt>
                <c:pt idx="10">
                  <c:v>76.38</c:v>
                </c:pt>
                <c:pt idx="11">
                  <c:v>76.25</c:v>
                </c:pt>
                <c:pt idx="12">
                  <c:v>76.24</c:v>
                </c:pt>
                <c:pt idx="13">
                  <c:v>76.24</c:v>
                </c:pt>
                <c:pt idx="14">
                  <c:v>76.18</c:v>
                </c:pt>
                <c:pt idx="15">
                  <c:v>75.99</c:v>
                </c:pt>
                <c:pt idx="16">
                  <c:v>75.74</c:v>
                </c:pt>
                <c:pt idx="17">
                  <c:v>75.7</c:v>
                </c:pt>
                <c:pt idx="18">
                  <c:v>75.48</c:v>
                </c:pt>
                <c:pt idx="19">
                  <c:v>75.47</c:v>
                </c:pt>
                <c:pt idx="20">
                  <c:v>75.23</c:v>
                </c:pt>
                <c:pt idx="21">
                  <c:v>75.16</c:v>
                </c:pt>
                <c:pt idx="22">
                  <c:v>75.13</c:v>
                </c:pt>
                <c:pt idx="23">
                  <c:v>75.01</c:v>
                </c:pt>
                <c:pt idx="24">
                  <c:v>74.64</c:v>
                </c:pt>
                <c:pt idx="25">
                  <c:v>74.34</c:v>
                </c:pt>
                <c:pt idx="26">
                  <c:v>74.28</c:v>
                </c:pt>
                <c:pt idx="27">
                  <c:v>74.2</c:v>
                </c:pt>
                <c:pt idx="28">
                  <c:v>74.18</c:v>
                </c:pt>
                <c:pt idx="29">
                  <c:v>74</c:v>
                </c:pt>
                <c:pt idx="30">
                  <c:v>73.9</c:v>
                </c:pt>
                <c:pt idx="31">
                  <c:v>73.83</c:v>
                </c:pt>
                <c:pt idx="32">
                  <c:v>73.62</c:v>
                </c:pt>
                <c:pt idx="33">
                  <c:v>73.5</c:v>
                </c:pt>
                <c:pt idx="34">
                  <c:v>73.4</c:v>
                </c:pt>
                <c:pt idx="35">
                  <c:v>73.35</c:v>
                </c:pt>
                <c:pt idx="36">
                  <c:v>73.34</c:v>
                </c:pt>
                <c:pt idx="37">
                  <c:v>73.07</c:v>
                </c:pt>
                <c:pt idx="38">
                  <c:v>72.91</c:v>
                </c:pt>
                <c:pt idx="39">
                  <c:v>72.74</c:v>
                </c:pt>
                <c:pt idx="40">
                  <c:v>72.48</c:v>
                </c:pt>
                <c:pt idx="41">
                  <c:v>72.1</c:v>
                </c:pt>
                <c:pt idx="42">
                  <c:v>71.96</c:v>
                </c:pt>
                <c:pt idx="43">
                  <c:v>71.79</c:v>
                </c:pt>
                <c:pt idx="44">
                  <c:v>71.66</c:v>
                </c:pt>
                <c:pt idx="45">
                  <c:v>71.52</c:v>
                </c:pt>
                <c:pt idx="46">
                  <c:v>71.35</c:v>
                </c:pt>
                <c:pt idx="47">
                  <c:v>70.81</c:v>
                </c:pt>
                <c:pt idx="48">
                  <c:v>70.67</c:v>
                </c:pt>
                <c:pt idx="49">
                  <c:v>70.19</c:v>
                </c:pt>
              </c:numCache>
            </c:numRef>
          </c:val>
        </c:ser>
        <c:dLbls>
          <c:showLegendKey val="0"/>
          <c:showVal val="1"/>
          <c:showCatName val="0"/>
          <c:showSerName val="0"/>
          <c:showPercent val="0"/>
          <c:showBubbleSize val="0"/>
        </c:dLbls>
        <c:gapWidth val="150"/>
        <c:axId val="655668681"/>
        <c:axId val="384638197"/>
      </c:barChart>
      <c:catAx>
        <c:axId val="65566868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4638197"/>
        <c:crosses val="autoZero"/>
        <c:auto val="1"/>
        <c:lblAlgn val="ctr"/>
        <c:lblOffset val="100"/>
        <c:noMultiLvlLbl val="0"/>
      </c:catAx>
      <c:valAx>
        <c:axId val="384638197"/>
        <c:scaling>
          <c:orientation val="minMax"/>
          <c:max val="83"/>
          <c:min val="68"/>
        </c:scaling>
        <c:delete val="1"/>
        <c:axPos val="t"/>
        <c:numFmt formatCode="0.00_);[Red]\(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566868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消费供给</c:v>
                </c:pt>
              </c:strCache>
            </c:strRef>
          </c:tx>
          <c:spPr>
            <a:ln w="28575" cap="rnd">
              <a:solidFill>
                <a:schemeClr val="accent2"/>
              </a:solidFill>
              <a:round/>
            </a:ln>
            <a:effectLst/>
          </c:spPr>
          <c:marker>
            <c:symbol val="none"/>
          </c:marker>
          <c:dLbls>
            <c:delete val="1"/>
          </c:dLbls>
          <c:cat>
            <c:strRef>
              <c:f>Sheet1!$A$2:$A$101</c:f>
              <c:strCache>
                <c:ptCount val="100"/>
                <c:pt idx="0">
                  <c:v>苏州市</c:v>
                </c:pt>
                <c:pt idx="1">
                  <c:v>青岛市</c:v>
                </c:pt>
                <c:pt idx="2">
                  <c:v>杭州市</c:v>
                </c:pt>
                <c:pt idx="3">
                  <c:v>烟台市</c:v>
                </c:pt>
                <c:pt idx="4">
                  <c:v>南京市</c:v>
                </c:pt>
                <c:pt idx="5">
                  <c:v>佛山市</c:v>
                </c:pt>
                <c:pt idx="6">
                  <c:v>无锡市</c:v>
                </c:pt>
                <c:pt idx="7">
                  <c:v>厦门市</c:v>
                </c:pt>
                <c:pt idx="8">
                  <c:v>北京市</c:v>
                </c:pt>
                <c:pt idx="9">
                  <c:v>宜昌市</c:v>
                </c:pt>
                <c:pt idx="10">
                  <c:v>宁波市</c:v>
                </c:pt>
                <c:pt idx="11">
                  <c:v>深圳市</c:v>
                </c:pt>
                <c:pt idx="12">
                  <c:v>潍坊市</c:v>
                </c:pt>
                <c:pt idx="13">
                  <c:v>天津市</c:v>
                </c:pt>
                <c:pt idx="14">
                  <c:v>南宁市</c:v>
                </c:pt>
                <c:pt idx="15">
                  <c:v>常州市</c:v>
                </c:pt>
                <c:pt idx="16">
                  <c:v>上海市</c:v>
                </c:pt>
                <c:pt idx="17">
                  <c:v>成都市</c:v>
                </c:pt>
                <c:pt idx="18">
                  <c:v>盐城市</c:v>
                </c:pt>
                <c:pt idx="19">
                  <c:v>广州市</c:v>
                </c:pt>
                <c:pt idx="20">
                  <c:v>泉州市</c:v>
                </c:pt>
                <c:pt idx="21">
                  <c:v>金华市</c:v>
                </c:pt>
                <c:pt idx="22">
                  <c:v>南通市</c:v>
                </c:pt>
                <c:pt idx="23">
                  <c:v>洛阳市</c:v>
                </c:pt>
                <c:pt idx="24">
                  <c:v>襄阳市</c:v>
                </c:pt>
                <c:pt idx="25">
                  <c:v>嘉兴市</c:v>
                </c:pt>
                <c:pt idx="26">
                  <c:v>吴忠市</c:v>
                </c:pt>
                <c:pt idx="27">
                  <c:v>济宁市</c:v>
                </c:pt>
                <c:pt idx="28">
                  <c:v>绍兴市</c:v>
                </c:pt>
                <c:pt idx="29">
                  <c:v>温州市</c:v>
                </c:pt>
                <c:pt idx="30">
                  <c:v>台州市</c:v>
                </c:pt>
                <c:pt idx="31">
                  <c:v>武汉市</c:v>
                </c:pt>
                <c:pt idx="32">
                  <c:v>沈阳市</c:v>
                </c:pt>
                <c:pt idx="33">
                  <c:v>徐州市</c:v>
                </c:pt>
                <c:pt idx="34">
                  <c:v>淄博市</c:v>
                </c:pt>
                <c:pt idx="35">
                  <c:v>济南市</c:v>
                </c:pt>
                <c:pt idx="36">
                  <c:v>哈尔滨市</c:v>
                </c:pt>
                <c:pt idx="37">
                  <c:v>东莞市</c:v>
                </c:pt>
                <c:pt idx="38">
                  <c:v>贵阳市</c:v>
                </c:pt>
                <c:pt idx="39">
                  <c:v>临沂市</c:v>
                </c:pt>
                <c:pt idx="40">
                  <c:v>岳阳市</c:v>
                </c:pt>
                <c:pt idx="41">
                  <c:v>长春市</c:v>
                </c:pt>
                <c:pt idx="42">
                  <c:v>遵义市</c:v>
                </c:pt>
                <c:pt idx="43">
                  <c:v>芜湖市</c:v>
                </c:pt>
                <c:pt idx="44">
                  <c:v>银川市</c:v>
                </c:pt>
                <c:pt idx="45">
                  <c:v>毕节市</c:v>
                </c:pt>
                <c:pt idx="46">
                  <c:v>克拉玛依市</c:v>
                </c:pt>
                <c:pt idx="47">
                  <c:v>日喀则市</c:v>
                </c:pt>
                <c:pt idx="48">
                  <c:v>山南市</c:v>
                </c:pt>
                <c:pt idx="49">
                  <c:v>渭南市</c:v>
                </c:pt>
                <c:pt idx="50">
                  <c:v>太原市</c:v>
                </c:pt>
                <c:pt idx="51">
                  <c:v>昆明市</c:v>
                </c:pt>
                <c:pt idx="52">
                  <c:v>西宁市</c:v>
                </c:pt>
                <c:pt idx="53">
                  <c:v>大同市</c:v>
                </c:pt>
                <c:pt idx="54">
                  <c:v>南昌市</c:v>
                </c:pt>
                <c:pt idx="55">
                  <c:v>拉萨市</c:v>
                </c:pt>
                <c:pt idx="56">
                  <c:v>齐齐哈尔市</c:v>
                </c:pt>
                <c:pt idx="57">
                  <c:v>上饶市</c:v>
                </c:pt>
                <c:pt idx="58">
                  <c:v>赣州市</c:v>
                </c:pt>
                <c:pt idx="59">
                  <c:v>南充市</c:v>
                </c:pt>
                <c:pt idx="60">
                  <c:v>天水市</c:v>
                </c:pt>
                <c:pt idx="61">
                  <c:v>石家庄市</c:v>
                </c:pt>
                <c:pt idx="62">
                  <c:v>大庆市</c:v>
                </c:pt>
                <c:pt idx="63">
                  <c:v>包头市</c:v>
                </c:pt>
                <c:pt idx="64">
                  <c:v>海西蒙古族藏族自治州</c:v>
                </c:pt>
                <c:pt idx="65">
                  <c:v>福州市</c:v>
                </c:pt>
                <c:pt idx="66">
                  <c:v>邯郸市</c:v>
                </c:pt>
                <c:pt idx="67">
                  <c:v>重庆市</c:v>
                </c:pt>
                <c:pt idx="68">
                  <c:v>儋州市</c:v>
                </c:pt>
                <c:pt idx="69">
                  <c:v>大连市</c:v>
                </c:pt>
                <c:pt idx="70">
                  <c:v>鄂尔多斯市</c:v>
                </c:pt>
                <c:pt idx="71">
                  <c:v>汕头市</c:v>
                </c:pt>
                <c:pt idx="72">
                  <c:v>鞍山市</c:v>
                </c:pt>
                <c:pt idx="73">
                  <c:v>玉溪市</c:v>
                </c:pt>
                <c:pt idx="74">
                  <c:v>西安市</c:v>
                </c:pt>
                <c:pt idx="75">
                  <c:v>保定市</c:v>
                </c:pt>
                <c:pt idx="76">
                  <c:v>合肥市</c:v>
                </c:pt>
                <c:pt idx="77">
                  <c:v>南阳市</c:v>
                </c:pt>
                <c:pt idx="78">
                  <c:v>长沙市</c:v>
                </c:pt>
                <c:pt idx="79">
                  <c:v>石嘴山市</c:v>
                </c:pt>
                <c:pt idx="80">
                  <c:v>唐山市</c:v>
                </c:pt>
                <c:pt idx="81">
                  <c:v>海东市</c:v>
                </c:pt>
                <c:pt idx="82">
                  <c:v>阜阳市</c:v>
                </c:pt>
                <c:pt idx="83">
                  <c:v>曲靖市</c:v>
                </c:pt>
                <c:pt idx="84">
                  <c:v>郑州市</c:v>
                </c:pt>
                <c:pt idx="85">
                  <c:v>海口市</c:v>
                </c:pt>
                <c:pt idx="86">
                  <c:v>绵阳市</c:v>
                </c:pt>
                <c:pt idx="87">
                  <c:v>桂林市</c:v>
                </c:pt>
                <c:pt idx="88">
                  <c:v>乌鲁木齐市</c:v>
                </c:pt>
                <c:pt idx="89">
                  <c:v>松原市</c:v>
                </c:pt>
                <c:pt idx="90">
                  <c:v>哈密市</c:v>
                </c:pt>
                <c:pt idx="91">
                  <c:v>柳州市</c:v>
                </c:pt>
                <c:pt idx="92">
                  <c:v>运城市</c:v>
                </c:pt>
                <c:pt idx="93">
                  <c:v>兰州市</c:v>
                </c:pt>
                <c:pt idx="94">
                  <c:v>宝鸡市</c:v>
                </c:pt>
                <c:pt idx="95">
                  <c:v>三亚市</c:v>
                </c:pt>
                <c:pt idx="96">
                  <c:v>呼和浩特市</c:v>
                </c:pt>
                <c:pt idx="97">
                  <c:v>庆阳市</c:v>
                </c:pt>
                <c:pt idx="98">
                  <c:v>吉林市</c:v>
                </c:pt>
                <c:pt idx="99">
                  <c:v>衡阳市</c:v>
                </c:pt>
              </c:strCache>
            </c:strRef>
          </c:cat>
          <c:val>
            <c:numRef>
              <c:f>Sheet1!$B$2:$B$101</c:f>
              <c:numCache>
                <c:formatCode>0.00_);[Red]\(0.00\)</c:formatCode>
                <c:ptCount val="100"/>
                <c:pt idx="0">
                  <c:v>92.2308906491013</c:v>
                </c:pt>
                <c:pt idx="1">
                  <c:v>92.0162214627979</c:v>
                </c:pt>
                <c:pt idx="2">
                  <c:v>91.7345180728706</c:v>
                </c:pt>
                <c:pt idx="3">
                  <c:v>88.8110777132216</c:v>
                </c:pt>
                <c:pt idx="4">
                  <c:v>89.3464419854325</c:v>
                </c:pt>
                <c:pt idx="5">
                  <c:v>89.7440493834712</c:v>
                </c:pt>
                <c:pt idx="6">
                  <c:v>89.2006348621853</c:v>
                </c:pt>
                <c:pt idx="7">
                  <c:v>87.0638425909472</c:v>
                </c:pt>
                <c:pt idx="8">
                  <c:v>87.5505811784489</c:v>
                </c:pt>
                <c:pt idx="9">
                  <c:v>85.6297884287974</c:v>
                </c:pt>
                <c:pt idx="10">
                  <c:v>83.3331572420202</c:v>
                </c:pt>
                <c:pt idx="11">
                  <c:v>81.7873705816477</c:v>
                </c:pt>
                <c:pt idx="12">
                  <c:v>85.7811996663513</c:v>
                </c:pt>
                <c:pt idx="13">
                  <c:v>83.2509262324524</c:v>
                </c:pt>
                <c:pt idx="14">
                  <c:v>82.5939650863839</c:v>
                </c:pt>
                <c:pt idx="15">
                  <c:v>84.498552988589</c:v>
                </c:pt>
                <c:pt idx="16">
                  <c:v>84.4565505366519</c:v>
                </c:pt>
                <c:pt idx="17">
                  <c:v>84.0534822398863</c:v>
                </c:pt>
                <c:pt idx="18">
                  <c:v>84.332975717185</c:v>
                </c:pt>
                <c:pt idx="19">
                  <c:v>85.0308323508992</c:v>
                </c:pt>
                <c:pt idx="20">
                  <c:v>83.82428604305</c:v>
                </c:pt>
                <c:pt idx="21">
                  <c:v>78.065207123426</c:v>
                </c:pt>
                <c:pt idx="22">
                  <c:v>79.1739776531448</c:v>
                </c:pt>
                <c:pt idx="23">
                  <c:v>80.6400715735717</c:v>
                </c:pt>
                <c:pt idx="24">
                  <c:v>84.1245862418848</c:v>
                </c:pt>
                <c:pt idx="25">
                  <c:v>83.5150074634433</c:v>
                </c:pt>
                <c:pt idx="26">
                  <c:v>82.3923979845071</c:v>
                </c:pt>
                <c:pt idx="27">
                  <c:v>80.4775888728985</c:v>
                </c:pt>
                <c:pt idx="28">
                  <c:v>84.8487837087133</c:v>
                </c:pt>
                <c:pt idx="29">
                  <c:v>82.2252626193613</c:v>
                </c:pt>
                <c:pt idx="30">
                  <c:v>80.3709189428112</c:v>
                </c:pt>
                <c:pt idx="31">
                  <c:v>82.0108834800731</c:v>
                </c:pt>
                <c:pt idx="32">
                  <c:v>84.7493734888019</c:v>
                </c:pt>
                <c:pt idx="33">
                  <c:v>82.3960260800127</c:v>
                </c:pt>
                <c:pt idx="34">
                  <c:v>83.1589294336309</c:v>
                </c:pt>
                <c:pt idx="35">
                  <c:v>83.9372193935273</c:v>
                </c:pt>
                <c:pt idx="36">
                  <c:v>82.7545657845165</c:v>
                </c:pt>
                <c:pt idx="37">
                  <c:v>77.9373245676474</c:v>
                </c:pt>
                <c:pt idx="38">
                  <c:v>81.2152456550278</c:v>
                </c:pt>
                <c:pt idx="39">
                  <c:v>80.5015435216325</c:v>
                </c:pt>
                <c:pt idx="40">
                  <c:v>77.0865256186703</c:v>
                </c:pt>
                <c:pt idx="41">
                  <c:v>80.3970974309365</c:v>
                </c:pt>
                <c:pt idx="42">
                  <c:v>80.2276278523237</c:v>
                </c:pt>
                <c:pt idx="43">
                  <c:v>81.0615154548903</c:v>
                </c:pt>
                <c:pt idx="44">
                  <c:v>76.8912025701854</c:v>
                </c:pt>
                <c:pt idx="45">
                  <c:v>82.5550201888661</c:v>
                </c:pt>
                <c:pt idx="46">
                  <c:v>75.674938337151</c:v>
                </c:pt>
                <c:pt idx="47">
                  <c:v>79.9618828480052</c:v>
                </c:pt>
                <c:pt idx="48">
                  <c:v>77.4906108791046</c:v>
                </c:pt>
                <c:pt idx="49">
                  <c:v>77.7634490867974</c:v>
                </c:pt>
                <c:pt idx="50">
                  <c:v>77.0984631074729</c:v>
                </c:pt>
                <c:pt idx="51">
                  <c:v>78.2764382785206</c:v>
                </c:pt>
                <c:pt idx="52">
                  <c:v>77.8684183524893</c:v>
                </c:pt>
                <c:pt idx="53">
                  <c:v>79.2286522055521</c:v>
                </c:pt>
                <c:pt idx="54">
                  <c:v>78.9050988589342</c:v>
                </c:pt>
                <c:pt idx="55">
                  <c:v>73.9726859356254</c:v>
                </c:pt>
                <c:pt idx="56">
                  <c:v>77.7495172658177</c:v>
                </c:pt>
                <c:pt idx="57">
                  <c:v>77.0286669130806</c:v>
                </c:pt>
                <c:pt idx="58">
                  <c:v>71.0482395701373</c:v>
                </c:pt>
                <c:pt idx="59">
                  <c:v>77.892885262236</c:v>
                </c:pt>
                <c:pt idx="60">
                  <c:v>77.4702839571917</c:v>
                </c:pt>
                <c:pt idx="61">
                  <c:v>80.9794536968565</c:v>
                </c:pt>
                <c:pt idx="62">
                  <c:v>79.4134046512084</c:v>
                </c:pt>
                <c:pt idx="63">
                  <c:v>77.2661012212502</c:v>
                </c:pt>
                <c:pt idx="64">
                  <c:v>73.3420501912499</c:v>
                </c:pt>
                <c:pt idx="65">
                  <c:v>78.2250220773112</c:v>
                </c:pt>
                <c:pt idx="66">
                  <c:v>78.2370532672547</c:v>
                </c:pt>
                <c:pt idx="67">
                  <c:v>79.8705290538624</c:v>
                </c:pt>
                <c:pt idx="68">
                  <c:v>76.2734021891516</c:v>
                </c:pt>
                <c:pt idx="69">
                  <c:v>77.710838645233</c:v>
                </c:pt>
                <c:pt idx="70">
                  <c:v>77.2764287478736</c:v>
                </c:pt>
                <c:pt idx="71">
                  <c:v>78.1292814740248</c:v>
                </c:pt>
                <c:pt idx="72">
                  <c:v>77.7405142476933</c:v>
                </c:pt>
                <c:pt idx="73">
                  <c:v>78.8187875504629</c:v>
                </c:pt>
                <c:pt idx="74">
                  <c:v>78.6417465410097</c:v>
                </c:pt>
                <c:pt idx="75">
                  <c:v>76.8530388277918</c:v>
                </c:pt>
                <c:pt idx="76">
                  <c:v>77.3858272070896</c:v>
                </c:pt>
                <c:pt idx="77">
                  <c:v>77.3647739046837</c:v>
                </c:pt>
                <c:pt idx="78">
                  <c:v>79.1165460749296</c:v>
                </c:pt>
                <c:pt idx="79">
                  <c:v>75.1234437026118</c:v>
                </c:pt>
                <c:pt idx="80">
                  <c:v>77.3095017916646</c:v>
                </c:pt>
                <c:pt idx="81">
                  <c:v>77.2491272261368</c:v>
                </c:pt>
                <c:pt idx="82">
                  <c:v>77.094159478145</c:v>
                </c:pt>
                <c:pt idx="83">
                  <c:v>76.5109759450532</c:v>
                </c:pt>
                <c:pt idx="84">
                  <c:v>77.4785285276358</c:v>
                </c:pt>
                <c:pt idx="85">
                  <c:v>74.6229690438141</c:v>
                </c:pt>
                <c:pt idx="86">
                  <c:v>76.6799758930814</c:v>
                </c:pt>
                <c:pt idx="87">
                  <c:v>73.8919033537613</c:v>
                </c:pt>
                <c:pt idx="88">
                  <c:v>74.2476922449726</c:v>
                </c:pt>
                <c:pt idx="89">
                  <c:v>75.1546806046626</c:v>
                </c:pt>
                <c:pt idx="90">
                  <c:v>73.9220848367045</c:v>
                </c:pt>
                <c:pt idx="91">
                  <c:v>78.5331640424883</c:v>
                </c:pt>
                <c:pt idx="92">
                  <c:v>73.4124321387657</c:v>
                </c:pt>
                <c:pt idx="93">
                  <c:v>75.7511962185451</c:v>
                </c:pt>
                <c:pt idx="94">
                  <c:v>76.4513880435634</c:v>
                </c:pt>
                <c:pt idx="95">
                  <c:v>72.877360868592</c:v>
                </c:pt>
                <c:pt idx="96">
                  <c:v>76.8484429043013</c:v>
                </c:pt>
                <c:pt idx="97">
                  <c:v>72.9647054357719</c:v>
                </c:pt>
                <c:pt idx="98">
                  <c:v>75.2583723284562</c:v>
                </c:pt>
                <c:pt idx="99">
                  <c:v>74.7218064333494</c:v>
                </c:pt>
              </c:numCache>
            </c:numRef>
          </c:val>
          <c:smooth val="1"/>
        </c:ser>
        <c:ser>
          <c:idx val="1"/>
          <c:order val="1"/>
          <c:tx>
            <c:strRef>
              <c:f>Sheet1!$C$1</c:f>
              <c:strCache>
                <c:ptCount val="1"/>
                <c:pt idx="0">
                  <c:v>消费环境</c:v>
                </c:pt>
              </c:strCache>
            </c:strRef>
          </c:tx>
          <c:spPr>
            <a:ln w="28575" cap="rnd">
              <a:solidFill>
                <a:schemeClr val="accent1"/>
              </a:solidFill>
              <a:round/>
            </a:ln>
            <a:effectLst/>
          </c:spPr>
          <c:marker>
            <c:symbol val="none"/>
          </c:marker>
          <c:dLbls>
            <c:delete val="1"/>
          </c:dLbls>
          <c:cat>
            <c:strRef>
              <c:f>Sheet1!$A$2:$A$101</c:f>
              <c:strCache>
                <c:ptCount val="100"/>
                <c:pt idx="0">
                  <c:v>苏州市</c:v>
                </c:pt>
                <c:pt idx="1">
                  <c:v>青岛市</c:v>
                </c:pt>
                <c:pt idx="2">
                  <c:v>杭州市</c:v>
                </c:pt>
                <c:pt idx="3">
                  <c:v>烟台市</c:v>
                </c:pt>
                <c:pt idx="4">
                  <c:v>南京市</c:v>
                </c:pt>
                <c:pt idx="5">
                  <c:v>佛山市</c:v>
                </c:pt>
                <c:pt idx="6">
                  <c:v>无锡市</c:v>
                </c:pt>
                <c:pt idx="7">
                  <c:v>厦门市</c:v>
                </c:pt>
                <c:pt idx="8">
                  <c:v>北京市</c:v>
                </c:pt>
                <c:pt idx="9">
                  <c:v>宜昌市</c:v>
                </c:pt>
                <c:pt idx="10">
                  <c:v>宁波市</c:v>
                </c:pt>
                <c:pt idx="11">
                  <c:v>深圳市</c:v>
                </c:pt>
                <c:pt idx="12">
                  <c:v>潍坊市</c:v>
                </c:pt>
                <c:pt idx="13">
                  <c:v>天津市</c:v>
                </c:pt>
                <c:pt idx="14">
                  <c:v>南宁市</c:v>
                </c:pt>
                <c:pt idx="15">
                  <c:v>常州市</c:v>
                </c:pt>
                <c:pt idx="16">
                  <c:v>上海市</c:v>
                </c:pt>
                <c:pt idx="17">
                  <c:v>成都市</c:v>
                </c:pt>
                <c:pt idx="18">
                  <c:v>盐城市</c:v>
                </c:pt>
                <c:pt idx="19">
                  <c:v>广州市</c:v>
                </c:pt>
                <c:pt idx="20">
                  <c:v>泉州市</c:v>
                </c:pt>
                <c:pt idx="21">
                  <c:v>金华市</c:v>
                </c:pt>
                <c:pt idx="22">
                  <c:v>南通市</c:v>
                </c:pt>
                <c:pt idx="23">
                  <c:v>洛阳市</c:v>
                </c:pt>
                <c:pt idx="24">
                  <c:v>襄阳市</c:v>
                </c:pt>
                <c:pt idx="25">
                  <c:v>嘉兴市</c:v>
                </c:pt>
                <c:pt idx="26">
                  <c:v>吴忠市</c:v>
                </c:pt>
                <c:pt idx="27">
                  <c:v>济宁市</c:v>
                </c:pt>
                <c:pt idx="28">
                  <c:v>绍兴市</c:v>
                </c:pt>
                <c:pt idx="29">
                  <c:v>温州市</c:v>
                </c:pt>
                <c:pt idx="30">
                  <c:v>台州市</c:v>
                </c:pt>
                <c:pt idx="31">
                  <c:v>武汉市</c:v>
                </c:pt>
                <c:pt idx="32">
                  <c:v>沈阳市</c:v>
                </c:pt>
                <c:pt idx="33">
                  <c:v>徐州市</c:v>
                </c:pt>
                <c:pt idx="34">
                  <c:v>淄博市</c:v>
                </c:pt>
                <c:pt idx="35">
                  <c:v>济南市</c:v>
                </c:pt>
                <c:pt idx="36">
                  <c:v>哈尔滨市</c:v>
                </c:pt>
                <c:pt idx="37">
                  <c:v>东莞市</c:v>
                </c:pt>
                <c:pt idx="38">
                  <c:v>贵阳市</c:v>
                </c:pt>
                <c:pt idx="39">
                  <c:v>临沂市</c:v>
                </c:pt>
                <c:pt idx="40">
                  <c:v>岳阳市</c:v>
                </c:pt>
                <c:pt idx="41">
                  <c:v>长春市</c:v>
                </c:pt>
                <c:pt idx="42">
                  <c:v>遵义市</c:v>
                </c:pt>
                <c:pt idx="43">
                  <c:v>芜湖市</c:v>
                </c:pt>
                <c:pt idx="44">
                  <c:v>银川市</c:v>
                </c:pt>
                <c:pt idx="45">
                  <c:v>毕节市</c:v>
                </c:pt>
                <c:pt idx="46">
                  <c:v>克拉玛依市</c:v>
                </c:pt>
                <c:pt idx="47">
                  <c:v>日喀则市</c:v>
                </c:pt>
                <c:pt idx="48">
                  <c:v>山南市</c:v>
                </c:pt>
                <c:pt idx="49">
                  <c:v>渭南市</c:v>
                </c:pt>
                <c:pt idx="50">
                  <c:v>太原市</c:v>
                </c:pt>
                <c:pt idx="51">
                  <c:v>昆明市</c:v>
                </c:pt>
                <c:pt idx="52">
                  <c:v>西宁市</c:v>
                </c:pt>
                <c:pt idx="53">
                  <c:v>大同市</c:v>
                </c:pt>
                <c:pt idx="54">
                  <c:v>南昌市</c:v>
                </c:pt>
                <c:pt idx="55">
                  <c:v>拉萨市</c:v>
                </c:pt>
                <c:pt idx="56">
                  <c:v>齐齐哈尔市</c:v>
                </c:pt>
                <c:pt idx="57">
                  <c:v>上饶市</c:v>
                </c:pt>
                <c:pt idx="58">
                  <c:v>赣州市</c:v>
                </c:pt>
                <c:pt idx="59">
                  <c:v>南充市</c:v>
                </c:pt>
                <c:pt idx="60">
                  <c:v>天水市</c:v>
                </c:pt>
                <c:pt idx="61">
                  <c:v>石家庄市</c:v>
                </c:pt>
                <c:pt idx="62">
                  <c:v>大庆市</c:v>
                </c:pt>
                <c:pt idx="63">
                  <c:v>包头市</c:v>
                </c:pt>
                <c:pt idx="64">
                  <c:v>海西蒙古族藏族自治州</c:v>
                </c:pt>
                <c:pt idx="65">
                  <c:v>福州市</c:v>
                </c:pt>
                <c:pt idx="66">
                  <c:v>邯郸市</c:v>
                </c:pt>
                <c:pt idx="67">
                  <c:v>重庆市</c:v>
                </c:pt>
                <c:pt idx="68">
                  <c:v>儋州市</c:v>
                </c:pt>
                <c:pt idx="69">
                  <c:v>大连市</c:v>
                </c:pt>
                <c:pt idx="70">
                  <c:v>鄂尔多斯市</c:v>
                </c:pt>
                <c:pt idx="71">
                  <c:v>汕头市</c:v>
                </c:pt>
                <c:pt idx="72">
                  <c:v>鞍山市</c:v>
                </c:pt>
                <c:pt idx="73">
                  <c:v>玉溪市</c:v>
                </c:pt>
                <c:pt idx="74">
                  <c:v>西安市</c:v>
                </c:pt>
                <c:pt idx="75">
                  <c:v>保定市</c:v>
                </c:pt>
                <c:pt idx="76">
                  <c:v>合肥市</c:v>
                </c:pt>
                <c:pt idx="77">
                  <c:v>南阳市</c:v>
                </c:pt>
                <c:pt idx="78">
                  <c:v>长沙市</c:v>
                </c:pt>
                <c:pt idx="79">
                  <c:v>石嘴山市</c:v>
                </c:pt>
                <c:pt idx="80">
                  <c:v>唐山市</c:v>
                </c:pt>
                <c:pt idx="81">
                  <c:v>海东市</c:v>
                </c:pt>
                <c:pt idx="82">
                  <c:v>阜阳市</c:v>
                </c:pt>
                <c:pt idx="83">
                  <c:v>曲靖市</c:v>
                </c:pt>
                <c:pt idx="84">
                  <c:v>郑州市</c:v>
                </c:pt>
                <c:pt idx="85">
                  <c:v>海口市</c:v>
                </c:pt>
                <c:pt idx="86">
                  <c:v>绵阳市</c:v>
                </c:pt>
                <c:pt idx="87">
                  <c:v>桂林市</c:v>
                </c:pt>
                <c:pt idx="88">
                  <c:v>乌鲁木齐市</c:v>
                </c:pt>
                <c:pt idx="89">
                  <c:v>松原市</c:v>
                </c:pt>
                <c:pt idx="90">
                  <c:v>哈密市</c:v>
                </c:pt>
                <c:pt idx="91">
                  <c:v>柳州市</c:v>
                </c:pt>
                <c:pt idx="92">
                  <c:v>运城市</c:v>
                </c:pt>
                <c:pt idx="93">
                  <c:v>兰州市</c:v>
                </c:pt>
                <c:pt idx="94">
                  <c:v>宝鸡市</c:v>
                </c:pt>
                <c:pt idx="95">
                  <c:v>三亚市</c:v>
                </c:pt>
                <c:pt idx="96">
                  <c:v>呼和浩特市</c:v>
                </c:pt>
                <c:pt idx="97">
                  <c:v>庆阳市</c:v>
                </c:pt>
                <c:pt idx="98">
                  <c:v>吉林市</c:v>
                </c:pt>
                <c:pt idx="99">
                  <c:v>衡阳市</c:v>
                </c:pt>
              </c:strCache>
            </c:strRef>
          </c:cat>
          <c:val>
            <c:numRef>
              <c:f>Sheet1!$C$2:$C$101</c:f>
              <c:numCache>
                <c:formatCode>0.00_);[Red]\(0.00\)</c:formatCode>
                <c:ptCount val="100"/>
                <c:pt idx="0">
                  <c:v>91.5369866452479</c:v>
                </c:pt>
                <c:pt idx="1">
                  <c:v>90.1016947293689</c:v>
                </c:pt>
                <c:pt idx="2">
                  <c:v>89.4877872507434</c:v>
                </c:pt>
                <c:pt idx="3">
                  <c:v>89.1356725719123</c:v>
                </c:pt>
                <c:pt idx="4">
                  <c:v>88.6627201597456</c:v>
                </c:pt>
                <c:pt idx="5">
                  <c:v>87.5986350647682</c:v>
                </c:pt>
                <c:pt idx="6">
                  <c:v>88.2507269830222</c:v>
                </c:pt>
                <c:pt idx="7">
                  <c:v>83.1546088710837</c:v>
                </c:pt>
                <c:pt idx="8">
                  <c:v>83.7973779044148</c:v>
                </c:pt>
                <c:pt idx="9">
                  <c:v>83.2199229605662</c:v>
                </c:pt>
                <c:pt idx="10">
                  <c:v>82.414554457532</c:v>
                </c:pt>
                <c:pt idx="11">
                  <c:v>83.0795401022273</c:v>
                </c:pt>
                <c:pt idx="12">
                  <c:v>84.4408407924193</c:v>
                </c:pt>
                <c:pt idx="13">
                  <c:v>82.5019090110459</c:v>
                </c:pt>
                <c:pt idx="14">
                  <c:v>83.7562384922004</c:v>
                </c:pt>
                <c:pt idx="15">
                  <c:v>82.5908262981307</c:v>
                </c:pt>
                <c:pt idx="16">
                  <c:v>81.3932548758889</c:v>
                </c:pt>
                <c:pt idx="17">
                  <c:v>80.5111147027734</c:v>
                </c:pt>
                <c:pt idx="18">
                  <c:v>82.7032625119994</c:v>
                </c:pt>
                <c:pt idx="19">
                  <c:v>82.2786298821171</c:v>
                </c:pt>
                <c:pt idx="20">
                  <c:v>81.645340849782</c:v>
                </c:pt>
                <c:pt idx="21">
                  <c:v>81.6448157766138</c:v>
                </c:pt>
                <c:pt idx="22">
                  <c:v>81.8869535919001</c:v>
                </c:pt>
                <c:pt idx="23">
                  <c:v>81.4963580559801</c:v>
                </c:pt>
                <c:pt idx="24">
                  <c:v>81.6669940954652</c:v>
                </c:pt>
                <c:pt idx="25">
                  <c:v>80.6615391110365</c:v>
                </c:pt>
                <c:pt idx="26">
                  <c:v>80.3386517155624</c:v>
                </c:pt>
                <c:pt idx="27">
                  <c:v>80.3396791355866</c:v>
                </c:pt>
                <c:pt idx="28">
                  <c:v>80.9705673103359</c:v>
                </c:pt>
                <c:pt idx="29">
                  <c:v>80.28262888391</c:v>
                </c:pt>
                <c:pt idx="30">
                  <c:v>81.0017478118128</c:v>
                </c:pt>
                <c:pt idx="31">
                  <c:v>80.4979545680171</c:v>
                </c:pt>
                <c:pt idx="32">
                  <c:v>79.3321874691431</c:v>
                </c:pt>
                <c:pt idx="33">
                  <c:v>81.9643494377953</c:v>
                </c:pt>
                <c:pt idx="34">
                  <c:v>79.3413791143386</c:v>
                </c:pt>
                <c:pt idx="35">
                  <c:v>80.8344853319969</c:v>
                </c:pt>
                <c:pt idx="36">
                  <c:v>80.0769108550439</c:v>
                </c:pt>
                <c:pt idx="37">
                  <c:v>79.8509446465495</c:v>
                </c:pt>
                <c:pt idx="38">
                  <c:v>79.7680786849199</c:v>
                </c:pt>
                <c:pt idx="39">
                  <c:v>78.7275344827751</c:v>
                </c:pt>
                <c:pt idx="40">
                  <c:v>78.6054317669471</c:v>
                </c:pt>
                <c:pt idx="41">
                  <c:v>79.2074839870993</c:v>
                </c:pt>
                <c:pt idx="42">
                  <c:v>79.8830259891995</c:v>
                </c:pt>
                <c:pt idx="43">
                  <c:v>77.3919099540816</c:v>
                </c:pt>
                <c:pt idx="44">
                  <c:v>78.6197949451203</c:v>
                </c:pt>
                <c:pt idx="45">
                  <c:v>81.1271156004929</c:v>
                </c:pt>
                <c:pt idx="46">
                  <c:v>78.4748033381063</c:v>
                </c:pt>
                <c:pt idx="47">
                  <c:v>77.5422613945915</c:v>
                </c:pt>
                <c:pt idx="48">
                  <c:v>77.6679797137407</c:v>
                </c:pt>
                <c:pt idx="49">
                  <c:v>78.0322553282055</c:v>
                </c:pt>
                <c:pt idx="50">
                  <c:v>77.6938143754244</c:v>
                </c:pt>
                <c:pt idx="51">
                  <c:v>78.503388882297</c:v>
                </c:pt>
                <c:pt idx="52">
                  <c:v>77.9493445502056</c:v>
                </c:pt>
                <c:pt idx="53">
                  <c:v>77.1667869799847</c:v>
                </c:pt>
                <c:pt idx="54">
                  <c:v>77.8442765030407</c:v>
                </c:pt>
                <c:pt idx="55">
                  <c:v>76.8940222302701</c:v>
                </c:pt>
                <c:pt idx="56">
                  <c:v>77.3839254188726</c:v>
                </c:pt>
                <c:pt idx="57">
                  <c:v>79.3227481473796</c:v>
                </c:pt>
                <c:pt idx="58">
                  <c:v>78.4642228903186</c:v>
                </c:pt>
                <c:pt idx="59">
                  <c:v>76.6055545598369</c:v>
                </c:pt>
                <c:pt idx="60">
                  <c:v>77.3712967800874</c:v>
                </c:pt>
                <c:pt idx="61">
                  <c:v>76.5063200140992</c:v>
                </c:pt>
                <c:pt idx="62">
                  <c:v>76.913147033609</c:v>
                </c:pt>
                <c:pt idx="63">
                  <c:v>75.6346279000365</c:v>
                </c:pt>
                <c:pt idx="64">
                  <c:v>76.0189099008285</c:v>
                </c:pt>
                <c:pt idx="65">
                  <c:v>75.9512650479554</c:v>
                </c:pt>
                <c:pt idx="66">
                  <c:v>75.3453600557459</c:v>
                </c:pt>
                <c:pt idx="67">
                  <c:v>75.596248264364</c:v>
                </c:pt>
                <c:pt idx="68">
                  <c:v>75.2254497555287</c:v>
                </c:pt>
                <c:pt idx="69">
                  <c:v>75.3651105403354</c:v>
                </c:pt>
                <c:pt idx="70">
                  <c:v>75.4610449423411</c:v>
                </c:pt>
                <c:pt idx="71">
                  <c:v>76.4298216229649</c:v>
                </c:pt>
                <c:pt idx="72">
                  <c:v>75.5408150492691</c:v>
                </c:pt>
                <c:pt idx="73">
                  <c:v>75.6251914657311</c:v>
                </c:pt>
                <c:pt idx="74">
                  <c:v>75.9409137107041</c:v>
                </c:pt>
                <c:pt idx="75">
                  <c:v>74.3302270423</c:v>
                </c:pt>
                <c:pt idx="76">
                  <c:v>74.1795408274772</c:v>
                </c:pt>
                <c:pt idx="77">
                  <c:v>75.0412650678116</c:v>
                </c:pt>
                <c:pt idx="78">
                  <c:v>74.6393758911894</c:v>
                </c:pt>
                <c:pt idx="79">
                  <c:v>73.4600794474858</c:v>
                </c:pt>
                <c:pt idx="80">
                  <c:v>74.5464189717664</c:v>
                </c:pt>
                <c:pt idx="81">
                  <c:v>73.495660802152</c:v>
                </c:pt>
                <c:pt idx="82">
                  <c:v>73.5347229596162</c:v>
                </c:pt>
                <c:pt idx="83">
                  <c:v>73.5886431125618</c:v>
                </c:pt>
                <c:pt idx="84">
                  <c:v>73.6676811465614</c:v>
                </c:pt>
                <c:pt idx="85">
                  <c:v>74.5456932459557</c:v>
                </c:pt>
                <c:pt idx="86">
                  <c:v>74.2397754303397</c:v>
                </c:pt>
                <c:pt idx="87">
                  <c:v>73.1782250744148</c:v>
                </c:pt>
                <c:pt idx="88">
                  <c:v>73.7048903565061</c:v>
                </c:pt>
                <c:pt idx="89">
                  <c:v>72.6431673374681</c:v>
                </c:pt>
                <c:pt idx="90">
                  <c:v>72.8159935797698</c:v>
                </c:pt>
                <c:pt idx="91">
                  <c:v>73.3623066663243</c:v>
                </c:pt>
                <c:pt idx="92">
                  <c:v>72.2287171848562</c:v>
                </c:pt>
                <c:pt idx="93">
                  <c:v>71.7706643178524</c:v>
                </c:pt>
                <c:pt idx="94">
                  <c:v>72.4067769196469</c:v>
                </c:pt>
                <c:pt idx="95">
                  <c:v>71.802947119</c:v>
                </c:pt>
                <c:pt idx="96">
                  <c:v>70.9879308518785</c:v>
                </c:pt>
                <c:pt idx="97">
                  <c:v>71.318592682351</c:v>
                </c:pt>
                <c:pt idx="98">
                  <c:v>73.2399753866274</c:v>
                </c:pt>
                <c:pt idx="99">
                  <c:v>70.3657033806133</c:v>
                </c:pt>
              </c:numCache>
            </c:numRef>
          </c:val>
          <c:smooth val="1"/>
        </c:ser>
        <c:ser>
          <c:idx val="2"/>
          <c:order val="2"/>
          <c:tx>
            <c:strRef>
              <c:f>Sheet1!$D$1</c:f>
              <c:strCache>
                <c:ptCount val="1"/>
                <c:pt idx="0">
                  <c:v>消费维权</c:v>
                </c:pt>
              </c:strCache>
            </c:strRef>
          </c:tx>
          <c:spPr>
            <a:ln w="28575" cap="rnd">
              <a:solidFill>
                <a:schemeClr val="accent3"/>
              </a:solidFill>
              <a:round/>
            </a:ln>
            <a:effectLst/>
          </c:spPr>
          <c:marker>
            <c:symbol val="none"/>
          </c:marker>
          <c:dLbls>
            <c:delete val="1"/>
          </c:dLbls>
          <c:cat>
            <c:strRef>
              <c:f>Sheet1!$A$2:$A$101</c:f>
              <c:strCache>
                <c:ptCount val="100"/>
                <c:pt idx="0">
                  <c:v>苏州市</c:v>
                </c:pt>
                <c:pt idx="1">
                  <c:v>青岛市</c:v>
                </c:pt>
                <c:pt idx="2">
                  <c:v>杭州市</c:v>
                </c:pt>
                <c:pt idx="3">
                  <c:v>烟台市</c:v>
                </c:pt>
                <c:pt idx="4">
                  <c:v>南京市</c:v>
                </c:pt>
                <c:pt idx="5">
                  <c:v>佛山市</c:v>
                </c:pt>
                <c:pt idx="6">
                  <c:v>无锡市</c:v>
                </c:pt>
                <c:pt idx="7">
                  <c:v>厦门市</c:v>
                </c:pt>
                <c:pt idx="8">
                  <c:v>北京市</c:v>
                </c:pt>
                <c:pt idx="9">
                  <c:v>宜昌市</c:v>
                </c:pt>
                <c:pt idx="10">
                  <c:v>宁波市</c:v>
                </c:pt>
                <c:pt idx="11">
                  <c:v>深圳市</c:v>
                </c:pt>
                <c:pt idx="12">
                  <c:v>潍坊市</c:v>
                </c:pt>
                <c:pt idx="13">
                  <c:v>天津市</c:v>
                </c:pt>
                <c:pt idx="14">
                  <c:v>南宁市</c:v>
                </c:pt>
                <c:pt idx="15">
                  <c:v>常州市</c:v>
                </c:pt>
                <c:pt idx="16">
                  <c:v>上海市</c:v>
                </c:pt>
                <c:pt idx="17">
                  <c:v>成都市</c:v>
                </c:pt>
                <c:pt idx="18">
                  <c:v>盐城市</c:v>
                </c:pt>
                <c:pt idx="19">
                  <c:v>广州市</c:v>
                </c:pt>
                <c:pt idx="20">
                  <c:v>泉州市</c:v>
                </c:pt>
                <c:pt idx="21">
                  <c:v>金华市</c:v>
                </c:pt>
                <c:pt idx="22">
                  <c:v>南通市</c:v>
                </c:pt>
                <c:pt idx="23">
                  <c:v>洛阳市</c:v>
                </c:pt>
                <c:pt idx="24">
                  <c:v>襄阳市</c:v>
                </c:pt>
                <c:pt idx="25">
                  <c:v>嘉兴市</c:v>
                </c:pt>
                <c:pt idx="26">
                  <c:v>吴忠市</c:v>
                </c:pt>
                <c:pt idx="27">
                  <c:v>济宁市</c:v>
                </c:pt>
                <c:pt idx="28">
                  <c:v>绍兴市</c:v>
                </c:pt>
                <c:pt idx="29">
                  <c:v>温州市</c:v>
                </c:pt>
                <c:pt idx="30">
                  <c:v>台州市</c:v>
                </c:pt>
                <c:pt idx="31">
                  <c:v>武汉市</c:v>
                </c:pt>
                <c:pt idx="32">
                  <c:v>沈阳市</c:v>
                </c:pt>
                <c:pt idx="33">
                  <c:v>徐州市</c:v>
                </c:pt>
                <c:pt idx="34">
                  <c:v>淄博市</c:v>
                </c:pt>
                <c:pt idx="35">
                  <c:v>济南市</c:v>
                </c:pt>
                <c:pt idx="36">
                  <c:v>哈尔滨市</c:v>
                </c:pt>
                <c:pt idx="37">
                  <c:v>东莞市</c:v>
                </c:pt>
                <c:pt idx="38">
                  <c:v>贵阳市</c:v>
                </c:pt>
                <c:pt idx="39">
                  <c:v>临沂市</c:v>
                </c:pt>
                <c:pt idx="40">
                  <c:v>岳阳市</c:v>
                </c:pt>
                <c:pt idx="41">
                  <c:v>长春市</c:v>
                </c:pt>
                <c:pt idx="42">
                  <c:v>遵义市</c:v>
                </c:pt>
                <c:pt idx="43">
                  <c:v>芜湖市</c:v>
                </c:pt>
                <c:pt idx="44">
                  <c:v>银川市</c:v>
                </c:pt>
                <c:pt idx="45">
                  <c:v>毕节市</c:v>
                </c:pt>
                <c:pt idx="46">
                  <c:v>克拉玛依市</c:v>
                </c:pt>
                <c:pt idx="47">
                  <c:v>日喀则市</c:v>
                </c:pt>
                <c:pt idx="48">
                  <c:v>山南市</c:v>
                </c:pt>
                <c:pt idx="49">
                  <c:v>渭南市</c:v>
                </c:pt>
                <c:pt idx="50">
                  <c:v>太原市</c:v>
                </c:pt>
                <c:pt idx="51">
                  <c:v>昆明市</c:v>
                </c:pt>
                <c:pt idx="52">
                  <c:v>西宁市</c:v>
                </c:pt>
                <c:pt idx="53">
                  <c:v>大同市</c:v>
                </c:pt>
                <c:pt idx="54">
                  <c:v>南昌市</c:v>
                </c:pt>
                <c:pt idx="55">
                  <c:v>拉萨市</c:v>
                </c:pt>
                <c:pt idx="56">
                  <c:v>齐齐哈尔市</c:v>
                </c:pt>
                <c:pt idx="57">
                  <c:v>上饶市</c:v>
                </c:pt>
                <c:pt idx="58">
                  <c:v>赣州市</c:v>
                </c:pt>
                <c:pt idx="59">
                  <c:v>南充市</c:v>
                </c:pt>
                <c:pt idx="60">
                  <c:v>天水市</c:v>
                </c:pt>
                <c:pt idx="61">
                  <c:v>石家庄市</c:v>
                </c:pt>
                <c:pt idx="62">
                  <c:v>大庆市</c:v>
                </c:pt>
                <c:pt idx="63">
                  <c:v>包头市</c:v>
                </c:pt>
                <c:pt idx="64">
                  <c:v>海西蒙古族藏族自治州</c:v>
                </c:pt>
                <c:pt idx="65">
                  <c:v>福州市</c:v>
                </c:pt>
                <c:pt idx="66">
                  <c:v>邯郸市</c:v>
                </c:pt>
                <c:pt idx="67">
                  <c:v>重庆市</c:v>
                </c:pt>
                <c:pt idx="68">
                  <c:v>儋州市</c:v>
                </c:pt>
                <c:pt idx="69">
                  <c:v>大连市</c:v>
                </c:pt>
                <c:pt idx="70">
                  <c:v>鄂尔多斯市</c:v>
                </c:pt>
                <c:pt idx="71">
                  <c:v>汕头市</c:v>
                </c:pt>
                <c:pt idx="72">
                  <c:v>鞍山市</c:v>
                </c:pt>
                <c:pt idx="73">
                  <c:v>玉溪市</c:v>
                </c:pt>
                <c:pt idx="74">
                  <c:v>西安市</c:v>
                </c:pt>
                <c:pt idx="75">
                  <c:v>保定市</c:v>
                </c:pt>
                <c:pt idx="76">
                  <c:v>合肥市</c:v>
                </c:pt>
                <c:pt idx="77">
                  <c:v>南阳市</c:v>
                </c:pt>
                <c:pt idx="78">
                  <c:v>长沙市</c:v>
                </c:pt>
                <c:pt idx="79">
                  <c:v>石嘴山市</c:v>
                </c:pt>
                <c:pt idx="80">
                  <c:v>唐山市</c:v>
                </c:pt>
                <c:pt idx="81">
                  <c:v>海东市</c:v>
                </c:pt>
                <c:pt idx="82">
                  <c:v>阜阳市</c:v>
                </c:pt>
                <c:pt idx="83">
                  <c:v>曲靖市</c:v>
                </c:pt>
                <c:pt idx="84">
                  <c:v>郑州市</c:v>
                </c:pt>
                <c:pt idx="85">
                  <c:v>海口市</c:v>
                </c:pt>
                <c:pt idx="86">
                  <c:v>绵阳市</c:v>
                </c:pt>
                <c:pt idx="87">
                  <c:v>桂林市</c:v>
                </c:pt>
                <c:pt idx="88">
                  <c:v>乌鲁木齐市</c:v>
                </c:pt>
                <c:pt idx="89">
                  <c:v>松原市</c:v>
                </c:pt>
                <c:pt idx="90">
                  <c:v>哈密市</c:v>
                </c:pt>
                <c:pt idx="91">
                  <c:v>柳州市</c:v>
                </c:pt>
                <c:pt idx="92">
                  <c:v>运城市</c:v>
                </c:pt>
                <c:pt idx="93">
                  <c:v>兰州市</c:v>
                </c:pt>
                <c:pt idx="94">
                  <c:v>宝鸡市</c:v>
                </c:pt>
                <c:pt idx="95">
                  <c:v>三亚市</c:v>
                </c:pt>
                <c:pt idx="96">
                  <c:v>呼和浩特市</c:v>
                </c:pt>
                <c:pt idx="97">
                  <c:v>庆阳市</c:v>
                </c:pt>
                <c:pt idx="98">
                  <c:v>吉林市</c:v>
                </c:pt>
                <c:pt idx="99">
                  <c:v>衡阳市</c:v>
                </c:pt>
              </c:strCache>
            </c:strRef>
          </c:cat>
          <c:val>
            <c:numRef>
              <c:f>Sheet1!$D$2:$D$101</c:f>
              <c:numCache>
                <c:formatCode>0.00_);[Red]\(0.00\)</c:formatCode>
                <c:ptCount val="100"/>
                <c:pt idx="0">
                  <c:v>92.3054874846316</c:v>
                </c:pt>
                <c:pt idx="1">
                  <c:v>90.2894027060551</c:v>
                </c:pt>
                <c:pt idx="2">
                  <c:v>89.2845002809234</c:v>
                </c:pt>
                <c:pt idx="3">
                  <c:v>89.4671892815741</c:v>
                </c:pt>
                <c:pt idx="4">
                  <c:v>89.0899316151835</c:v>
                </c:pt>
                <c:pt idx="5">
                  <c:v>88.7647637617001</c:v>
                </c:pt>
                <c:pt idx="6">
                  <c:v>87.2033576255885</c:v>
                </c:pt>
                <c:pt idx="7">
                  <c:v>86.5303159613228</c:v>
                </c:pt>
                <c:pt idx="8">
                  <c:v>84.3561629091203</c:v>
                </c:pt>
                <c:pt idx="9">
                  <c:v>83.2279408220176</c:v>
                </c:pt>
                <c:pt idx="10">
                  <c:v>84.5340052218453</c:v>
                </c:pt>
                <c:pt idx="11">
                  <c:v>82.8552827676454</c:v>
                </c:pt>
                <c:pt idx="12">
                  <c:v>76.4856503232811</c:v>
                </c:pt>
                <c:pt idx="13">
                  <c:v>83.1159297676331</c:v>
                </c:pt>
                <c:pt idx="14">
                  <c:v>79.9637620371842</c:v>
                </c:pt>
                <c:pt idx="15">
                  <c:v>82.0101322503275</c:v>
                </c:pt>
                <c:pt idx="16">
                  <c:v>82.8301367083316</c:v>
                </c:pt>
                <c:pt idx="17">
                  <c:v>85.4153041315664</c:v>
                </c:pt>
                <c:pt idx="18">
                  <c:v>78.6091058942001</c:v>
                </c:pt>
                <c:pt idx="19">
                  <c:v>79.0222426327056</c:v>
                </c:pt>
                <c:pt idx="20">
                  <c:v>80.5738853917009</c:v>
                </c:pt>
                <c:pt idx="21">
                  <c:v>83.5266751423995</c:v>
                </c:pt>
                <c:pt idx="22">
                  <c:v>82.0534764186368</c:v>
                </c:pt>
                <c:pt idx="23">
                  <c:v>81.622568744795</c:v>
                </c:pt>
                <c:pt idx="24">
                  <c:v>79.1078043322474</c:v>
                </c:pt>
                <c:pt idx="25">
                  <c:v>80.2734903498323</c:v>
                </c:pt>
                <c:pt idx="26">
                  <c:v>80.4773856350283</c:v>
                </c:pt>
                <c:pt idx="27">
                  <c:v>80.524023756334</c:v>
                </c:pt>
                <c:pt idx="28">
                  <c:v>76.2130540813138</c:v>
                </c:pt>
                <c:pt idx="29">
                  <c:v>79.1282487808334</c:v>
                </c:pt>
                <c:pt idx="30">
                  <c:v>77.7198699389078</c:v>
                </c:pt>
                <c:pt idx="31">
                  <c:v>77.5855394598315</c:v>
                </c:pt>
                <c:pt idx="32">
                  <c:v>79.2042230802317</c:v>
                </c:pt>
                <c:pt idx="33">
                  <c:v>72.5433108591987</c:v>
                </c:pt>
                <c:pt idx="34">
                  <c:v>78.5749561947262</c:v>
                </c:pt>
                <c:pt idx="35">
                  <c:v>73.9851727575357</c:v>
                </c:pt>
                <c:pt idx="36">
                  <c:v>76.4675875354029</c:v>
                </c:pt>
                <c:pt idx="37">
                  <c:v>76.782653082222</c:v>
                </c:pt>
                <c:pt idx="38">
                  <c:v>74.8211228557409</c:v>
                </c:pt>
                <c:pt idx="39">
                  <c:v>77.1715542867964</c:v>
                </c:pt>
                <c:pt idx="40">
                  <c:v>78.8251693026741</c:v>
                </c:pt>
                <c:pt idx="41">
                  <c:v>75.1521383636244</c:v>
                </c:pt>
                <c:pt idx="42">
                  <c:v>73.0669542773037</c:v>
                </c:pt>
                <c:pt idx="43">
                  <c:v>78.8881069783999</c:v>
                </c:pt>
                <c:pt idx="44">
                  <c:v>77.7536842378936</c:v>
                </c:pt>
                <c:pt idx="45">
                  <c:v>67.3112464537628</c:v>
                </c:pt>
                <c:pt idx="46">
                  <c:v>77.5226097808707</c:v>
                </c:pt>
                <c:pt idx="47">
                  <c:v>77.3616794450961</c:v>
                </c:pt>
                <c:pt idx="48">
                  <c:v>78.0127403847955</c:v>
                </c:pt>
                <c:pt idx="49">
                  <c:v>75.4879950540387</c:v>
                </c:pt>
                <c:pt idx="50">
                  <c:v>76.6815103127469</c:v>
                </c:pt>
                <c:pt idx="51">
                  <c:v>73.7336636443876</c:v>
                </c:pt>
                <c:pt idx="52">
                  <c:v>73.9714095853644</c:v>
                </c:pt>
                <c:pt idx="53">
                  <c:v>75.062815029657</c:v>
                </c:pt>
                <c:pt idx="54">
                  <c:v>73.2112655081781</c:v>
                </c:pt>
                <c:pt idx="55">
                  <c:v>78.5140286365653</c:v>
                </c:pt>
                <c:pt idx="56">
                  <c:v>74.4629738538174</c:v>
                </c:pt>
                <c:pt idx="57">
                  <c:v>69.1462699682217</c:v>
                </c:pt>
                <c:pt idx="58">
                  <c:v>74.7513651078265</c:v>
                </c:pt>
                <c:pt idx="59">
                  <c:v>75.8210474779691</c:v>
                </c:pt>
                <c:pt idx="60">
                  <c:v>72.9927289378823</c:v>
                </c:pt>
                <c:pt idx="61">
                  <c:v>72.8527848393589</c:v>
                </c:pt>
                <c:pt idx="62">
                  <c:v>72.5590649305601</c:v>
                </c:pt>
                <c:pt idx="63">
                  <c:v>77.3168829583105</c:v>
                </c:pt>
                <c:pt idx="64">
                  <c:v>78.2315241295554</c:v>
                </c:pt>
                <c:pt idx="65">
                  <c:v>74.7985431195233</c:v>
                </c:pt>
                <c:pt idx="66">
                  <c:v>75.3912690450344</c:v>
                </c:pt>
                <c:pt idx="67">
                  <c:v>73.6167307433638</c:v>
                </c:pt>
                <c:pt idx="68">
                  <c:v>75.7363207083176</c:v>
                </c:pt>
                <c:pt idx="69">
                  <c:v>74.4715968427281</c:v>
                </c:pt>
                <c:pt idx="70">
                  <c:v>73.4170335406894</c:v>
                </c:pt>
                <c:pt idx="71">
                  <c:v>69.9640055069814</c:v>
                </c:pt>
                <c:pt idx="72">
                  <c:v>72.5141681005714</c:v>
                </c:pt>
                <c:pt idx="73">
                  <c:v>71.125545129202</c:v>
                </c:pt>
                <c:pt idx="74">
                  <c:v>68.7470789307144</c:v>
                </c:pt>
                <c:pt idx="75">
                  <c:v>72.9072364924873</c:v>
                </c:pt>
                <c:pt idx="76">
                  <c:v>72.7628198907782</c:v>
                </c:pt>
                <c:pt idx="77">
                  <c:v>70.0788384514059</c:v>
                </c:pt>
                <c:pt idx="78">
                  <c:v>70.07522643919</c:v>
                </c:pt>
                <c:pt idx="79">
                  <c:v>74.8331987259904</c:v>
                </c:pt>
                <c:pt idx="80">
                  <c:v>70.1649526820453</c:v>
                </c:pt>
                <c:pt idx="81">
                  <c:v>72.7771691225224</c:v>
                </c:pt>
                <c:pt idx="82">
                  <c:v>71.865333467292</c:v>
                </c:pt>
                <c:pt idx="83">
                  <c:v>71.5239774761908</c:v>
                </c:pt>
                <c:pt idx="84">
                  <c:v>70.3050214067763</c:v>
                </c:pt>
                <c:pt idx="85">
                  <c:v>69.3334551698491</c:v>
                </c:pt>
                <c:pt idx="86">
                  <c:v>68.9519308637456</c:v>
                </c:pt>
                <c:pt idx="87">
                  <c:v>72.2855239152834</c:v>
                </c:pt>
                <c:pt idx="88">
                  <c:v>69.9257058594974</c:v>
                </c:pt>
                <c:pt idx="89">
                  <c:v>71.6060487835644</c:v>
                </c:pt>
                <c:pt idx="90">
                  <c:v>70.7175236037307</c:v>
                </c:pt>
                <c:pt idx="91">
                  <c:v>64.9152658305953</c:v>
                </c:pt>
                <c:pt idx="92">
                  <c:v>70.3938317705866</c:v>
                </c:pt>
                <c:pt idx="93">
                  <c:v>69.5650028978128</c:v>
                </c:pt>
                <c:pt idx="94">
                  <c:v>66.843194577916</c:v>
                </c:pt>
                <c:pt idx="95">
                  <c:v>69.964433450329</c:v>
                </c:pt>
                <c:pt idx="96">
                  <c:v>69.2219645334404</c:v>
                </c:pt>
                <c:pt idx="97">
                  <c:v>68.1859856612008</c:v>
                </c:pt>
                <c:pt idx="98">
                  <c:v>60.9187479407271</c:v>
                </c:pt>
                <c:pt idx="99">
                  <c:v>67.1215647177606</c:v>
                </c:pt>
              </c:numCache>
            </c:numRef>
          </c:val>
          <c:smooth val="1"/>
        </c:ser>
        <c:dLbls>
          <c:showLegendKey val="0"/>
          <c:showVal val="0"/>
          <c:showCatName val="0"/>
          <c:showSerName val="0"/>
          <c:showPercent val="0"/>
          <c:showBubbleSize val="0"/>
        </c:dLbls>
        <c:marker val="0"/>
        <c:smooth val="1"/>
        <c:axId val="14712848"/>
        <c:axId val="539313846"/>
      </c:lineChart>
      <c:catAx>
        <c:axId val="147128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wordArtVert"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539313846"/>
        <c:crosses val="autoZero"/>
        <c:auto val="1"/>
        <c:lblAlgn val="ctr"/>
        <c:lblOffset val="100"/>
        <c:noMultiLvlLbl val="0"/>
      </c:catAx>
      <c:valAx>
        <c:axId val="539313846"/>
        <c:scaling>
          <c:orientation val="minMax"/>
          <c:max val="95"/>
          <c:min val="60"/>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71284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2022</c:v>
                </c:pt>
              </c:strCache>
            </c:strRef>
          </c:tx>
          <c:spPr>
            <a:ln w="28575" cap="rnd">
              <a:solidFill>
                <a:schemeClr val="accent6"/>
              </a:solidFill>
              <a:round/>
            </a:ln>
            <a:effectLst/>
          </c:spPr>
          <c:marker>
            <c:symbol val="none"/>
          </c:marker>
          <c:dLbls>
            <c:delete val="1"/>
          </c:dLbls>
          <c:cat>
            <c:strRef>
              <c:f>Sheet1!$A$2:$A$101</c:f>
              <c:strCache>
                <c:ptCount val="100"/>
                <c:pt idx="0">
                  <c:v>佛山市</c:v>
                </c:pt>
                <c:pt idx="1">
                  <c:v>烟台市</c:v>
                </c:pt>
                <c:pt idx="2">
                  <c:v>青岛市</c:v>
                </c:pt>
                <c:pt idx="3">
                  <c:v>南京市</c:v>
                </c:pt>
                <c:pt idx="4">
                  <c:v>杭州市</c:v>
                </c:pt>
                <c:pt idx="5">
                  <c:v>无锡市</c:v>
                </c:pt>
                <c:pt idx="6">
                  <c:v>苏州市</c:v>
                </c:pt>
                <c:pt idx="7">
                  <c:v>深圳市</c:v>
                </c:pt>
                <c:pt idx="8">
                  <c:v>南宁市</c:v>
                </c:pt>
                <c:pt idx="9">
                  <c:v>厦门市</c:v>
                </c:pt>
                <c:pt idx="10">
                  <c:v>天津市</c:v>
                </c:pt>
                <c:pt idx="11">
                  <c:v>盐城市</c:v>
                </c:pt>
                <c:pt idx="12">
                  <c:v>宜昌市</c:v>
                </c:pt>
                <c:pt idx="13">
                  <c:v>广州市</c:v>
                </c:pt>
                <c:pt idx="14">
                  <c:v>北京市</c:v>
                </c:pt>
                <c:pt idx="15">
                  <c:v>台州市</c:v>
                </c:pt>
                <c:pt idx="16">
                  <c:v>潍坊市</c:v>
                </c:pt>
                <c:pt idx="17">
                  <c:v>襄阳市</c:v>
                </c:pt>
                <c:pt idx="18">
                  <c:v>宁波市</c:v>
                </c:pt>
                <c:pt idx="19">
                  <c:v>南通市</c:v>
                </c:pt>
                <c:pt idx="20">
                  <c:v>成都市</c:v>
                </c:pt>
                <c:pt idx="21">
                  <c:v>洛阳市</c:v>
                </c:pt>
                <c:pt idx="22">
                  <c:v>武汉市</c:v>
                </c:pt>
                <c:pt idx="23">
                  <c:v>贵阳市</c:v>
                </c:pt>
                <c:pt idx="24">
                  <c:v>金华市</c:v>
                </c:pt>
                <c:pt idx="25">
                  <c:v>东莞市</c:v>
                </c:pt>
                <c:pt idx="26">
                  <c:v>淄博市</c:v>
                </c:pt>
                <c:pt idx="27">
                  <c:v>嘉兴市</c:v>
                </c:pt>
                <c:pt idx="28">
                  <c:v>泉州市</c:v>
                </c:pt>
                <c:pt idx="29">
                  <c:v>遵义市</c:v>
                </c:pt>
                <c:pt idx="30">
                  <c:v>长春市</c:v>
                </c:pt>
                <c:pt idx="31">
                  <c:v>徐州市</c:v>
                </c:pt>
                <c:pt idx="32">
                  <c:v>哈尔滨市</c:v>
                </c:pt>
                <c:pt idx="33">
                  <c:v>温州市</c:v>
                </c:pt>
                <c:pt idx="34">
                  <c:v>绍兴市</c:v>
                </c:pt>
                <c:pt idx="35">
                  <c:v>吴忠市</c:v>
                </c:pt>
                <c:pt idx="36">
                  <c:v>沈阳市</c:v>
                </c:pt>
                <c:pt idx="37">
                  <c:v>济宁市</c:v>
                </c:pt>
                <c:pt idx="38">
                  <c:v>济南市</c:v>
                </c:pt>
                <c:pt idx="39">
                  <c:v>毕节市</c:v>
                </c:pt>
                <c:pt idx="40">
                  <c:v>昆明市</c:v>
                </c:pt>
                <c:pt idx="41">
                  <c:v>芜湖市</c:v>
                </c:pt>
                <c:pt idx="42">
                  <c:v>西安市</c:v>
                </c:pt>
                <c:pt idx="43">
                  <c:v>银川市</c:v>
                </c:pt>
                <c:pt idx="44">
                  <c:v>临沂市</c:v>
                </c:pt>
                <c:pt idx="45">
                  <c:v>南昌市</c:v>
                </c:pt>
                <c:pt idx="46">
                  <c:v>岳阳市</c:v>
                </c:pt>
                <c:pt idx="47">
                  <c:v>常州市</c:v>
                </c:pt>
                <c:pt idx="48">
                  <c:v>太原市</c:v>
                </c:pt>
                <c:pt idx="49">
                  <c:v>上海市</c:v>
                </c:pt>
                <c:pt idx="50">
                  <c:v>渭南市</c:v>
                </c:pt>
                <c:pt idx="51">
                  <c:v>南充市</c:v>
                </c:pt>
                <c:pt idx="52">
                  <c:v>齐齐哈尔市</c:v>
                </c:pt>
                <c:pt idx="53">
                  <c:v>大同市</c:v>
                </c:pt>
                <c:pt idx="54">
                  <c:v>克拉玛依市</c:v>
                </c:pt>
                <c:pt idx="55">
                  <c:v>赣州市</c:v>
                </c:pt>
                <c:pt idx="56">
                  <c:v>日喀则市</c:v>
                </c:pt>
                <c:pt idx="57">
                  <c:v>邯郸市</c:v>
                </c:pt>
                <c:pt idx="58">
                  <c:v>山南市</c:v>
                </c:pt>
                <c:pt idx="59">
                  <c:v>西宁市</c:v>
                </c:pt>
                <c:pt idx="60">
                  <c:v>上饶市</c:v>
                </c:pt>
                <c:pt idx="61">
                  <c:v>重庆市</c:v>
                </c:pt>
                <c:pt idx="62">
                  <c:v>天水市</c:v>
                </c:pt>
                <c:pt idx="63">
                  <c:v>大连市</c:v>
                </c:pt>
                <c:pt idx="64">
                  <c:v>玉溪市</c:v>
                </c:pt>
                <c:pt idx="65">
                  <c:v>拉萨市</c:v>
                </c:pt>
                <c:pt idx="66">
                  <c:v>儋州市</c:v>
                </c:pt>
                <c:pt idx="67">
                  <c:v>福州市</c:v>
                </c:pt>
                <c:pt idx="68">
                  <c:v>汕头市</c:v>
                </c:pt>
                <c:pt idx="69">
                  <c:v>海口市</c:v>
                </c:pt>
                <c:pt idx="70">
                  <c:v>包头市</c:v>
                </c:pt>
                <c:pt idx="71">
                  <c:v>石家庄市</c:v>
                </c:pt>
                <c:pt idx="72">
                  <c:v>海西蒙古族藏族自治州</c:v>
                </c:pt>
                <c:pt idx="73">
                  <c:v>保定市</c:v>
                </c:pt>
                <c:pt idx="74">
                  <c:v>鄂尔多斯市</c:v>
                </c:pt>
                <c:pt idx="75">
                  <c:v>唐山市</c:v>
                </c:pt>
                <c:pt idx="76">
                  <c:v>大庆市</c:v>
                </c:pt>
                <c:pt idx="77">
                  <c:v>鞍山市</c:v>
                </c:pt>
                <c:pt idx="78">
                  <c:v>合肥市</c:v>
                </c:pt>
                <c:pt idx="79">
                  <c:v>松原市</c:v>
                </c:pt>
                <c:pt idx="80">
                  <c:v>长沙市</c:v>
                </c:pt>
                <c:pt idx="81">
                  <c:v>南阳市</c:v>
                </c:pt>
                <c:pt idx="82">
                  <c:v>阜阳市</c:v>
                </c:pt>
                <c:pt idx="83">
                  <c:v>乌鲁木齐市</c:v>
                </c:pt>
                <c:pt idx="84">
                  <c:v>石嘴山市</c:v>
                </c:pt>
                <c:pt idx="85">
                  <c:v>绵阳市</c:v>
                </c:pt>
                <c:pt idx="86">
                  <c:v>海东市</c:v>
                </c:pt>
                <c:pt idx="87">
                  <c:v>曲靖市</c:v>
                </c:pt>
                <c:pt idx="88">
                  <c:v>桂林市</c:v>
                </c:pt>
                <c:pt idx="89">
                  <c:v>宝鸡市</c:v>
                </c:pt>
                <c:pt idx="90">
                  <c:v>庆阳市</c:v>
                </c:pt>
                <c:pt idx="91">
                  <c:v>三亚市</c:v>
                </c:pt>
                <c:pt idx="92">
                  <c:v>郑州市</c:v>
                </c:pt>
                <c:pt idx="93">
                  <c:v>呼和浩特市</c:v>
                </c:pt>
                <c:pt idx="94">
                  <c:v>兰州市</c:v>
                </c:pt>
                <c:pt idx="95">
                  <c:v>运城市</c:v>
                </c:pt>
                <c:pt idx="96">
                  <c:v>哈密市</c:v>
                </c:pt>
                <c:pt idx="97">
                  <c:v>衡阳市</c:v>
                </c:pt>
                <c:pt idx="98">
                  <c:v>柳州市</c:v>
                </c:pt>
                <c:pt idx="99">
                  <c:v>吉林市</c:v>
                </c:pt>
              </c:strCache>
            </c:strRef>
          </c:cat>
          <c:val>
            <c:numRef>
              <c:f>Sheet1!$B$2:$B$101</c:f>
              <c:numCache>
                <c:formatCode>0.00_);[Red]\(0.00\)</c:formatCode>
                <c:ptCount val="100"/>
                <c:pt idx="0">
                  <c:v>88.15062242</c:v>
                </c:pt>
                <c:pt idx="1">
                  <c:v>89.16924065</c:v>
                </c:pt>
                <c:pt idx="2">
                  <c:v>90.39767895</c:v>
                </c:pt>
                <c:pt idx="3">
                  <c:v>88.85144368</c:v>
                </c:pt>
                <c:pt idx="4">
                  <c:v>89.73749807</c:v>
                </c:pt>
                <c:pt idx="5">
                  <c:v>88.13469619</c:v>
                </c:pt>
                <c:pt idx="6">
                  <c:v>91.80572142</c:v>
                </c:pt>
                <c:pt idx="7">
                  <c:v>82.85728241</c:v>
                </c:pt>
                <c:pt idx="8">
                  <c:v>82.72865258</c:v>
                </c:pt>
                <c:pt idx="9">
                  <c:v>84.44872821</c:v>
                </c:pt>
                <c:pt idx="10">
                  <c:v>82.74231107</c:v>
                </c:pt>
                <c:pt idx="11">
                  <c:v>81.97468155</c:v>
                </c:pt>
                <c:pt idx="12">
                  <c:v>83.53987332</c:v>
                </c:pt>
                <c:pt idx="13">
                  <c:v>81.89132335</c:v>
                </c:pt>
                <c:pt idx="14">
                  <c:v>84.42160068</c:v>
                </c:pt>
                <c:pt idx="15">
                  <c:v>80.16200555</c:v>
                </c:pt>
                <c:pt idx="16">
                  <c:v>82.78409676</c:v>
                </c:pt>
                <c:pt idx="17">
                  <c:v>81.40150302</c:v>
                </c:pt>
                <c:pt idx="18">
                  <c:v>83.02434343</c:v>
                </c:pt>
                <c:pt idx="19">
                  <c:v>81.56722428</c:v>
                </c:pt>
                <c:pt idx="20">
                  <c:v>82.10912288</c:v>
                </c:pt>
                <c:pt idx="21">
                  <c:v>81.4124198</c:v>
                </c:pt>
                <c:pt idx="22">
                  <c:v>80.0263495</c:v>
                </c:pt>
                <c:pt idx="23">
                  <c:v>78.81883141</c:v>
                </c:pt>
                <c:pt idx="24">
                  <c:v>81.60607602</c:v>
                </c:pt>
                <c:pt idx="25">
                  <c:v>78.89110559</c:v>
                </c:pt>
                <c:pt idx="26">
                  <c:v>79.66863527</c:v>
                </c:pt>
                <c:pt idx="27">
                  <c:v>80.94875169</c:v>
                </c:pt>
                <c:pt idx="28">
                  <c:v>81.68599113</c:v>
                </c:pt>
                <c:pt idx="29">
                  <c:v>78.35740891</c:v>
                </c:pt>
                <c:pt idx="30">
                  <c:v>78.4297558</c:v>
                </c:pt>
                <c:pt idx="31">
                  <c:v>79.84978136</c:v>
                </c:pt>
                <c:pt idx="32">
                  <c:v>79.59841228</c:v>
                </c:pt>
                <c:pt idx="33">
                  <c:v>80.27297192</c:v>
                </c:pt>
                <c:pt idx="34">
                  <c:v>80.38588508</c:v>
                </c:pt>
                <c:pt idx="35">
                  <c:v>80.64172439</c:v>
                </c:pt>
                <c:pt idx="36">
                  <c:v>80.01776023</c:v>
                </c:pt>
                <c:pt idx="37">
                  <c:v>80.40037466</c:v>
                </c:pt>
                <c:pt idx="38">
                  <c:v>79.66527968</c:v>
                </c:pt>
                <c:pt idx="39">
                  <c:v>78.13104117</c:v>
                </c:pt>
                <c:pt idx="40">
                  <c:v>77.37400974</c:v>
                </c:pt>
                <c:pt idx="41">
                  <c:v>78.22117129</c:v>
                </c:pt>
                <c:pt idx="42">
                  <c:v>74.63924473</c:v>
                </c:pt>
                <c:pt idx="43">
                  <c:v>78.19198223</c:v>
                </c:pt>
                <c:pt idx="44">
                  <c:v>78.60305024</c:v>
                </c:pt>
                <c:pt idx="45">
                  <c:v>76.91639602</c:v>
                </c:pt>
                <c:pt idx="46">
                  <c:v>78.45558566</c:v>
                </c:pt>
                <c:pt idx="47">
                  <c:v>82.70879624</c:v>
                </c:pt>
                <c:pt idx="48">
                  <c:v>77.38189192</c:v>
                </c:pt>
                <c:pt idx="49">
                  <c:v>82.12881117</c:v>
                </c:pt>
                <c:pt idx="50">
                  <c:v>77.41032091</c:v>
                </c:pt>
                <c:pt idx="51">
                  <c:v>76.59465333</c:v>
                </c:pt>
                <c:pt idx="52">
                  <c:v>76.75890421</c:v>
                </c:pt>
                <c:pt idx="53">
                  <c:v>76.95398766</c:v>
                </c:pt>
                <c:pt idx="54">
                  <c:v>77.88574054</c:v>
                </c:pt>
                <c:pt idx="55">
                  <c:v>76.62949937</c:v>
                </c:pt>
                <c:pt idx="56">
                  <c:v>77.82002729</c:v>
                </c:pt>
                <c:pt idx="57">
                  <c:v>75.73764558</c:v>
                </c:pt>
                <c:pt idx="58">
                  <c:v>77.72403436</c:v>
                </c:pt>
                <c:pt idx="59">
                  <c:v>77.02174828</c:v>
                </c:pt>
                <c:pt idx="60">
                  <c:v>76.6742512</c:v>
                </c:pt>
                <c:pt idx="61">
                  <c:v>75.70417454</c:v>
                </c:pt>
                <c:pt idx="62">
                  <c:v>76.3751032</c:v>
                </c:pt>
                <c:pt idx="63">
                  <c:v>75.46879174</c:v>
                </c:pt>
                <c:pt idx="64">
                  <c:v>75.00957767</c:v>
                </c:pt>
                <c:pt idx="65">
                  <c:v>76.88181732</c:v>
                </c:pt>
                <c:pt idx="66">
                  <c:v>75.48153523</c:v>
                </c:pt>
                <c:pt idx="67">
                  <c:v>75.98569857</c:v>
                </c:pt>
                <c:pt idx="68">
                  <c:v>75.16377971</c:v>
                </c:pt>
                <c:pt idx="69">
                  <c:v>73.35447277</c:v>
                </c:pt>
                <c:pt idx="70">
                  <c:v>76.23774217</c:v>
                </c:pt>
                <c:pt idx="71">
                  <c:v>76.2546338</c:v>
                </c:pt>
                <c:pt idx="72">
                  <c:v>76.175572</c:v>
                </c:pt>
                <c:pt idx="73">
                  <c:v>74.33523888</c:v>
                </c:pt>
                <c:pt idx="74">
                  <c:v>75.22953098</c:v>
                </c:pt>
                <c:pt idx="75">
                  <c:v>73.90121792</c:v>
                </c:pt>
                <c:pt idx="76">
                  <c:v>76.23956511</c:v>
                </c:pt>
                <c:pt idx="77">
                  <c:v>75.13353322</c:v>
                </c:pt>
                <c:pt idx="78">
                  <c:v>74.27621645</c:v>
                </c:pt>
                <c:pt idx="79">
                  <c:v>72.73563126</c:v>
                </c:pt>
                <c:pt idx="80">
                  <c:v>74.17832591</c:v>
                </c:pt>
                <c:pt idx="81">
                  <c:v>74.2041289</c:v>
                </c:pt>
                <c:pt idx="82">
                  <c:v>73.6197743</c:v>
                </c:pt>
                <c:pt idx="83">
                  <c:v>72.90543818</c:v>
                </c:pt>
                <c:pt idx="84">
                  <c:v>73.99614752</c:v>
                </c:pt>
                <c:pt idx="85">
                  <c:v>73.34303372</c:v>
                </c:pt>
                <c:pt idx="86">
                  <c:v>73.82550604</c:v>
                </c:pt>
                <c:pt idx="87">
                  <c:v>73.49848562</c:v>
                </c:pt>
                <c:pt idx="88">
                  <c:v>73.06666299</c:v>
                </c:pt>
                <c:pt idx="89">
                  <c:v>71.65825986</c:v>
                </c:pt>
                <c:pt idx="90">
                  <c:v>70.81381365</c:v>
                </c:pt>
                <c:pt idx="91">
                  <c:v>71.52099233</c:v>
                </c:pt>
                <c:pt idx="92">
                  <c:v>73.39561993</c:v>
                </c:pt>
                <c:pt idx="93">
                  <c:v>71.35446321</c:v>
                </c:pt>
                <c:pt idx="94">
                  <c:v>71.78768957</c:v>
                </c:pt>
                <c:pt idx="95">
                  <c:v>71.96202647</c:v>
                </c:pt>
                <c:pt idx="96">
                  <c:v>72.4783003</c:v>
                </c:pt>
                <c:pt idx="97">
                  <c:v>70.19293502</c:v>
                </c:pt>
                <c:pt idx="98">
                  <c:v>72.09781693</c:v>
                </c:pt>
                <c:pt idx="99">
                  <c:v>70.66636086</c:v>
                </c:pt>
              </c:numCache>
            </c:numRef>
          </c:val>
          <c:smooth val="1"/>
        </c:ser>
        <c:ser>
          <c:idx val="1"/>
          <c:order val="1"/>
          <c:tx>
            <c:strRef>
              <c:f>Sheet1!$C$1</c:f>
              <c:strCache>
                <c:ptCount val="1"/>
                <c:pt idx="0">
                  <c:v>2021</c:v>
                </c:pt>
              </c:strCache>
            </c:strRef>
          </c:tx>
          <c:spPr>
            <a:ln w="28575" cap="rnd">
              <a:solidFill>
                <a:schemeClr val="bg1">
                  <a:lumMod val="65000"/>
                </a:schemeClr>
              </a:solidFill>
              <a:round/>
            </a:ln>
            <a:effectLst/>
          </c:spPr>
          <c:marker>
            <c:symbol val="none"/>
          </c:marker>
          <c:dLbls>
            <c:delete val="1"/>
          </c:dLbls>
          <c:cat>
            <c:strRef>
              <c:f>Sheet1!$A$2:$A$101</c:f>
              <c:strCache>
                <c:ptCount val="100"/>
                <c:pt idx="0">
                  <c:v>佛山市</c:v>
                </c:pt>
                <c:pt idx="1">
                  <c:v>烟台市</c:v>
                </c:pt>
                <c:pt idx="2">
                  <c:v>青岛市</c:v>
                </c:pt>
                <c:pt idx="3">
                  <c:v>南京市</c:v>
                </c:pt>
                <c:pt idx="4">
                  <c:v>杭州市</c:v>
                </c:pt>
                <c:pt idx="5">
                  <c:v>无锡市</c:v>
                </c:pt>
                <c:pt idx="6">
                  <c:v>苏州市</c:v>
                </c:pt>
                <c:pt idx="7">
                  <c:v>深圳市</c:v>
                </c:pt>
                <c:pt idx="8">
                  <c:v>南宁市</c:v>
                </c:pt>
                <c:pt idx="9">
                  <c:v>厦门市</c:v>
                </c:pt>
                <c:pt idx="10">
                  <c:v>天津市</c:v>
                </c:pt>
                <c:pt idx="11">
                  <c:v>盐城市</c:v>
                </c:pt>
                <c:pt idx="12">
                  <c:v>宜昌市</c:v>
                </c:pt>
                <c:pt idx="13">
                  <c:v>广州市</c:v>
                </c:pt>
                <c:pt idx="14">
                  <c:v>北京市</c:v>
                </c:pt>
                <c:pt idx="15">
                  <c:v>台州市</c:v>
                </c:pt>
                <c:pt idx="16">
                  <c:v>潍坊市</c:v>
                </c:pt>
                <c:pt idx="17">
                  <c:v>襄阳市</c:v>
                </c:pt>
                <c:pt idx="18">
                  <c:v>宁波市</c:v>
                </c:pt>
                <c:pt idx="19">
                  <c:v>南通市</c:v>
                </c:pt>
                <c:pt idx="20">
                  <c:v>成都市</c:v>
                </c:pt>
                <c:pt idx="21">
                  <c:v>洛阳市</c:v>
                </c:pt>
                <c:pt idx="22">
                  <c:v>武汉市</c:v>
                </c:pt>
                <c:pt idx="23">
                  <c:v>贵阳市</c:v>
                </c:pt>
                <c:pt idx="24">
                  <c:v>金华市</c:v>
                </c:pt>
                <c:pt idx="25">
                  <c:v>东莞市</c:v>
                </c:pt>
                <c:pt idx="26">
                  <c:v>淄博市</c:v>
                </c:pt>
                <c:pt idx="27">
                  <c:v>嘉兴市</c:v>
                </c:pt>
                <c:pt idx="28">
                  <c:v>泉州市</c:v>
                </c:pt>
                <c:pt idx="29">
                  <c:v>遵义市</c:v>
                </c:pt>
                <c:pt idx="30">
                  <c:v>长春市</c:v>
                </c:pt>
                <c:pt idx="31">
                  <c:v>徐州市</c:v>
                </c:pt>
                <c:pt idx="32">
                  <c:v>哈尔滨市</c:v>
                </c:pt>
                <c:pt idx="33">
                  <c:v>温州市</c:v>
                </c:pt>
                <c:pt idx="34">
                  <c:v>绍兴市</c:v>
                </c:pt>
                <c:pt idx="35">
                  <c:v>吴忠市</c:v>
                </c:pt>
                <c:pt idx="36">
                  <c:v>沈阳市</c:v>
                </c:pt>
                <c:pt idx="37">
                  <c:v>济宁市</c:v>
                </c:pt>
                <c:pt idx="38">
                  <c:v>济南市</c:v>
                </c:pt>
                <c:pt idx="39">
                  <c:v>毕节市</c:v>
                </c:pt>
                <c:pt idx="40">
                  <c:v>昆明市</c:v>
                </c:pt>
                <c:pt idx="41">
                  <c:v>芜湖市</c:v>
                </c:pt>
                <c:pt idx="42">
                  <c:v>西安市</c:v>
                </c:pt>
                <c:pt idx="43">
                  <c:v>银川市</c:v>
                </c:pt>
                <c:pt idx="44">
                  <c:v>临沂市</c:v>
                </c:pt>
                <c:pt idx="45">
                  <c:v>南昌市</c:v>
                </c:pt>
                <c:pt idx="46">
                  <c:v>岳阳市</c:v>
                </c:pt>
                <c:pt idx="47">
                  <c:v>常州市</c:v>
                </c:pt>
                <c:pt idx="48">
                  <c:v>太原市</c:v>
                </c:pt>
                <c:pt idx="49">
                  <c:v>上海市</c:v>
                </c:pt>
                <c:pt idx="50">
                  <c:v>渭南市</c:v>
                </c:pt>
                <c:pt idx="51">
                  <c:v>南充市</c:v>
                </c:pt>
                <c:pt idx="52">
                  <c:v>齐齐哈尔市</c:v>
                </c:pt>
                <c:pt idx="53">
                  <c:v>大同市</c:v>
                </c:pt>
                <c:pt idx="54">
                  <c:v>克拉玛依市</c:v>
                </c:pt>
                <c:pt idx="55">
                  <c:v>赣州市</c:v>
                </c:pt>
                <c:pt idx="56">
                  <c:v>日喀则市</c:v>
                </c:pt>
                <c:pt idx="57">
                  <c:v>邯郸市</c:v>
                </c:pt>
                <c:pt idx="58">
                  <c:v>山南市</c:v>
                </c:pt>
                <c:pt idx="59">
                  <c:v>西宁市</c:v>
                </c:pt>
                <c:pt idx="60">
                  <c:v>上饶市</c:v>
                </c:pt>
                <c:pt idx="61">
                  <c:v>重庆市</c:v>
                </c:pt>
                <c:pt idx="62">
                  <c:v>天水市</c:v>
                </c:pt>
                <c:pt idx="63">
                  <c:v>大连市</c:v>
                </c:pt>
                <c:pt idx="64">
                  <c:v>玉溪市</c:v>
                </c:pt>
                <c:pt idx="65">
                  <c:v>拉萨市</c:v>
                </c:pt>
                <c:pt idx="66">
                  <c:v>儋州市</c:v>
                </c:pt>
                <c:pt idx="67">
                  <c:v>福州市</c:v>
                </c:pt>
                <c:pt idx="68">
                  <c:v>汕头市</c:v>
                </c:pt>
                <c:pt idx="69">
                  <c:v>海口市</c:v>
                </c:pt>
                <c:pt idx="70">
                  <c:v>包头市</c:v>
                </c:pt>
                <c:pt idx="71">
                  <c:v>石家庄市</c:v>
                </c:pt>
                <c:pt idx="72">
                  <c:v>海西蒙古族藏族自治州</c:v>
                </c:pt>
                <c:pt idx="73">
                  <c:v>保定市</c:v>
                </c:pt>
                <c:pt idx="74">
                  <c:v>鄂尔多斯市</c:v>
                </c:pt>
                <c:pt idx="75">
                  <c:v>唐山市</c:v>
                </c:pt>
                <c:pt idx="76">
                  <c:v>大庆市</c:v>
                </c:pt>
                <c:pt idx="77">
                  <c:v>鞍山市</c:v>
                </c:pt>
                <c:pt idx="78">
                  <c:v>合肥市</c:v>
                </c:pt>
                <c:pt idx="79">
                  <c:v>松原市</c:v>
                </c:pt>
                <c:pt idx="80">
                  <c:v>长沙市</c:v>
                </c:pt>
                <c:pt idx="81">
                  <c:v>南阳市</c:v>
                </c:pt>
                <c:pt idx="82">
                  <c:v>阜阳市</c:v>
                </c:pt>
                <c:pt idx="83">
                  <c:v>乌鲁木齐市</c:v>
                </c:pt>
                <c:pt idx="84">
                  <c:v>石嘴山市</c:v>
                </c:pt>
                <c:pt idx="85">
                  <c:v>绵阳市</c:v>
                </c:pt>
                <c:pt idx="86">
                  <c:v>海东市</c:v>
                </c:pt>
                <c:pt idx="87">
                  <c:v>曲靖市</c:v>
                </c:pt>
                <c:pt idx="88">
                  <c:v>桂林市</c:v>
                </c:pt>
                <c:pt idx="89">
                  <c:v>宝鸡市</c:v>
                </c:pt>
                <c:pt idx="90">
                  <c:v>庆阳市</c:v>
                </c:pt>
                <c:pt idx="91">
                  <c:v>三亚市</c:v>
                </c:pt>
                <c:pt idx="92">
                  <c:v>郑州市</c:v>
                </c:pt>
                <c:pt idx="93">
                  <c:v>呼和浩特市</c:v>
                </c:pt>
                <c:pt idx="94">
                  <c:v>兰州市</c:v>
                </c:pt>
                <c:pt idx="95">
                  <c:v>运城市</c:v>
                </c:pt>
                <c:pt idx="96">
                  <c:v>哈密市</c:v>
                </c:pt>
                <c:pt idx="97">
                  <c:v>衡阳市</c:v>
                </c:pt>
                <c:pt idx="98">
                  <c:v>柳州市</c:v>
                </c:pt>
                <c:pt idx="99">
                  <c:v>吉林市</c:v>
                </c:pt>
              </c:strCache>
            </c:strRef>
          </c:cat>
          <c:val>
            <c:numRef>
              <c:f>Sheet1!$C$2:$C$101</c:f>
              <c:numCache>
                <c:formatCode>0.00_);[Red]\(0.00\)</c:formatCode>
                <c:ptCount val="100"/>
                <c:pt idx="0">
                  <c:v>81.9311747826324</c:v>
                </c:pt>
                <c:pt idx="1">
                  <c:v>85.2932415505202</c:v>
                </c:pt>
                <c:pt idx="2">
                  <c:v>87.0054025283011</c:v>
                </c:pt>
                <c:pt idx="3">
                  <c:v>86.0400150103139</c:v>
                </c:pt>
                <c:pt idx="4">
                  <c:v>87.336925816864</c:v>
                </c:pt>
                <c:pt idx="5">
                  <c:v>86.0011020265087</c:v>
                </c:pt>
                <c:pt idx="6">
                  <c:v>89.6952377307601</c:v>
                </c:pt>
                <c:pt idx="7">
                  <c:v>80.999491915574</c:v>
                </c:pt>
                <c:pt idx="8">
                  <c:v>81.1562424622722</c:v>
                </c:pt>
                <c:pt idx="9">
                  <c:v>83.163356266636</c:v>
                </c:pt>
                <c:pt idx="10">
                  <c:v>81.4850002144836</c:v>
                </c:pt>
                <c:pt idx="11">
                  <c:v>80.7734810039393</c:v>
                </c:pt>
                <c:pt idx="12">
                  <c:v>82.3943839705903</c:v>
                </c:pt>
                <c:pt idx="13">
                  <c:v>80.8956778917769</c:v>
                </c:pt>
                <c:pt idx="14">
                  <c:v>83.4853260334664</c:v>
                </c:pt>
                <c:pt idx="15">
                  <c:v>79.3839283241442</c:v>
                </c:pt>
                <c:pt idx="16">
                  <c:v>82.0767239628111</c:v>
                </c:pt>
                <c:pt idx="17">
                  <c:v>80.7727868615844</c:v>
                </c:pt>
                <c:pt idx="18">
                  <c:v>82.4037823585867</c:v>
                </c:pt>
                <c:pt idx="19">
                  <c:v>81.2966751008054</c:v>
                </c:pt>
                <c:pt idx="20">
                  <c:v>81.845986949614</c:v>
                </c:pt>
                <c:pt idx="21">
                  <c:v>81.2423339280962</c:v>
                </c:pt>
                <c:pt idx="22">
                  <c:v>80.0851508875523</c:v>
                </c:pt>
                <c:pt idx="23">
                  <c:v>78.9479968485437</c:v>
                </c:pt>
                <c:pt idx="24">
                  <c:v>81.9048326352117</c:v>
                </c:pt>
                <c:pt idx="25">
                  <c:v>79.3068593026456</c:v>
                </c:pt>
                <c:pt idx="26">
                  <c:v>80.0899681102335</c:v>
                </c:pt>
                <c:pt idx="27">
                  <c:v>81.3849169478008</c:v>
                </c:pt>
                <c:pt idx="28">
                  <c:v>82.1963198837178</c:v>
                </c:pt>
                <c:pt idx="29">
                  <c:v>78.8813182789933</c:v>
                </c:pt>
                <c:pt idx="30">
                  <c:v>79.0089696937729</c:v>
                </c:pt>
                <c:pt idx="31">
                  <c:v>80.4307879837591</c:v>
                </c:pt>
                <c:pt idx="32">
                  <c:v>80.2015068201716</c:v>
                </c:pt>
                <c:pt idx="33">
                  <c:v>80.9503326974917</c:v>
                </c:pt>
                <c:pt idx="34">
                  <c:v>81.1156560654796</c:v>
                </c:pt>
                <c:pt idx="35">
                  <c:v>81.3777077945611</c:v>
                </c:pt>
                <c:pt idx="36">
                  <c:v>80.7825501894474</c:v>
                </c:pt>
                <c:pt idx="37">
                  <c:v>81.4600780710232</c:v>
                </c:pt>
                <c:pt idx="38">
                  <c:v>80.7801120062869</c:v>
                </c:pt>
                <c:pt idx="39">
                  <c:v>79.4356935209265</c:v>
                </c:pt>
                <c:pt idx="40">
                  <c:v>79.1492804116987</c:v>
                </c:pt>
                <c:pt idx="41">
                  <c:v>80.1519906078951</c:v>
                </c:pt>
                <c:pt idx="42">
                  <c:v>76.7299405683995</c:v>
                </c:pt>
                <c:pt idx="43">
                  <c:v>80.3007803375334</c:v>
                </c:pt>
                <c:pt idx="44">
                  <c:v>80.7455846691546</c:v>
                </c:pt>
                <c:pt idx="45">
                  <c:v>79.0759083749864</c:v>
                </c:pt>
                <c:pt idx="46">
                  <c:v>80.7558205574259</c:v>
                </c:pt>
                <c:pt idx="47">
                  <c:v>85.1196128922621</c:v>
                </c:pt>
                <c:pt idx="48">
                  <c:v>79.8076317766294</c:v>
                </c:pt>
                <c:pt idx="49">
                  <c:v>84.574184321893</c:v>
                </c:pt>
                <c:pt idx="50">
                  <c:v>79.909854204306</c:v>
                </c:pt>
                <c:pt idx="51">
                  <c:v>79.2935691005169</c:v>
                </c:pt>
                <c:pt idx="52">
                  <c:v>79.5439030146134</c:v>
                </c:pt>
                <c:pt idx="53">
                  <c:v>79.7562400339891</c:v>
                </c:pt>
                <c:pt idx="54">
                  <c:v>80.7185208983428</c:v>
                </c:pt>
                <c:pt idx="55">
                  <c:v>79.4637769315239</c:v>
                </c:pt>
                <c:pt idx="56">
                  <c:v>80.7024865178488</c:v>
                </c:pt>
                <c:pt idx="57">
                  <c:v>78.6297419847594</c:v>
                </c:pt>
                <c:pt idx="58">
                  <c:v>80.6364924811547</c:v>
                </c:pt>
                <c:pt idx="59">
                  <c:v>80.0659151622891</c:v>
                </c:pt>
                <c:pt idx="60">
                  <c:v>79.7237817204909</c:v>
                </c:pt>
                <c:pt idx="61">
                  <c:v>78.7939757098617</c:v>
                </c:pt>
                <c:pt idx="62">
                  <c:v>79.4932515674481</c:v>
                </c:pt>
                <c:pt idx="63">
                  <c:v>78.7357443884146</c:v>
                </c:pt>
                <c:pt idx="64">
                  <c:v>78.2960060115693</c:v>
                </c:pt>
                <c:pt idx="65">
                  <c:v>80.1780794264092</c:v>
                </c:pt>
                <c:pt idx="66">
                  <c:v>78.7821169637923</c:v>
                </c:pt>
                <c:pt idx="67">
                  <c:v>79.3565077513349</c:v>
                </c:pt>
                <c:pt idx="68">
                  <c:v>78.5407653677679</c:v>
                </c:pt>
                <c:pt idx="69">
                  <c:v>76.8016314809368</c:v>
                </c:pt>
                <c:pt idx="70">
                  <c:v>79.8876666087045</c:v>
                </c:pt>
                <c:pt idx="71">
                  <c:v>79.9247730766015</c:v>
                </c:pt>
                <c:pt idx="72">
                  <c:v>79.9834554525609</c:v>
                </c:pt>
                <c:pt idx="73">
                  <c:v>78.33605456711</c:v>
                </c:pt>
                <c:pt idx="74">
                  <c:v>79.3480671666813</c:v>
                </c:pt>
                <c:pt idx="75">
                  <c:v>78.1234649106335</c:v>
                </c:pt>
                <c:pt idx="76">
                  <c:v>80.46656809363</c:v>
                </c:pt>
                <c:pt idx="77">
                  <c:v>79.3639238553887</c:v>
                </c:pt>
                <c:pt idx="78">
                  <c:v>78.7557494130562</c:v>
                </c:pt>
                <c:pt idx="79">
                  <c:v>77.3199393206481</c:v>
                </c:pt>
                <c:pt idx="80">
                  <c:v>78.8268631076486</c:v>
                </c:pt>
                <c:pt idx="81">
                  <c:v>79.0524847528007</c:v>
                </c:pt>
                <c:pt idx="82">
                  <c:v>78.7894323034535</c:v>
                </c:pt>
                <c:pt idx="83">
                  <c:v>78.213614720549</c:v>
                </c:pt>
                <c:pt idx="84">
                  <c:v>79.3119315583162</c:v>
                </c:pt>
                <c:pt idx="85">
                  <c:v>78.7838933620029</c:v>
                </c:pt>
                <c:pt idx="86">
                  <c:v>79.3293533333859</c:v>
                </c:pt>
                <c:pt idx="87">
                  <c:v>79.0976901317466</c:v>
                </c:pt>
                <c:pt idx="88">
                  <c:v>78.7283383393824</c:v>
                </c:pt>
                <c:pt idx="89">
                  <c:v>77.3941080365267</c:v>
                </c:pt>
                <c:pt idx="90">
                  <c:v>76.6507792011401</c:v>
                </c:pt>
                <c:pt idx="91">
                  <c:v>77.3775403482279</c:v>
                </c:pt>
                <c:pt idx="92">
                  <c:v>79.264422334368</c:v>
                </c:pt>
                <c:pt idx="93">
                  <c:v>77.5548321046698</c:v>
                </c:pt>
                <c:pt idx="94">
                  <c:v>78.0289099458702</c:v>
                </c:pt>
                <c:pt idx="95">
                  <c:v>78.4377514513052</c:v>
                </c:pt>
                <c:pt idx="96">
                  <c:v>79.2491300262924</c:v>
                </c:pt>
                <c:pt idx="97">
                  <c:v>77.0467880428629</c:v>
                </c:pt>
                <c:pt idx="98">
                  <c:v>79.663469578546</c:v>
                </c:pt>
                <c:pt idx="99">
                  <c:v>79.0932709412258</c:v>
                </c:pt>
              </c:numCache>
            </c:numRef>
          </c:val>
          <c:smooth val="1"/>
        </c:ser>
        <c:dLbls>
          <c:showLegendKey val="0"/>
          <c:showVal val="0"/>
          <c:showCatName val="0"/>
          <c:showSerName val="0"/>
          <c:showPercent val="0"/>
          <c:showBubbleSize val="0"/>
        </c:dLbls>
        <c:marker val="0"/>
        <c:smooth val="1"/>
        <c:axId val="766188246"/>
        <c:axId val="900366245"/>
      </c:lineChart>
      <c:catAx>
        <c:axId val="766188246"/>
        <c:scaling>
          <c:orientation val="minMax"/>
        </c:scaling>
        <c:delete val="0"/>
        <c:axPos val="b"/>
        <c:numFmt formatCode="General" sourceLinked="0"/>
        <c:majorTickMark val="none"/>
        <c:minorTickMark val="none"/>
        <c:tickLblPos val="nextTo"/>
        <c:spPr>
          <a:noFill/>
          <a:ln w="9525" cap="flat" cmpd="sng" algn="ctr">
            <a:solidFill>
              <a:schemeClr val="accent2"/>
            </a:solidFill>
            <a:round/>
          </a:ln>
          <a:effectLst/>
        </c:spPr>
        <c:txPr>
          <a:bodyPr rot="0" spcFirstLastPara="0" vertOverflow="ellipsis" vert="eaVert" wrap="square" anchor="ctr" anchorCtr="1"/>
          <a:lstStyle/>
          <a:p>
            <a:pPr>
              <a:defRPr lang="zh-CN" sz="500" b="0" i="0" u="none" strike="noStrike" kern="1200" baseline="0">
                <a:solidFill>
                  <a:schemeClr val="tx1">
                    <a:lumMod val="65000"/>
                    <a:lumOff val="35000"/>
                  </a:schemeClr>
                </a:solidFill>
                <a:latin typeface="+mn-lt"/>
                <a:ea typeface="+mn-ea"/>
                <a:cs typeface="+mn-cs"/>
              </a:defRPr>
            </a:pPr>
          </a:p>
        </c:txPr>
        <c:crossAx val="900366245"/>
        <c:crosses val="autoZero"/>
        <c:auto val="1"/>
        <c:lblAlgn val="ctr"/>
        <c:lblOffset val="100"/>
        <c:noMultiLvlLbl val="0"/>
      </c:catAx>
      <c:valAx>
        <c:axId val="900366245"/>
        <c:scaling>
          <c:orientation val="minMax"/>
          <c:max val="95"/>
          <c:min val="65"/>
        </c:scaling>
        <c:delete val="0"/>
        <c:axPos val="l"/>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6188246"/>
        <c:crosses val="autoZero"/>
        <c:crossBetween val="between"/>
      </c:valAx>
      <c:spPr>
        <a:noFill/>
        <a:ln>
          <a:solidFill>
            <a:schemeClr val="accent2"/>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2022</c:v>
                </c:pt>
              </c:strCache>
            </c:strRef>
          </c:tx>
          <c:spPr>
            <a:ln w="28575" cap="rnd">
              <a:solidFill>
                <a:schemeClr val="accent1">
                  <a:lumMod val="75000"/>
                </a:schemeClr>
              </a:solidFill>
              <a:round/>
            </a:ln>
            <a:effectLst/>
          </c:spPr>
          <c:marker>
            <c:symbol val="none"/>
          </c:marker>
          <c:dLbls>
            <c:delete val="1"/>
          </c:dLbls>
          <c:cat>
            <c:strRef>
              <c:f>Sheet1!$A$2:$A$51</c:f>
              <c:strCache>
                <c:ptCount val="50"/>
                <c:pt idx="0">
                  <c:v>苏州市</c:v>
                </c:pt>
                <c:pt idx="1">
                  <c:v>青岛市</c:v>
                </c:pt>
                <c:pt idx="2">
                  <c:v>杭州市</c:v>
                </c:pt>
                <c:pt idx="3">
                  <c:v>北京市</c:v>
                </c:pt>
                <c:pt idx="4">
                  <c:v>天津市</c:v>
                </c:pt>
                <c:pt idx="5">
                  <c:v>深圳市</c:v>
                </c:pt>
                <c:pt idx="6">
                  <c:v>潍坊市</c:v>
                </c:pt>
                <c:pt idx="7">
                  <c:v>台州市</c:v>
                </c:pt>
                <c:pt idx="8">
                  <c:v>烟台市</c:v>
                </c:pt>
                <c:pt idx="9">
                  <c:v>拉萨市</c:v>
                </c:pt>
                <c:pt idx="10">
                  <c:v>南宁市</c:v>
                </c:pt>
                <c:pt idx="11">
                  <c:v>南京市</c:v>
                </c:pt>
                <c:pt idx="12">
                  <c:v>佛山市</c:v>
                </c:pt>
                <c:pt idx="13">
                  <c:v>厦门市</c:v>
                </c:pt>
                <c:pt idx="14">
                  <c:v>贵阳市</c:v>
                </c:pt>
                <c:pt idx="15">
                  <c:v>成都市</c:v>
                </c:pt>
                <c:pt idx="16">
                  <c:v>广州市</c:v>
                </c:pt>
                <c:pt idx="17">
                  <c:v>银川市</c:v>
                </c:pt>
                <c:pt idx="18">
                  <c:v>温州市</c:v>
                </c:pt>
                <c:pt idx="19">
                  <c:v>昆明市</c:v>
                </c:pt>
                <c:pt idx="20">
                  <c:v>武汉市</c:v>
                </c:pt>
                <c:pt idx="21">
                  <c:v>泉州市</c:v>
                </c:pt>
                <c:pt idx="22">
                  <c:v>无锡市</c:v>
                </c:pt>
                <c:pt idx="23">
                  <c:v>长春市</c:v>
                </c:pt>
                <c:pt idx="24">
                  <c:v>宁波市</c:v>
                </c:pt>
                <c:pt idx="25">
                  <c:v>太原市</c:v>
                </c:pt>
                <c:pt idx="26">
                  <c:v>金华市</c:v>
                </c:pt>
                <c:pt idx="27">
                  <c:v>哈尔滨市</c:v>
                </c:pt>
                <c:pt idx="28">
                  <c:v>东莞市</c:v>
                </c:pt>
                <c:pt idx="29">
                  <c:v>徐州市</c:v>
                </c:pt>
                <c:pt idx="30">
                  <c:v>沈阳市</c:v>
                </c:pt>
                <c:pt idx="31">
                  <c:v>临沂市</c:v>
                </c:pt>
                <c:pt idx="32">
                  <c:v>济南市</c:v>
                </c:pt>
                <c:pt idx="33">
                  <c:v>南昌市</c:v>
                </c:pt>
                <c:pt idx="34">
                  <c:v>西宁市</c:v>
                </c:pt>
                <c:pt idx="35">
                  <c:v>上海市</c:v>
                </c:pt>
                <c:pt idx="36">
                  <c:v>南通市</c:v>
                </c:pt>
                <c:pt idx="37">
                  <c:v>石家庄市</c:v>
                </c:pt>
                <c:pt idx="38">
                  <c:v>福州市</c:v>
                </c:pt>
                <c:pt idx="39">
                  <c:v>大连市</c:v>
                </c:pt>
                <c:pt idx="40">
                  <c:v>西安市</c:v>
                </c:pt>
                <c:pt idx="41">
                  <c:v>长沙市</c:v>
                </c:pt>
                <c:pt idx="42">
                  <c:v>海口市</c:v>
                </c:pt>
                <c:pt idx="43">
                  <c:v>唐山市</c:v>
                </c:pt>
                <c:pt idx="44">
                  <c:v>重庆市</c:v>
                </c:pt>
                <c:pt idx="45">
                  <c:v>郑州市</c:v>
                </c:pt>
                <c:pt idx="46">
                  <c:v>兰州市</c:v>
                </c:pt>
                <c:pt idx="47">
                  <c:v>合肥市</c:v>
                </c:pt>
                <c:pt idx="48">
                  <c:v>乌鲁木齐市</c:v>
                </c:pt>
                <c:pt idx="49">
                  <c:v>呼和浩特市</c:v>
                </c:pt>
              </c:strCache>
            </c:strRef>
          </c:cat>
          <c:val>
            <c:numRef>
              <c:f>Sheet1!$B$2:$B$51</c:f>
              <c:numCache>
                <c:formatCode>0.00_);[Red]\(0.00\)</c:formatCode>
                <c:ptCount val="50"/>
                <c:pt idx="0">
                  <c:v>91.80572142</c:v>
                </c:pt>
                <c:pt idx="1">
                  <c:v>90.39767895</c:v>
                </c:pt>
                <c:pt idx="2">
                  <c:v>89.73749807</c:v>
                </c:pt>
                <c:pt idx="3">
                  <c:v>84.42160068</c:v>
                </c:pt>
                <c:pt idx="4">
                  <c:v>82.74231107</c:v>
                </c:pt>
                <c:pt idx="5">
                  <c:v>82.85728241</c:v>
                </c:pt>
                <c:pt idx="6">
                  <c:v>82.78409676</c:v>
                </c:pt>
                <c:pt idx="7">
                  <c:v>80.16200555</c:v>
                </c:pt>
                <c:pt idx="8">
                  <c:v>89.16924065</c:v>
                </c:pt>
                <c:pt idx="9">
                  <c:v>76.88181732</c:v>
                </c:pt>
                <c:pt idx="10">
                  <c:v>82.72865258</c:v>
                </c:pt>
                <c:pt idx="11">
                  <c:v>88.85144368</c:v>
                </c:pt>
                <c:pt idx="12">
                  <c:v>88.15062242</c:v>
                </c:pt>
                <c:pt idx="13">
                  <c:v>84.44872821</c:v>
                </c:pt>
                <c:pt idx="14">
                  <c:v>78.81883141</c:v>
                </c:pt>
                <c:pt idx="15">
                  <c:v>82.10912288</c:v>
                </c:pt>
                <c:pt idx="16">
                  <c:v>81.89132335</c:v>
                </c:pt>
                <c:pt idx="17">
                  <c:v>78.19198223</c:v>
                </c:pt>
                <c:pt idx="18">
                  <c:v>80.27297192</c:v>
                </c:pt>
                <c:pt idx="19">
                  <c:v>77.37400974</c:v>
                </c:pt>
                <c:pt idx="20">
                  <c:v>80.0263495</c:v>
                </c:pt>
                <c:pt idx="21">
                  <c:v>81.68599113</c:v>
                </c:pt>
                <c:pt idx="22">
                  <c:v>88.13469619</c:v>
                </c:pt>
                <c:pt idx="23">
                  <c:v>78.4297558</c:v>
                </c:pt>
                <c:pt idx="24">
                  <c:v>83.02434343</c:v>
                </c:pt>
                <c:pt idx="25">
                  <c:v>77.38189192</c:v>
                </c:pt>
                <c:pt idx="26">
                  <c:v>81.60607602</c:v>
                </c:pt>
                <c:pt idx="27">
                  <c:v>79.59841228</c:v>
                </c:pt>
                <c:pt idx="28">
                  <c:v>78.89110559</c:v>
                </c:pt>
                <c:pt idx="29">
                  <c:v>79.84978136</c:v>
                </c:pt>
                <c:pt idx="30">
                  <c:v>80.01776023</c:v>
                </c:pt>
                <c:pt idx="31">
                  <c:v>78.60305024</c:v>
                </c:pt>
                <c:pt idx="32">
                  <c:v>79.66527968</c:v>
                </c:pt>
                <c:pt idx="33">
                  <c:v>76.91639602</c:v>
                </c:pt>
                <c:pt idx="34">
                  <c:v>77.02174828</c:v>
                </c:pt>
                <c:pt idx="35">
                  <c:v>82.12881117</c:v>
                </c:pt>
                <c:pt idx="36">
                  <c:v>81.56722428</c:v>
                </c:pt>
                <c:pt idx="37">
                  <c:v>76.2546338</c:v>
                </c:pt>
                <c:pt idx="38">
                  <c:v>75.98569857</c:v>
                </c:pt>
                <c:pt idx="39">
                  <c:v>75.46879174</c:v>
                </c:pt>
                <c:pt idx="40">
                  <c:v>74.63924473</c:v>
                </c:pt>
                <c:pt idx="41">
                  <c:v>74.17832591</c:v>
                </c:pt>
                <c:pt idx="42">
                  <c:v>73.35447277</c:v>
                </c:pt>
                <c:pt idx="43">
                  <c:v>73.90121792</c:v>
                </c:pt>
                <c:pt idx="44">
                  <c:v>75.70417454</c:v>
                </c:pt>
                <c:pt idx="45">
                  <c:v>73.39561993</c:v>
                </c:pt>
                <c:pt idx="46">
                  <c:v>71.78768957</c:v>
                </c:pt>
                <c:pt idx="47">
                  <c:v>74.27621645</c:v>
                </c:pt>
                <c:pt idx="48">
                  <c:v>72.90543818</c:v>
                </c:pt>
                <c:pt idx="49">
                  <c:v>71.35446321</c:v>
                </c:pt>
              </c:numCache>
            </c:numRef>
          </c:val>
          <c:smooth val="1"/>
        </c:ser>
        <c:ser>
          <c:idx val="1"/>
          <c:order val="1"/>
          <c:tx>
            <c:strRef>
              <c:f>Sheet1!$C$1</c:f>
              <c:strCache>
                <c:ptCount val="1"/>
                <c:pt idx="0">
                  <c:v>2021</c:v>
                </c:pt>
              </c:strCache>
            </c:strRef>
          </c:tx>
          <c:spPr>
            <a:ln w="28575" cap="rnd">
              <a:solidFill>
                <a:schemeClr val="accent1"/>
              </a:solidFill>
              <a:round/>
            </a:ln>
            <a:effectLst/>
          </c:spPr>
          <c:marker>
            <c:symbol val="none"/>
          </c:marker>
          <c:dLbls>
            <c:delete val="1"/>
          </c:dLbls>
          <c:cat>
            <c:strRef>
              <c:f>Sheet1!$A$2:$A$51</c:f>
              <c:strCache>
                <c:ptCount val="50"/>
                <c:pt idx="0">
                  <c:v>苏州市</c:v>
                </c:pt>
                <c:pt idx="1">
                  <c:v>青岛市</c:v>
                </c:pt>
                <c:pt idx="2">
                  <c:v>杭州市</c:v>
                </c:pt>
                <c:pt idx="3">
                  <c:v>北京市</c:v>
                </c:pt>
                <c:pt idx="4">
                  <c:v>天津市</c:v>
                </c:pt>
                <c:pt idx="5">
                  <c:v>深圳市</c:v>
                </c:pt>
                <c:pt idx="6">
                  <c:v>潍坊市</c:v>
                </c:pt>
                <c:pt idx="7">
                  <c:v>台州市</c:v>
                </c:pt>
                <c:pt idx="8">
                  <c:v>烟台市</c:v>
                </c:pt>
                <c:pt idx="9">
                  <c:v>拉萨市</c:v>
                </c:pt>
                <c:pt idx="10">
                  <c:v>南宁市</c:v>
                </c:pt>
                <c:pt idx="11">
                  <c:v>南京市</c:v>
                </c:pt>
                <c:pt idx="12">
                  <c:v>佛山市</c:v>
                </c:pt>
                <c:pt idx="13">
                  <c:v>厦门市</c:v>
                </c:pt>
                <c:pt idx="14">
                  <c:v>贵阳市</c:v>
                </c:pt>
                <c:pt idx="15">
                  <c:v>成都市</c:v>
                </c:pt>
                <c:pt idx="16">
                  <c:v>广州市</c:v>
                </c:pt>
                <c:pt idx="17">
                  <c:v>银川市</c:v>
                </c:pt>
                <c:pt idx="18">
                  <c:v>温州市</c:v>
                </c:pt>
                <c:pt idx="19">
                  <c:v>昆明市</c:v>
                </c:pt>
                <c:pt idx="20">
                  <c:v>武汉市</c:v>
                </c:pt>
                <c:pt idx="21">
                  <c:v>泉州市</c:v>
                </c:pt>
                <c:pt idx="22">
                  <c:v>无锡市</c:v>
                </c:pt>
                <c:pt idx="23">
                  <c:v>长春市</c:v>
                </c:pt>
                <c:pt idx="24">
                  <c:v>宁波市</c:v>
                </c:pt>
                <c:pt idx="25">
                  <c:v>太原市</c:v>
                </c:pt>
                <c:pt idx="26">
                  <c:v>金华市</c:v>
                </c:pt>
                <c:pt idx="27">
                  <c:v>哈尔滨市</c:v>
                </c:pt>
                <c:pt idx="28">
                  <c:v>东莞市</c:v>
                </c:pt>
                <c:pt idx="29">
                  <c:v>徐州市</c:v>
                </c:pt>
                <c:pt idx="30">
                  <c:v>沈阳市</c:v>
                </c:pt>
                <c:pt idx="31">
                  <c:v>临沂市</c:v>
                </c:pt>
                <c:pt idx="32">
                  <c:v>济南市</c:v>
                </c:pt>
                <c:pt idx="33">
                  <c:v>南昌市</c:v>
                </c:pt>
                <c:pt idx="34">
                  <c:v>西宁市</c:v>
                </c:pt>
                <c:pt idx="35">
                  <c:v>上海市</c:v>
                </c:pt>
                <c:pt idx="36">
                  <c:v>南通市</c:v>
                </c:pt>
                <c:pt idx="37">
                  <c:v>石家庄市</c:v>
                </c:pt>
                <c:pt idx="38">
                  <c:v>福州市</c:v>
                </c:pt>
                <c:pt idx="39">
                  <c:v>大连市</c:v>
                </c:pt>
                <c:pt idx="40">
                  <c:v>西安市</c:v>
                </c:pt>
                <c:pt idx="41">
                  <c:v>长沙市</c:v>
                </c:pt>
                <c:pt idx="42">
                  <c:v>海口市</c:v>
                </c:pt>
                <c:pt idx="43">
                  <c:v>唐山市</c:v>
                </c:pt>
                <c:pt idx="44">
                  <c:v>重庆市</c:v>
                </c:pt>
                <c:pt idx="45">
                  <c:v>郑州市</c:v>
                </c:pt>
                <c:pt idx="46">
                  <c:v>兰州市</c:v>
                </c:pt>
                <c:pt idx="47">
                  <c:v>合肥市</c:v>
                </c:pt>
                <c:pt idx="48">
                  <c:v>乌鲁木齐市</c:v>
                </c:pt>
                <c:pt idx="49">
                  <c:v>呼和浩特市</c:v>
                </c:pt>
              </c:strCache>
            </c:strRef>
          </c:cat>
          <c:val>
            <c:numRef>
              <c:f>Sheet1!$C$2:$C$51</c:f>
              <c:numCache>
                <c:formatCode>0.00_);[Red]\(0.00\)</c:formatCode>
                <c:ptCount val="50"/>
                <c:pt idx="0">
                  <c:v>89.6952377307601</c:v>
                </c:pt>
                <c:pt idx="1">
                  <c:v>87.0054025283011</c:v>
                </c:pt>
                <c:pt idx="2">
                  <c:v>87.336925816864</c:v>
                </c:pt>
                <c:pt idx="3">
                  <c:v>83.4853260334664</c:v>
                </c:pt>
                <c:pt idx="4">
                  <c:v>81.4850002144836</c:v>
                </c:pt>
                <c:pt idx="5">
                  <c:v>80.999491915574</c:v>
                </c:pt>
                <c:pt idx="6">
                  <c:v>82.0767239628111</c:v>
                </c:pt>
                <c:pt idx="7">
                  <c:v>79.3839283241442</c:v>
                </c:pt>
                <c:pt idx="8">
                  <c:v>85.2932415505202</c:v>
                </c:pt>
                <c:pt idx="9">
                  <c:v>80.1780794264092</c:v>
                </c:pt>
                <c:pt idx="10">
                  <c:v>81.1562424622722</c:v>
                </c:pt>
                <c:pt idx="11">
                  <c:v>86.0400150103139</c:v>
                </c:pt>
                <c:pt idx="12">
                  <c:v>81.9311747826324</c:v>
                </c:pt>
                <c:pt idx="13">
                  <c:v>83.163356266636</c:v>
                </c:pt>
                <c:pt idx="14">
                  <c:v>78.9479968485437</c:v>
                </c:pt>
                <c:pt idx="15">
                  <c:v>81.845986949614</c:v>
                </c:pt>
                <c:pt idx="16">
                  <c:v>80.8956778917769</c:v>
                </c:pt>
                <c:pt idx="17">
                  <c:v>80.3007803375334</c:v>
                </c:pt>
                <c:pt idx="18">
                  <c:v>80.9503326974917</c:v>
                </c:pt>
                <c:pt idx="19">
                  <c:v>79.1492804116987</c:v>
                </c:pt>
                <c:pt idx="20">
                  <c:v>80.0851508875523</c:v>
                </c:pt>
                <c:pt idx="21">
                  <c:v>82.1963198837178</c:v>
                </c:pt>
                <c:pt idx="22">
                  <c:v>86.0011020265087</c:v>
                </c:pt>
                <c:pt idx="23">
                  <c:v>79.0089696937729</c:v>
                </c:pt>
                <c:pt idx="24">
                  <c:v>82.4037823585867</c:v>
                </c:pt>
                <c:pt idx="25">
                  <c:v>79.8076317766294</c:v>
                </c:pt>
                <c:pt idx="26">
                  <c:v>81.9048326352117</c:v>
                </c:pt>
                <c:pt idx="27">
                  <c:v>80.2015068201716</c:v>
                </c:pt>
                <c:pt idx="28">
                  <c:v>79.3068593026456</c:v>
                </c:pt>
                <c:pt idx="29">
                  <c:v>80.4307879837591</c:v>
                </c:pt>
                <c:pt idx="30">
                  <c:v>80.7825501894474</c:v>
                </c:pt>
                <c:pt idx="31">
                  <c:v>80.7455846691546</c:v>
                </c:pt>
                <c:pt idx="32">
                  <c:v>80.7801120062869</c:v>
                </c:pt>
                <c:pt idx="33">
                  <c:v>79.0759083749864</c:v>
                </c:pt>
                <c:pt idx="34">
                  <c:v>80.0659151622891</c:v>
                </c:pt>
                <c:pt idx="35">
                  <c:v>84.574184321893</c:v>
                </c:pt>
                <c:pt idx="36">
                  <c:v>81.2966751008054</c:v>
                </c:pt>
                <c:pt idx="37">
                  <c:v>79.9247730766015</c:v>
                </c:pt>
                <c:pt idx="38">
                  <c:v>79.3565077513349</c:v>
                </c:pt>
                <c:pt idx="39">
                  <c:v>78.7357443884146</c:v>
                </c:pt>
                <c:pt idx="40">
                  <c:v>76.7299405683995</c:v>
                </c:pt>
                <c:pt idx="41">
                  <c:v>78.8268631076486</c:v>
                </c:pt>
                <c:pt idx="42">
                  <c:v>76.8016314809368</c:v>
                </c:pt>
                <c:pt idx="43">
                  <c:v>78.1234649106335</c:v>
                </c:pt>
                <c:pt idx="44">
                  <c:v>78.7939757098617</c:v>
                </c:pt>
                <c:pt idx="45">
                  <c:v>79.264422334368</c:v>
                </c:pt>
                <c:pt idx="46">
                  <c:v>78.0289099458702</c:v>
                </c:pt>
                <c:pt idx="47">
                  <c:v>78.7557494130562</c:v>
                </c:pt>
                <c:pt idx="48">
                  <c:v>78.213614720549</c:v>
                </c:pt>
                <c:pt idx="49">
                  <c:v>77.5548321046698</c:v>
                </c:pt>
              </c:numCache>
            </c:numRef>
          </c:val>
          <c:smooth val="1"/>
        </c:ser>
        <c:ser>
          <c:idx val="2"/>
          <c:order val="2"/>
          <c:tx>
            <c:strRef>
              <c:f>Sheet1!$D$1</c:f>
              <c:strCache>
                <c:ptCount val="1"/>
                <c:pt idx="0">
                  <c:v>2020</c:v>
                </c:pt>
              </c:strCache>
            </c:strRef>
          </c:tx>
          <c:spPr>
            <a:ln w="28575" cap="rnd">
              <a:solidFill>
                <a:schemeClr val="accent1">
                  <a:lumMod val="60000"/>
                  <a:lumOff val="40000"/>
                </a:schemeClr>
              </a:solidFill>
              <a:round/>
            </a:ln>
            <a:effectLst/>
          </c:spPr>
          <c:marker>
            <c:symbol val="none"/>
          </c:marker>
          <c:dLbls>
            <c:delete val="1"/>
          </c:dLbls>
          <c:cat>
            <c:strRef>
              <c:f>Sheet1!$A$2:$A$51</c:f>
              <c:strCache>
                <c:ptCount val="50"/>
                <c:pt idx="0">
                  <c:v>苏州市</c:v>
                </c:pt>
                <c:pt idx="1">
                  <c:v>青岛市</c:v>
                </c:pt>
                <c:pt idx="2">
                  <c:v>杭州市</c:v>
                </c:pt>
                <c:pt idx="3">
                  <c:v>北京市</c:v>
                </c:pt>
                <c:pt idx="4">
                  <c:v>天津市</c:v>
                </c:pt>
                <c:pt idx="5">
                  <c:v>深圳市</c:v>
                </c:pt>
                <c:pt idx="6">
                  <c:v>潍坊市</c:v>
                </c:pt>
                <c:pt idx="7">
                  <c:v>台州市</c:v>
                </c:pt>
                <c:pt idx="8">
                  <c:v>烟台市</c:v>
                </c:pt>
                <c:pt idx="9">
                  <c:v>拉萨市</c:v>
                </c:pt>
                <c:pt idx="10">
                  <c:v>南宁市</c:v>
                </c:pt>
                <c:pt idx="11">
                  <c:v>南京市</c:v>
                </c:pt>
                <c:pt idx="12">
                  <c:v>佛山市</c:v>
                </c:pt>
                <c:pt idx="13">
                  <c:v>厦门市</c:v>
                </c:pt>
                <c:pt idx="14">
                  <c:v>贵阳市</c:v>
                </c:pt>
                <c:pt idx="15">
                  <c:v>成都市</c:v>
                </c:pt>
                <c:pt idx="16">
                  <c:v>广州市</c:v>
                </c:pt>
                <c:pt idx="17">
                  <c:v>银川市</c:v>
                </c:pt>
                <c:pt idx="18">
                  <c:v>温州市</c:v>
                </c:pt>
                <c:pt idx="19">
                  <c:v>昆明市</c:v>
                </c:pt>
                <c:pt idx="20">
                  <c:v>武汉市</c:v>
                </c:pt>
                <c:pt idx="21">
                  <c:v>泉州市</c:v>
                </c:pt>
                <c:pt idx="22">
                  <c:v>无锡市</c:v>
                </c:pt>
                <c:pt idx="23">
                  <c:v>长春市</c:v>
                </c:pt>
                <c:pt idx="24">
                  <c:v>宁波市</c:v>
                </c:pt>
                <c:pt idx="25">
                  <c:v>太原市</c:v>
                </c:pt>
                <c:pt idx="26">
                  <c:v>金华市</c:v>
                </c:pt>
                <c:pt idx="27">
                  <c:v>哈尔滨市</c:v>
                </c:pt>
                <c:pt idx="28">
                  <c:v>东莞市</c:v>
                </c:pt>
                <c:pt idx="29">
                  <c:v>徐州市</c:v>
                </c:pt>
                <c:pt idx="30">
                  <c:v>沈阳市</c:v>
                </c:pt>
                <c:pt idx="31">
                  <c:v>临沂市</c:v>
                </c:pt>
                <c:pt idx="32">
                  <c:v>济南市</c:v>
                </c:pt>
                <c:pt idx="33">
                  <c:v>南昌市</c:v>
                </c:pt>
                <c:pt idx="34">
                  <c:v>西宁市</c:v>
                </c:pt>
                <c:pt idx="35">
                  <c:v>上海市</c:v>
                </c:pt>
                <c:pt idx="36">
                  <c:v>南通市</c:v>
                </c:pt>
                <c:pt idx="37">
                  <c:v>石家庄市</c:v>
                </c:pt>
                <c:pt idx="38">
                  <c:v>福州市</c:v>
                </c:pt>
                <c:pt idx="39">
                  <c:v>大连市</c:v>
                </c:pt>
                <c:pt idx="40">
                  <c:v>西安市</c:v>
                </c:pt>
                <c:pt idx="41">
                  <c:v>长沙市</c:v>
                </c:pt>
                <c:pt idx="42">
                  <c:v>海口市</c:v>
                </c:pt>
                <c:pt idx="43">
                  <c:v>唐山市</c:v>
                </c:pt>
                <c:pt idx="44">
                  <c:v>重庆市</c:v>
                </c:pt>
                <c:pt idx="45">
                  <c:v>郑州市</c:v>
                </c:pt>
                <c:pt idx="46">
                  <c:v>兰州市</c:v>
                </c:pt>
                <c:pt idx="47">
                  <c:v>合肥市</c:v>
                </c:pt>
                <c:pt idx="48">
                  <c:v>乌鲁木齐市</c:v>
                </c:pt>
                <c:pt idx="49">
                  <c:v>呼和浩特市</c:v>
                </c:pt>
              </c:strCache>
            </c:strRef>
          </c:cat>
          <c:val>
            <c:numRef>
              <c:f>Sheet1!$D$2:$D$51</c:f>
              <c:numCache>
                <c:formatCode>0.00_);[Red]\(0.00\)</c:formatCode>
                <c:ptCount val="50"/>
                <c:pt idx="0">
                  <c:v>83.3492806042536</c:v>
                </c:pt>
                <c:pt idx="1">
                  <c:v>84.1736522735239</c:v>
                </c:pt>
                <c:pt idx="2">
                  <c:v>86.668261737687</c:v>
                </c:pt>
                <c:pt idx="3">
                  <c:v>82.6690731321377</c:v>
                </c:pt>
                <c:pt idx="4">
                  <c:v>81.284315462638</c:v>
                </c:pt>
                <c:pt idx="5">
                  <c:v>78.7713105677807</c:v>
                </c:pt>
                <c:pt idx="6">
                  <c:v>81.3480160424719</c:v>
                </c:pt>
                <c:pt idx="7">
                  <c:v>74.9038335071118</c:v>
                </c:pt>
                <c:pt idx="8">
                  <c:v>83.1115886218448</c:v>
                </c:pt>
                <c:pt idx="9">
                  <c:v>81.1926517992098</c:v>
                </c:pt>
                <c:pt idx="10">
                  <c:v>82.651781497108</c:v>
                </c:pt>
                <c:pt idx="11">
                  <c:v>86.0823220811015</c:v>
                </c:pt>
                <c:pt idx="12">
                  <c:v>80.7748026810406</c:v>
                </c:pt>
                <c:pt idx="13">
                  <c:v>84.2009349724437</c:v>
                </c:pt>
                <c:pt idx="14">
                  <c:v>69.4795930426825</c:v>
                </c:pt>
                <c:pt idx="15">
                  <c:v>82.203432436222</c:v>
                </c:pt>
                <c:pt idx="16">
                  <c:v>77.4316810947789</c:v>
                </c:pt>
                <c:pt idx="17">
                  <c:v>81.1447313279877</c:v>
                </c:pt>
                <c:pt idx="18">
                  <c:v>82.2677252514314</c:v>
                </c:pt>
                <c:pt idx="19">
                  <c:v>69.8736951636751</c:v>
                </c:pt>
                <c:pt idx="20">
                  <c:v>77.9340542007712</c:v>
                </c:pt>
                <c:pt idx="21">
                  <c:v>82.1849692288869</c:v>
                </c:pt>
                <c:pt idx="22">
                  <c:v>82.8598753094545</c:v>
                </c:pt>
                <c:pt idx="23">
                  <c:v>73.6705712395464</c:v>
                </c:pt>
                <c:pt idx="24">
                  <c:v>82.4945068794463</c:v>
                </c:pt>
                <c:pt idx="25">
                  <c:v>78.6152744269483</c:v>
                </c:pt>
                <c:pt idx="26">
                  <c:v>82.4743456326488</c:v>
                </c:pt>
                <c:pt idx="27">
                  <c:v>77.5385322706845</c:v>
                </c:pt>
                <c:pt idx="28">
                  <c:v>76.2032175164967</c:v>
                </c:pt>
                <c:pt idx="29">
                  <c:v>78.073329580217</c:v>
                </c:pt>
                <c:pt idx="30">
                  <c:v>82.5115644352462</c:v>
                </c:pt>
                <c:pt idx="31">
                  <c:v>81.0453394670105</c:v>
                </c:pt>
                <c:pt idx="32">
                  <c:v>82.7666817945674</c:v>
                </c:pt>
                <c:pt idx="33">
                  <c:v>80.2265908350293</c:v>
                </c:pt>
                <c:pt idx="34">
                  <c:v>79.4658609313013</c:v>
                </c:pt>
                <c:pt idx="35">
                  <c:v>83.6503452084643</c:v>
                </c:pt>
                <c:pt idx="36">
                  <c:v>82.0153417536797</c:v>
                </c:pt>
                <c:pt idx="37">
                  <c:v>79.2007445205692</c:v>
                </c:pt>
                <c:pt idx="38">
                  <c:v>76.4148859555428</c:v>
                </c:pt>
                <c:pt idx="39">
                  <c:v>75.4891145751673</c:v>
                </c:pt>
                <c:pt idx="40">
                  <c:v>76.7858037039556</c:v>
                </c:pt>
                <c:pt idx="41">
                  <c:v>76.4322810334317</c:v>
                </c:pt>
                <c:pt idx="42">
                  <c:v>79.8958819297553</c:v>
                </c:pt>
                <c:pt idx="43">
                  <c:v>73.5359951351368</c:v>
                </c:pt>
                <c:pt idx="44">
                  <c:v>77.9171631377445</c:v>
                </c:pt>
                <c:pt idx="45">
                  <c:v>76.852340368672</c:v>
                </c:pt>
                <c:pt idx="46">
                  <c:v>74.4724465362187</c:v>
                </c:pt>
                <c:pt idx="47">
                  <c:v>73.125839847068</c:v>
                </c:pt>
                <c:pt idx="48">
                  <c:v>79.822819355997</c:v>
                </c:pt>
                <c:pt idx="49">
                  <c:v>74.3896580324985</c:v>
                </c:pt>
              </c:numCache>
            </c:numRef>
          </c:val>
          <c:smooth val="1"/>
        </c:ser>
        <c:ser>
          <c:idx val="3"/>
          <c:order val="3"/>
          <c:tx>
            <c:strRef>
              <c:f>Sheet1!$E$1</c:f>
              <c:strCache>
                <c:ptCount val="1"/>
                <c:pt idx="0">
                  <c:v>2019</c:v>
                </c:pt>
              </c:strCache>
            </c:strRef>
          </c:tx>
          <c:spPr>
            <a:ln w="28575" cap="rnd">
              <a:solidFill>
                <a:schemeClr val="accent1">
                  <a:lumMod val="40000"/>
                  <a:lumOff val="60000"/>
                </a:schemeClr>
              </a:solidFill>
              <a:round/>
            </a:ln>
            <a:effectLst/>
          </c:spPr>
          <c:marker>
            <c:symbol val="none"/>
          </c:marker>
          <c:dLbls>
            <c:delete val="1"/>
          </c:dLbls>
          <c:cat>
            <c:strRef>
              <c:f>Sheet1!$A$2:$A$51</c:f>
              <c:strCache>
                <c:ptCount val="50"/>
                <c:pt idx="0">
                  <c:v>苏州市</c:v>
                </c:pt>
                <c:pt idx="1">
                  <c:v>青岛市</c:v>
                </c:pt>
                <c:pt idx="2">
                  <c:v>杭州市</c:v>
                </c:pt>
                <c:pt idx="3">
                  <c:v>北京市</c:v>
                </c:pt>
                <c:pt idx="4">
                  <c:v>天津市</c:v>
                </c:pt>
                <c:pt idx="5">
                  <c:v>深圳市</c:v>
                </c:pt>
                <c:pt idx="6">
                  <c:v>潍坊市</c:v>
                </c:pt>
                <c:pt idx="7">
                  <c:v>台州市</c:v>
                </c:pt>
                <c:pt idx="8">
                  <c:v>烟台市</c:v>
                </c:pt>
                <c:pt idx="9">
                  <c:v>拉萨市</c:v>
                </c:pt>
                <c:pt idx="10">
                  <c:v>南宁市</c:v>
                </c:pt>
                <c:pt idx="11">
                  <c:v>南京市</c:v>
                </c:pt>
                <c:pt idx="12">
                  <c:v>佛山市</c:v>
                </c:pt>
                <c:pt idx="13">
                  <c:v>厦门市</c:v>
                </c:pt>
                <c:pt idx="14">
                  <c:v>贵阳市</c:v>
                </c:pt>
                <c:pt idx="15">
                  <c:v>成都市</c:v>
                </c:pt>
                <c:pt idx="16">
                  <c:v>广州市</c:v>
                </c:pt>
                <c:pt idx="17">
                  <c:v>银川市</c:v>
                </c:pt>
                <c:pt idx="18">
                  <c:v>温州市</c:v>
                </c:pt>
                <c:pt idx="19">
                  <c:v>昆明市</c:v>
                </c:pt>
                <c:pt idx="20">
                  <c:v>武汉市</c:v>
                </c:pt>
                <c:pt idx="21">
                  <c:v>泉州市</c:v>
                </c:pt>
                <c:pt idx="22">
                  <c:v>无锡市</c:v>
                </c:pt>
                <c:pt idx="23">
                  <c:v>长春市</c:v>
                </c:pt>
                <c:pt idx="24">
                  <c:v>宁波市</c:v>
                </c:pt>
                <c:pt idx="25">
                  <c:v>太原市</c:v>
                </c:pt>
                <c:pt idx="26">
                  <c:v>金华市</c:v>
                </c:pt>
                <c:pt idx="27">
                  <c:v>哈尔滨市</c:v>
                </c:pt>
                <c:pt idx="28">
                  <c:v>东莞市</c:v>
                </c:pt>
                <c:pt idx="29">
                  <c:v>徐州市</c:v>
                </c:pt>
                <c:pt idx="30">
                  <c:v>沈阳市</c:v>
                </c:pt>
                <c:pt idx="31">
                  <c:v>临沂市</c:v>
                </c:pt>
                <c:pt idx="32">
                  <c:v>济南市</c:v>
                </c:pt>
                <c:pt idx="33">
                  <c:v>南昌市</c:v>
                </c:pt>
                <c:pt idx="34">
                  <c:v>西宁市</c:v>
                </c:pt>
                <c:pt idx="35">
                  <c:v>上海市</c:v>
                </c:pt>
                <c:pt idx="36">
                  <c:v>南通市</c:v>
                </c:pt>
                <c:pt idx="37">
                  <c:v>石家庄市</c:v>
                </c:pt>
                <c:pt idx="38">
                  <c:v>福州市</c:v>
                </c:pt>
                <c:pt idx="39">
                  <c:v>大连市</c:v>
                </c:pt>
                <c:pt idx="40">
                  <c:v>西安市</c:v>
                </c:pt>
                <c:pt idx="41">
                  <c:v>长沙市</c:v>
                </c:pt>
                <c:pt idx="42">
                  <c:v>海口市</c:v>
                </c:pt>
                <c:pt idx="43">
                  <c:v>唐山市</c:v>
                </c:pt>
                <c:pt idx="44">
                  <c:v>重庆市</c:v>
                </c:pt>
                <c:pt idx="45">
                  <c:v>郑州市</c:v>
                </c:pt>
                <c:pt idx="46">
                  <c:v>兰州市</c:v>
                </c:pt>
                <c:pt idx="47">
                  <c:v>合肥市</c:v>
                </c:pt>
                <c:pt idx="48">
                  <c:v>乌鲁木齐市</c:v>
                </c:pt>
                <c:pt idx="49">
                  <c:v>呼和浩特市</c:v>
                </c:pt>
              </c:strCache>
            </c:strRef>
          </c:cat>
          <c:val>
            <c:numRef>
              <c:f>Sheet1!$E$2:$E$51</c:f>
              <c:numCache>
                <c:formatCode>0.00_);[Red]\(0.00\)</c:formatCode>
                <c:ptCount val="50"/>
                <c:pt idx="0">
                  <c:v>74.84</c:v>
                </c:pt>
                <c:pt idx="1">
                  <c:v>81.49</c:v>
                </c:pt>
                <c:pt idx="2">
                  <c:v>82.33</c:v>
                </c:pt>
                <c:pt idx="3">
                  <c:v>78.15</c:v>
                </c:pt>
                <c:pt idx="4">
                  <c:v>75.01</c:v>
                </c:pt>
                <c:pt idx="5">
                  <c:v>75.86</c:v>
                </c:pt>
                <c:pt idx="6">
                  <c:v>81.16</c:v>
                </c:pt>
                <c:pt idx="7">
                  <c:v>74.6</c:v>
                </c:pt>
                <c:pt idx="8">
                  <c:v>77.73</c:v>
                </c:pt>
                <c:pt idx="9">
                  <c:v>72.42</c:v>
                </c:pt>
                <c:pt idx="10">
                  <c:v>78.08</c:v>
                </c:pt>
                <c:pt idx="11">
                  <c:v>78.77</c:v>
                </c:pt>
                <c:pt idx="12">
                  <c:v>72.57</c:v>
                </c:pt>
                <c:pt idx="13">
                  <c:v>81.48</c:v>
                </c:pt>
                <c:pt idx="14">
                  <c:v>68.15</c:v>
                </c:pt>
                <c:pt idx="15">
                  <c:v>77.74</c:v>
                </c:pt>
                <c:pt idx="16">
                  <c:v>78.89</c:v>
                </c:pt>
                <c:pt idx="17">
                  <c:v>77.3</c:v>
                </c:pt>
                <c:pt idx="18">
                  <c:v>77.81</c:v>
                </c:pt>
                <c:pt idx="19">
                  <c:v>69.92</c:v>
                </c:pt>
                <c:pt idx="20">
                  <c:v>73.4</c:v>
                </c:pt>
                <c:pt idx="21">
                  <c:v>75.97</c:v>
                </c:pt>
                <c:pt idx="22">
                  <c:v>75.99</c:v>
                </c:pt>
                <c:pt idx="23">
                  <c:v>72.24</c:v>
                </c:pt>
                <c:pt idx="24">
                  <c:v>75.05</c:v>
                </c:pt>
                <c:pt idx="25">
                  <c:v>72.51</c:v>
                </c:pt>
                <c:pt idx="26">
                  <c:v>79.01</c:v>
                </c:pt>
                <c:pt idx="27">
                  <c:v>73.99</c:v>
                </c:pt>
                <c:pt idx="28">
                  <c:v>72.19</c:v>
                </c:pt>
                <c:pt idx="29">
                  <c:v>79.2</c:v>
                </c:pt>
                <c:pt idx="30">
                  <c:v>79.47</c:v>
                </c:pt>
                <c:pt idx="31">
                  <c:v>78.7</c:v>
                </c:pt>
                <c:pt idx="32">
                  <c:v>76.99</c:v>
                </c:pt>
                <c:pt idx="33">
                  <c:v>71.16</c:v>
                </c:pt>
                <c:pt idx="34">
                  <c:v>74.82</c:v>
                </c:pt>
                <c:pt idx="35">
                  <c:v>81.25</c:v>
                </c:pt>
                <c:pt idx="36">
                  <c:v>75.97</c:v>
                </c:pt>
                <c:pt idx="37">
                  <c:v>74.29</c:v>
                </c:pt>
                <c:pt idx="38">
                  <c:v>75.27</c:v>
                </c:pt>
                <c:pt idx="39">
                  <c:v>75.43</c:v>
                </c:pt>
                <c:pt idx="40">
                  <c:v>76</c:v>
                </c:pt>
                <c:pt idx="41">
                  <c:v>72.95</c:v>
                </c:pt>
                <c:pt idx="42">
                  <c:v>71.19</c:v>
                </c:pt>
                <c:pt idx="43">
                  <c:v>76.79</c:v>
                </c:pt>
                <c:pt idx="44">
                  <c:v>76.59</c:v>
                </c:pt>
                <c:pt idx="45">
                  <c:v>72.99</c:v>
                </c:pt>
                <c:pt idx="46">
                  <c:v>74.39</c:v>
                </c:pt>
                <c:pt idx="47">
                  <c:v>72.68</c:v>
                </c:pt>
                <c:pt idx="48">
                  <c:v>78.25</c:v>
                </c:pt>
                <c:pt idx="49">
                  <c:v>76.8</c:v>
                </c:pt>
              </c:numCache>
            </c:numRef>
          </c:val>
          <c:smooth val="1"/>
        </c:ser>
        <c:ser>
          <c:idx val="4"/>
          <c:order val="4"/>
          <c:tx>
            <c:strRef>
              <c:f>Sheet1!$F$1</c:f>
              <c:strCache>
                <c:ptCount val="1"/>
                <c:pt idx="0">
                  <c:v>2018</c:v>
                </c:pt>
              </c:strCache>
            </c:strRef>
          </c:tx>
          <c:spPr>
            <a:ln w="28575" cap="rnd">
              <a:solidFill>
                <a:schemeClr val="accent1">
                  <a:lumMod val="20000"/>
                  <a:lumOff val="80000"/>
                </a:schemeClr>
              </a:solidFill>
              <a:round/>
            </a:ln>
            <a:effectLst/>
          </c:spPr>
          <c:marker>
            <c:symbol val="none"/>
          </c:marker>
          <c:dLbls>
            <c:delete val="1"/>
          </c:dLbls>
          <c:cat>
            <c:strRef>
              <c:f>Sheet1!$A$2:$A$51</c:f>
              <c:strCache>
                <c:ptCount val="50"/>
                <c:pt idx="0">
                  <c:v>苏州市</c:v>
                </c:pt>
                <c:pt idx="1">
                  <c:v>青岛市</c:v>
                </c:pt>
                <c:pt idx="2">
                  <c:v>杭州市</c:v>
                </c:pt>
                <c:pt idx="3">
                  <c:v>北京市</c:v>
                </c:pt>
                <c:pt idx="4">
                  <c:v>天津市</c:v>
                </c:pt>
                <c:pt idx="5">
                  <c:v>深圳市</c:v>
                </c:pt>
                <c:pt idx="6">
                  <c:v>潍坊市</c:v>
                </c:pt>
                <c:pt idx="7">
                  <c:v>台州市</c:v>
                </c:pt>
                <c:pt idx="8">
                  <c:v>烟台市</c:v>
                </c:pt>
                <c:pt idx="9">
                  <c:v>拉萨市</c:v>
                </c:pt>
                <c:pt idx="10">
                  <c:v>南宁市</c:v>
                </c:pt>
                <c:pt idx="11">
                  <c:v>南京市</c:v>
                </c:pt>
                <c:pt idx="12">
                  <c:v>佛山市</c:v>
                </c:pt>
                <c:pt idx="13">
                  <c:v>厦门市</c:v>
                </c:pt>
                <c:pt idx="14">
                  <c:v>贵阳市</c:v>
                </c:pt>
                <c:pt idx="15">
                  <c:v>成都市</c:v>
                </c:pt>
                <c:pt idx="16">
                  <c:v>广州市</c:v>
                </c:pt>
                <c:pt idx="17">
                  <c:v>银川市</c:v>
                </c:pt>
                <c:pt idx="18">
                  <c:v>温州市</c:v>
                </c:pt>
                <c:pt idx="19">
                  <c:v>昆明市</c:v>
                </c:pt>
                <c:pt idx="20">
                  <c:v>武汉市</c:v>
                </c:pt>
                <c:pt idx="21">
                  <c:v>泉州市</c:v>
                </c:pt>
                <c:pt idx="22">
                  <c:v>无锡市</c:v>
                </c:pt>
                <c:pt idx="23">
                  <c:v>长春市</c:v>
                </c:pt>
                <c:pt idx="24">
                  <c:v>宁波市</c:v>
                </c:pt>
                <c:pt idx="25">
                  <c:v>太原市</c:v>
                </c:pt>
                <c:pt idx="26">
                  <c:v>金华市</c:v>
                </c:pt>
                <c:pt idx="27">
                  <c:v>哈尔滨市</c:v>
                </c:pt>
                <c:pt idx="28">
                  <c:v>东莞市</c:v>
                </c:pt>
                <c:pt idx="29">
                  <c:v>徐州市</c:v>
                </c:pt>
                <c:pt idx="30">
                  <c:v>沈阳市</c:v>
                </c:pt>
                <c:pt idx="31">
                  <c:v>临沂市</c:v>
                </c:pt>
                <c:pt idx="32">
                  <c:v>济南市</c:v>
                </c:pt>
                <c:pt idx="33">
                  <c:v>南昌市</c:v>
                </c:pt>
                <c:pt idx="34">
                  <c:v>西宁市</c:v>
                </c:pt>
                <c:pt idx="35">
                  <c:v>上海市</c:v>
                </c:pt>
                <c:pt idx="36">
                  <c:v>南通市</c:v>
                </c:pt>
                <c:pt idx="37">
                  <c:v>石家庄市</c:v>
                </c:pt>
                <c:pt idx="38">
                  <c:v>福州市</c:v>
                </c:pt>
                <c:pt idx="39">
                  <c:v>大连市</c:v>
                </c:pt>
                <c:pt idx="40">
                  <c:v>西安市</c:v>
                </c:pt>
                <c:pt idx="41">
                  <c:v>长沙市</c:v>
                </c:pt>
                <c:pt idx="42">
                  <c:v>海口市</c:v>
                </c:pt>
                <c:pt idx="43">
                  <c:v>唐山市</c:v>
                </c:pt>
                <c:pt idx="44">
                  <c:v>重庆市</c:v>
                </c:pt>
                <c:pt idx="45">
                  <c:v>郑州市</c:v>
                </c:pt>
                <c:pt idx="46">
                  <c:v>兰州市</c:v>
                </c:pt>
                <c:pt idx="47">
                  <c:v>合肥市</c:v>
                </c:pt>
                <c:pt idx="48">
                  <c:v>乌鲁木齐市</c:v>
                </c:pt>
                <c:pt idx="49">
                  <c:v>呼和浩特市</c:v>
                </c:pt>
              </c:strCache>
            </c:strRef>
          </c:cat>
          <c:val>
            <c:numRef>
              <c:f>Sheet1!$F$2:$F$51</c:f>
              <c:numCache>
                <c:formatCode>0.00_);[Red]\(0.00\)</c:formatCode>
                <c:ptCount val="50"/>
                <c:pt idx="0">
                  <c:v>73.4219198083502</c:v>
                </c:pt>
                <c:pt idx="1">
                  <c:v>74.2099224651707</c:v>
                </c:pt>
                <c:pt idx="2">
                  <c:v>72.5747200511156</c:v>
                </c:pt>
                <c:pt idx="3">
                  <c:v>74.6682242356598</c:v>
                </c:pt>
                <c:pt idx="4">
                  <c:v>72.8165373215291</c:v>
                </c:pt>
                <c:pt idx="5">
                  <c:v>73.2969736921086</c:v>
                </c:pt>
                <c:pt idx="6">
                  <c:v>72.9898938458262</c:v>
                </c:pt>
                <c:pt idx="7">
                  <c:v>74.2507686281261</c:v>
                </c:pt>
                <c:pt idx="8">
                  <c:v>71.2632120705937</c:v>
                </c:pt>
                <c:pt idx="9">
                  <c:v>63.1588632042882</c:v>
                </c:pt>
                <c:pt idx="10">
                  <c:v>68.5795294387834</c:v>
                </c:pt>
                <c:pt idx="11">
                  <c:v>74.6330288950627</c:v>
                </c:pt>
                <c:pt idx="12">
                  <c:v>73.1847185350361</c:v>
                </c:pt>
                <c:pt idx="13">
                  <c:v>74.8006811488781</c:v>
                </c:pt>
                <c:pt idx="14">
                  <c:v>72.2459801953449</c:v>
                </c:pt>
                <c:pt idx="15">
                  <c:v>73.8048121595285</c:v>
                </c:pt>
                <c:pt idx="16">
                  <c:v>75.121552143897</c:v>
                </c:pt>
                <c:pt idx="17">
                  <c:v>70.5471515831701</c:v>
                </c:pt>
                <c:pt idx="18">
                  <c:v>73.2572744975094</c:v>
                </c:pt>
                <c:pt idx="19">
                  <c:v>71.3536355038867</c:v>
                </c:pt>
                <c:pt idx="20">
                  <c:v>71.8726450902727</c:v>
                </c:pt>
                <c:pt idx="21">
                  <c:v>73.4753530871847</c:v>
                </c:pt>
                <c:pt idx="22">
                  <c:v>75.8225443492107</c:v>
                </c:pt>
                <c:pt idx="23">
                  <c:v>71.1240445536505</c:v>
                </c:pt>
                <c:pt idx="24">
                  <c:v>74.2942900159736</c:v>
                </c:pt>
                <c:pt idx="25">
                  <c:v>72.3021610234231</c:v>
                </c:pt>
                <c:pt idx="26">
                  <c:v>74.5690421474674</c:v>
                </c:pt>
                <c:pt idx="27">
                  <c:v>72.6541964442327</c:v>
                </c:pt>
                <c:pt idx="28">
                  <c:v>70.8129359220114</c:v>
                </c:pt>
                <c:pt idx="29">
                  <c:v>73.0493106100009</c:v>
                </c:pt>
                <c:pt idx="30">
                  <c:v>72.9044359705723</c:v>
                </c:pt>
                <c:pt idx="31">
                  <c:v>74.2034416794104</c:v>
                </c:pt>
                <c:pt idx="32">
                  <c:v>74.4878579214762</c:v>
                </c:pt>
                <c:pt idx="33">
                  <c:v>69.0169511969713</c:v>
                </c:pt>
                <c:pt idx="34">
                  <c:v>71.9388139722508</c:v>
                </c:pt>
                <c:pt idx="35">
                  <c:v>75.5449302207881</c:v>
                </c:pt>
                <c:pt idx="36">
                  <c:v>75.7925224557136</c:v>
                </c:pt>
                <c:pt idx="37">
                  <c:v>72.1890993310522</c:v>
                </c:pt>
                <c:pt idx="38">
                  <c:v>73.8804106580894</c:v>
                </c:pt>
                <c:pt idx="39">
                  <c:v>73.0464544627371</c:v>
                </c:pt>
                <c:pt idx="40">
                  <c:v>70.9313680163529</c:v>
                </c:pt>
                <c:pt idx="41">
                  <c:v>71.2887280773933</c:v>
                </c:pt>
                <c:pt idx="42">
                  <c:v>65.4587756265304</c:v>
                </c:pt>
                <c:pt idx="43">
                  <c:v>73.4210154039822</c:v>
                </c:pt>
                <c:pt idx="44">
                  <c:v>74.1790371505887</c:v>
                </c:pt>
                <c:pt idx="45">
                  <c:v>71.6456106012526</c:v>
                </c:pt>
                <c:pt idx="46">
                  <c:v>70.8855809986142</c:v>
                </c:pt>
                <c:pt idx="47">
                  <c:v>71.6413306098651</c:v>
                </c:pt>
                <c:pt idx="48">
                  <c:v>72.5059601070852</c:v>
                </c:pt>
                <c:pt idx="49">
                  <c:v>72.273519961129</c:v>
                </c:pt>
              </c:numCache>
            </c:numRef>
          </c:val>
          <c:smooth val="1"/>
        </c:ser>
        <c:ser>
          <c:idx val="5"/>
          <c:order val="5"/>
          <c:tx>
            <c:strRef>
              <c:f>Sheet1!$G$1</c:f>
              <c:strCache>
                <c:ptCount val="1"/>
                <c:pt idx="0">
                  <c:v>2017</c:v>
                </c:pt>
              </c:strCache>
            </c:strRef>
          </c:tx>
          <c:spPr>
            <a:ln w="28575" cap="rnd">
              <a:solidFill>
                <a:schemeClr val="bg1">
                  <a:lumMod val="85000"/>
                </a:schemeClr>
              </a:solidFill>
              <a:round/>
            </a:ln>
            <a:effectLst/>
          </c:spPr>
          <c:marker>
            <c:symbol val="none"/>
          </c:marker>
          <c:dLbls>
            <c:delete val="1"/>
          </c:dLbls>
          <c:cat>
            <c:strRef>
              <c:f>Sheet1!$A$2:$A$51</c:f>
              <c:strCache>
                <c:ptCount val="50"/>
                <c:pt idx="0">
                  <c:v>苏州市</c:v>
                </c:pt>
                <c:pt idx="1">
                  <c:v>青岛市</c:v>
                </c:pt>
                <c:pt idx="2">
                  <c:v>杭州市</c:v>
                </c:pt>
                <c:pt idx="3">
                  <c:v>北京市</c:v>
                </c:pt>
                <c:pt idx="4">
                  <c:v>天津市</c:v>
                </c:pt>
                <c:pt idx="5">
                  <c:v>深圳市</c:v>
                </c:pt>
                <c:pt idx="6">
                  <c:v>潍坊市</c:v>
                </c:pt>
                <c:pt idx="7">
                  <c:v>台州市</c:v>
                </c:pt>
                <c:pt idx="8">
                  <c:v>烟台市</c:v>
                </c:pt>
                <c:pt idx="9">
                  <c:v>拉萨市</c:v>
                </c:pt>
                <c:pt idx="10">
                  <c:v>南宁市</c:v>
                </c:pt>
                <c:pt idx="11">
                  <c:v>南京市</c:v>
                </c:pt>
                <c:pt idx="12">
                  <c:v>佛山市</c:v>
                </c:pt>
                <c:pt idx="13">
                  <c:v>厦门市</c:v>
                </c:pt>
                <c:pt idx="14">
                  <c:v>贵阳市</c:v>
                </c:pt>
                <c:pt idx="15">
                  <c:v>成都市</c:v>
                </c:pt>
                <c:pt idx="16">
                  <c:v>广州市</c:v>
                </c:pt>
                <c:pt idx="17">
                  <c:v>银川市</c:v>
                </c:pt>
                <c:pt idx="18">
                  <c:v>温州市</c:v>
                </c:pt>
                <c:pt idx="19">
                  <c:v>昆明市</c:v>
                </c:pt>
                <c:pt idx="20">
                  <c:v>武汉市</c:v>
                </c:pt>
                <c:pt idx="21">
                  <c:v>泉州市</c:v>
                </c:pt>
                <c:pt idx="22">
                  <c:v>无锡市</c:v>
                </c:pt>
                <c:pt idx="23">
                  <c:v>长春市</c:v>
                </c:pt>
                <c:pt idx="24">
                  <c:v>宁波市</c:v>
                </c:pt>
                <c:pt idx="25">
                  <c:v>太原市</c:v>
                </c:pt>
                <c:pt idx="26">
                  <c:v>金华市</c:v>
                </c:pt>
                <c:pt idx="27">
                  <c:v>哈尔滨市</c:v>
                </c:pt>
                <c:pt idx="28">
                  <c:v>东莞市</c:v>
                </c:pt>
                <c:pt idx="29">
                  <c:v>徐州市</c:v>
                </c:pt>
                <c:pt idx="30">
                  <c:v>沈阳市</c:v>
                </c:pt>
                <c:pt idx="31">
                  <c:v>临沂市</c:v>
                </c:pt>
                <c:pt idx="32">
                  <c:v>济南市</c:v>
                </c:pt>
                <c:pt idx="33">
                  <c:v>南昌市</c:v>
                </c:pt>
                <c:pt idx="34">
                  <c:v>西宁市</c:v>
                </c:pt>
                <c:pt idx="35">
                  <c:v>上海市</c:v>
                </c:pt>
                <c:pt idx="36">
                  <c:v>南通市</c:v>
                </c:pt>
                <c:pt idx="37">
                  <c:v>石家庄市</c:v>
                </c:pt>
                <c:pt idx="38">
                  <c:v>福州市</c:v>
                </c:pt>
                <c:pt idx="39">
                  <c:v>大连市</c:v>
                </c:pt>
                <c:pt idx="40">
                  <c:v>西安市</c:v>
                </c:pt>
                <c:pt idx="41">
                  <c:v>长沙市</c:v>
                </c:pt>
                <c:pt idx="42">
                  <c:v>海口市</c:v>
                </c:pt>
                <c:pt idx="43">
                  <c:v>唐山市</c:v>
                </c:pt>
                <c:pt idx="44">
                  <c:v>重庆市</c:v>
                </c:pt>
                <c:pt idx="45">
                  <c:v>郑州市</c:v>
                </c:pt>
                <c:pt idx="46">
                  <c:v>兰州市</c:v>
                </c:pt>
                <c:pt idx="47">
                  <c:v>合肥市</c:v>
                </c:pt>
                <c:pt idx="48">
                  <c:v>乌鲁木齐市</c:v>
                </c:pt>
                <c:pt idx="49">
                  <c:v>呼和浩特市</c:v>
                </c:pt>
              </c:strCache>
            </c:strRef>
          </c:cat>
          <c:val>
            <c:numRef>
              <c:f>Sheet1!$G$2:$G$51</c:f>
              <c:numCache>
                <c:formatCode>0.00_);[Red]\(0.00\)</c:formatCode>
                <c:ptCount val="50"/>
                <c:pt idx="0">
                  <c:v>71.6314790590156</c:v>
                </c:pt>
                <c:pt idx="1">
                  <c:v>71.7451974921898</c:v>
                </c:pt>
                <c:pt idx="2">
                  <c:v>71.4332657851043</c:v>
                </c:pt>
                <c:pt idx="3">
                  <c:v>71.5245703096111</c:v>
                </c:pt>
                <c:pt idx="4">
                  <c:v>71.5131153001685</c:v>
                </c:pt>
                <c:pt idx="5">
                  <c:v>72.5685906663615</c:v>
                </c:pt>
                <c:pt idx="6">
                  <c:v>72.8218548892296</c:v>
                </c:pt>
                <c:pt idx="7">
                  <c:v>73.6425280663885</c:v>
                </c:pt>
                <c:pt idx="8">
                  <c:v>72.1206823662025</c:v>
                </c:pt>
                <c:pt idx="9">
                  <c:v>60.934124123321</c:v>
                </c:pt>
                <c:pt idx="10">
                  <c:v>67.1528093618208</c:v>
                </c:pt>
                <c:pt idx="11">
                  <c:v>73.4296169966568</c:v>
                </c:pt>
                <c:pt idx="12">
                  <c:v>74.2195047986388</c:v>
                </c:pt>
                <c:pt idx="13">
                  <c:v>72.5565152487825</c:v>
                </c:pt>
                <c:pt idx="14">
                  <c:v>67.0478125962777</c:v>
                </c:pt>
                <c:pt idx="15">
                  <c:v>70.6695216295997</c:v>
                </c:pt>
                <c:pt idx="16">
                  <c:v>70.5420359144075</c:v>
                </c:pt>
                <c:pt idx="17">
                  <c:v>66.9349932544835</c:v>
                </c:pt>
                <c:pt idx="18">
                  <c:v>69.4135522443586</c:v>
                </c:pt>
                <c:pt idx="19">
                  <c:v>66.7341889386655</c:v>
                </c:pt>
                <c:pt idx="20">
                  <c:v>69.4573763295376</c:v>
                </c:pt>
                <c:pt idx="21">
                  <c:v>71.1504843989073</c:v>
                </c:pt>
                <c:pt idx="22">
                  <c:v>77.8776738473521</c:v>
                </c:pt>
                <c:pt idx="23">
                  <c:v>68.2300224803398</c:v>
                </c:pt>
                <c:pt idx="24">
                  <c:v>73.6286528895146</c:v>
                </c:pt>
                <c:pt idx="25">
                  <c:v>68.3551912383988</c:v>
                </c:pt>
                <c:pt idx="26">
                  <c:v>72.7220915935716</c:v>
                </c:pt>
                <c:pt idx="27">
                  <c:v>70.7407713512654</c:v>
                </c:pt>
                <c:pt idx="28">
                  <c:v>70.1339900810407</c:v>
                </c:pt>
                <c:pt idx="29">
                  <c:v>71.3846903136442</c:v>
                </c:pt>
                <c:pt idx="30">
                  <c:v>71.739648358356</c:v>
                </c:pt>
                <c:pt idx="31">
                  <c:v>70.3830962667862</c:v>
                </c:pt>
                <c:pt idx="32">
                  <c:v>71.6871596349465</c:v>
                </c:pt>
                <c:pt idx="33">
                  <c:v>69.2690791130301</c:v>
                </c:pt>
                <c:pt idx="34">
                  <c:v>69.3955591421695</c:v>
                </c:pt>
                <c:pt idx="35">
                  <c:v>74.7561380912766</c:v>
                </c:pt>
                <c:pt idx="36">
                  <c:v>74.2822985289949</c:v>
                </c:pt>
                <c:pt idx="37">
                  <c:v>69.632559210213</c:v>
                </c:pt>
                <c:pt idx="38">
                  <c:v>69.7464410078534</c:v>
                </c:pt>
                <c:pt idx="39">
                  <c:v>70.0576356597948</c:v>
                </c:pt>
                <c:pt idx="40">
                  <c:v>70.0133772637389</c:v>
                </c:pt>
                <c:pt idx="41">
                  <c:v>69.7632165772975</c:v>
                </c:pt>
                <c:pt idx="42">
                  <c:v>68.948789705997</c:v>
                </c:pt>
                <c:pt idx="43">
                  <c:v>69.9939230886659</c:v>
                </c:pt>
                <c:pt idx="44">
                  <c:v>71.9497490659591</c:v>
                </c:pt>
                <c:pt idx="45">
                  <c:v>70.1099812293607</c:v>
                </c:pt>
                <c:pt idx="46">
                  <c:v>69.8138077404247</c:v>
                </c:pt>
                <c:pt idx="47">
                  <c:v>72.3695558621813</c:v>
                </c:pt>
                <c:pt idx="48">
                  <c:v>71.4208550361144</c:v>
                </c:pt>
                <c:pt idx="49">
                  <c:v>70.3402846318311</c:v>
                </c:pt>
              </c:numCache>
            </c:numRef>
          </c:val>
          <c:smooth val="1"/>
        </c:ser>
        <c:dLbls>
          <c:showLegendKey val="0"/>
          <c:showVal val="0"/>
          <c:showCatName val="0"/>
          <c:showSerName val="0"/>
          <c:showPercent val="0"/>
          <c:showBubbleSize val="0"/>
        </c:dLbls>
        <c:marker val="0"/>
        <c:smooth val="1"/>
        <c:axId val="766188246"/>
        <c:axId val="900366245"/>
      </c:lineChart>
      <c:catAx>
        <c:axId val="766188246"/>
        <c:scaling>
          <c:orientation val="minMax"/>
        </c:scaling>
        <c:delete val="0"/>
        <c:axPos val="b"/>
        <c:numFmt formatCode="General" sourceLinked="0"/>
        <c:majorTickMark val="none"/>
        <c:minorTickMark val="none"/>
        <c:tickLblPos val="nextTo"/>
        <c:spPr>
          <a:noFill/>
          <a:ln w="9525" cap="flat" cmpd="sng" algn="ctr">
            <a:solidFill>
              <a:srgbClr val="FF0000"/>
            </a:solidFill>
            <a:round/>
          </a:ln>
          <a:effectLst/>
        </c:spPr>
        <c:txPr>
          <a:bodyPr rot="0" spcFirstLastPara="0" vertOverflow="ellipsis" vert="eaVert" wrap="square" anchor="ctr" anchorCtr="1"/>
          <a:lstStyle/>
          <a:p>
            <a:pPr>
              <a:defRPr lang="zh-CN" sz="500" b="0" i="0" u="none" strike="noStrike" kern="1200" baseline="0">
                <a:solidFill>
                  <a:schemeClr val="tx1">
                    <a:lumMod val="65000"/>
                    <a:lumOff val="35000"/>
                  </a:schemeClr>
                </a:solidFill>
                <a:latin typeface="+mn-lt"/>
                <a:ea typeface="+mn-ea"/>
                <a:cs typeface="+mn-cs"/>
              </a:defRPr>
            </a:pPr>
          </a:p>
        </c:txPr>
        <c:crossAx val="900366245"/>
        <c:crosses val="autoZero"/>
        <c:auto val="1"/>
        <c:lblAlgn val="ctr"/>
        <c:lblOffset val="100"/>
        <c:noMultiLvlLbl val="0"/>
      </c:catAx>
      <c:valAx>
        <c:axId val="900366245"/>
        <c:scaling>
          <c:orientation val="minMax"/>
          <c:max val="95"/>
          <c:min val="55"/>
        </c:scaling>
        <c:delete val="0"/>
        <c:axPos val="l"/>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6188246"/>
        <c:crosses val="autoZero"/>
        <c:crossBetween val="between"/>
      </c:valAx>
      <c:spPr>
        <a:noFill/>
        <a:ln>
          <a:solidFill>
            <a:srgbClr val="FF0000"/>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2022</c:v>
                </c:pt>
              </c:strCache>
            </c:strRef>
          </c:tx>
          <c:spPr>
            <a:ln w="28575" cap="rnd">
              <a:solidFill>
                <a:schemeClr val="accent1">
                  <a:lumMod val="75000"/>
                </a:schemeClr>
              </a:solidFill>
              <a:round/>
            </a:ln>
            <a:effectLst/>
          </c:spPr>
          <c:marker>
            <c:symbol val="none"/>
          </c:marker>
          <c:dLbls>
            <c:delete val="1"/>
          </c:dLbls>
          <c:cat>
            <c:strRef>
              <c:f>Sheet1!$A$2:$A$71</c:f>
              <c:strCache>
                <c:ptCount val="70"/>
                <c:pt idx="0">
                  <c:v>苏州市</c:v>
                </c:pt>
                <c:pt idx="1">
                  <c:v>烟台市</c:v>
                </c:pt>
                <c:pt idx="2">
                  <c:v>杭州市</c:v>
                </c:pt>
                <c:pt idx="3">
                  <c:v>青岛市</c:v>
                </c:pt>
                <c:pt idx="4">
                  <c:v>无锡市</c:v>
                </c:pt>
                <c:pt idx="5">
                  <c:v>襄阳市</c:v>
                </c:pt>
                <c:pt idx="6">
                  <c:v>天津市</c:v>
                </c:pt>
                <c:pt idx="7">
                  <c:v>潍坊市</c:v>
                </c:pt>
                <c:pt idx="8">
                  <c:v>北京市</c:v>
                </c:pt>
                <c:pt idx="9">
                  <c:v>深圳市</c:v>
                </c:pt>
                <c:pt idx="10">
                  <c:v>台州市</c:v>
                </c:pt>
                <c:pt idx="11">
                  <c:v>佛山市</c:v>
                </c:pt>
                <c:pt idx="12">
                  <c:v>南京市</c:v>
                </c:pt>
                <c:pt idx="13">
                  <c:v>南宁市</c:v>
                </c:pt>
                <c:pt idx="14">
                  <c:v>拉萨市</c:v>
                </c:pt>
                <c:pt idx="15">
                  <c:v>天水市</c:v>
                </c:pt>
                <c:pt idx="16">
                  <c:v>厦门市</c:v>
                </c:pt>
                <c:pt idx="17">
                  <c:v>洛阳市</c:v>
                </c:pt>
                <c:pt idx="18">
                  <c:v>宁波市</c:v>
                </c:pt>
                <c:pt idx="19">
                  <c:v>吴忠市</c:v>
                </c:pt>
                <c:pt idx="20">
                  <c:v>岳阳市</c:v>
                </c:pt>
                <c:pt idx="21">
                  <c:v>成都市</c:v>
                </c:pt>
                <c:pt idx="22">
                  <c:v>泉州市</c:v>
                </c:pt>
                <c:pt idx="23">
                  <c:v>武汉市</c:v>
                </c:pt>
                <c:pt idx="24">
                  <c:v>东莞市</c:v>
                </c:pt>
                <c:pt idx="25">
                  <c:v>南昌市</c:v>
                </c:pt>
                <c:pt idx="26">
                  <c:v>海口市</c:v>
                </c:pt>
                <c:pt idx="27">
                  <c:v>日喀则市</c:v>
                </c:pt>
                <c:pt idx="28">
                  <c:v>银川市</c:v>
                </c:pt>
                <c:pt idx="29">
                  <c:v>长春市</c:v>
                </c:pt>
                <c:pt idx="30">
                  <c:v>沈阳市</c:v>
                </c:pt>
                <c:pt idx="31">
                  <c:v>金华市</c:v>
                </c:pt>
                <c:pt idx="32">
                  <c:v>温州市</c:v>
                </c:pt>
                <c:pt idx="33">
                  <c:v>哈尔滨市</c:v>
                </c:pt>
                <c:pt idx="34">
                  <c:v>徐州市</c:v>
                </c:pt>
                <c:pt idx="35">
                  <c:v>广州市</c:v>
                </c:pt>
                <c:pt idx="36">
                  <c:v>上海市</c:v>
                </c:pt>
                <c:pt idx="37">
                  <c:v>贵阳市</c:v>
                </c:pt>
                <c:pt idx="38">
                  <c:v>芜湖市</c:v>
                </c:pt>
                <c:pt idx="39">
                  <c:v>昆明市</c:v>
                </c:pt>
                <c:pt idx="40">
                  <c:v>南通市</c:v>
                </c:pt>
                <c:pt idx="41">
                  <c:v>赣州市</c:v>
                </c:pt>
                <c:pt idx="42">
                  <c:v>济南市</c:v>
                </c:pt>
                <c:pt idx="43">
                  <c:v>西宁市</c:v>
                </c:pt>
                <c:pt idx="44">
                  <c:v>太原市</c:v>
                </c:pt>
                <c:pt idx="45">
                  <c:v>遵义市</c:v>
                </c:pt>
                <c:pt idx="46">
                  <c:v>临沂市</c:v>
                </c:pt>
                <c:pt idx="47">
                  <c:v>西安市</c:v>
                </c:pt>
                <c:pt idx="48">
                  <c:v>大庆市</c:v>
                </c:pt>
                <c:pt idx="49">
                  <c:v>海东市</c:v>
                </c:pt>
                <c:pt idx="50">
                  <c:v>石家庄市</c:v>
                </c:pt>
                <c:pt idx="51">
                  <c:v>哈密市</c:v>
                </c:pt>
                <c:pt idx="52">
                  <c:v>长沙市</c:v>
                </c:pt>
                <c:pt idx="53">
                  <c:v>包头市</c:v>
                </c:pt>
                <c:pt idx="54">
                  <c:v>合肥市</c:v>
                </c:pt>
                <c:pt idx="55">
                  <c:v>大连市</c:v>
                </c:pt>
                <c:pt idx="56">
                  <c:v>福州市</c:v>
                </c:pt>
                <c:pt idx="57">
                  <c:v>三亚市</c:v>
                </c:pt>
                <c:pt idx="58">
                  <c:v>郑州市</c:v>
                </c:pt>
                <c:pt idx="59">
                  <c:v>柳州市</c:v>
                </c:pt>
                <c:pt idx="60">
                  <c:v>重庆市</c:v>
                </c:pt>
                <c:pt idx="61">
                  <c:v>绵阳市</c:v>
                </c:pt>
                <c:pt idx="62">
                  <c:v>宝鸡市</c:v>
                </c:pt>
                <c:pt idx="63">
                  <c:v>兰州市</c:v>
                </c:pt>
                <c:pt idx="64">
                  <c:v>曲靖市</c:v>
                </c:pt>
                <c:pt idx="65">
                  <c:v>唐山市</c:v>
                </c:pt>
                <c:pt idx="66">
                  <c:v>乌鲁木齐市</c:v>
                </c:pt>
                <c:pt idx="67">
                  <c:v>运城市</c:v>
                </c:pt>
                <c:pt idx="68">
                  <c:v>呼和浩特市</c:v>
                </c:pt>
                <c:pt idx="69">
                  <c:v>吉林市</c:v>
                </c:pt>
              </c:strCache>
            </c:strRef>
          </c:cat>
          <c:val>
            <c:numRef>
              <c:f>Sheet1!$B$2:$B$71</c:f>
              <c:numCache>
                <c:formatCode>0.00_);[Red]\(0.00\)</c:formatCode>
                <c:ptCount val="70"/>
                <c:pt idx="0">
                  <c:v>91.80572142</c:v>
                </c:pt>
                <c:pt idx="1">
                  <c:v>89.16924065</c:v>
                </c:pt>
                <c:pt idx="2">
                  <c:v>89.73749807</c:v>
                </c:pt>
                <c:pt idx="3">
                  <c:v>90.39767895</c:v>
                </c:pt>
                <c:pt idx="4">
                  <c:v>88.13469619</c:v>
                </c:pt>
                <c:pt idx="5">
                  <c:v>81.40150302</c:v>
                </c:pt>
                <c:pt idx="6">
                  <c:v>82.74231107</c:v>
                </c:pt>
                <c:pt idx="7">
                  <c:v>82.78409676</c:v>
                </c:pt>
                <c:pt idx="8">
                  <c:v>84.42160068</c:v>
                </c:pt>
                <c:pt idx="9">
                  <c:v>82.85728241</c:v>
                </c:pt>
                <c:pt idx="10">
                  <c:v>80.16200555</c:v>
                </c:pt>
                <c:pt idx="11">
                  <c:v>88.15062242</c:v>
                </c:pt>
                <c:pt idx="12">
                  <c:v>88.85144368</c:v>
                </c:pt>
                <c:pt idx="13">
                  <c:v>82.72865258</c:v>
                </c:pt>
                <c:pt idx="14">
                  <c:v>76.88181732</c:v>
                </c:pt>
                <c:pt idx="15">
                  <c:v>76.3751032</c:v>
                </c:pt>
                <c:pt idx="16">
                  <c:v>84.44872821</c:v>
                </c:pt>
                <c:pt idx="17">
                  <c:v>81.4124198</c:v>
                </c:pt>
                <c:pt idx="18">
                  <c:v>83.02434343</c:v>
                </c:pt>
                <c:pt idx="19">
                  <c:v>80.64172439</c:v>
                </c:pt>
                <c:pt idx="20">
                  <c:v>78.45558566</c:v>
                </c:pt>
                <c:pt idx="21">
                  <c:v>82.10912288</c:v>
                </c:pt>
                <c:pt idx="22">
                  <c:v>81.68599113</c:v>
                </c:pt>
                <c:pt idx="23">
                  <c:v>80.0263495</c:v>
                </c:pt>
                <c:pt idx="24">
                  <c:v>78.89110559</c:v>
                </c:pt>
                <c:pt idx="25">
                  <c:v>76.91639602</c:v>
                </c:pt>
                <c:pt idx="26">
                  <c:v>73.35447277</c:v>
                </c:pt>
                <c:pt idx="27">
                  <c:v>77.82002729</c:v>
                </c:pt>
                <c:pt idx="28">
                  <c:v>78.19198223</c:v>
                </c:pt>
                <c:pt idx="29">
                  <c:v>78.4297558</c:v>
                </c:pt>
                <c:pt idx="30">
                  <c:v>80.01776023</c:v>
                </c:pt>
                <c:pt idx="31">
                  <c:v>81.60607602</c:v>
                </c:pt>
                <c:pt idx="32">
                  <c:v>80.27297192</c:v>
                </c:pt>
                <c:pt idx="33">
                  <c:v>79.59841228</c:v>
                </c:pt>
                <c:pt idx="34">
                  <c:v>79.84978136</c:v>
                </c:pt>
                <c:pt idx="35">
                  <c:v>81.89132335</c:v>
                </c:pt>
                <c:pt idx="36">
                  <c:v>82.12881117</c:v>
                </c:pt>
                <c:pt idx="37">
                  <c:v>78.81883141</c:v>
                </c:pt>
                <c:pt idx="38">
                  <c:v>78.22117129</c:v>
                </c:pt>
                <c:pt idx="39">
                  <c:v>77.37400974</c:v>
                </c:pt>
                <c:pt idx="40">
                  <c:v>81.56722428</c:v>
                </c:pt>
                <c:pt idx="41">
                  <c:v>76.62949937</c:v>
                </c:pt>
                <c:pt idx="42">
                  <c:v>79.66527968</c:v>
                </c:pt>
                <c:pt idx="43">
                  <c:v>77.02174828</c:v>
                </c:pt>
                <c:pt idx="44">
                  <c:v>77.38189192</c:v>
                </c:pt>
                <c:pt idx="45">
                  <c:v>78.35740891</c:v>
                </c:pt>
                <c:pt idx="46">
                  <c:v>78.60305024</c:v>
                </c:pt>
                <c:pt idx="47">
                  <c:v>74.63924473</c:v>
                </c:pt>
                <c:pt idx="48">
                  <c:v>76.23956511</c:v>
                </c:pt>
                <c:pt idx="49">
                  <c:v>73.82550604</c:v>
                </c:pt>
                <c:pt idx="50">
                  <c:v>76.2546338</c:v>
                </c:pt>
                <c:pt idx="51">
                  <c:v>72.4783003</c:v>
                </c:pt>
                <c:pt idx="52">
                  <c:v>74.17832591</c:v>
                </c:pt>
                <c:pt idx="53">
                  <c:v>76.23774217</c:v>
                </c:pt>
                <c:pt idx="54">
                  <c:v>74.27621645</c:v>
                </c:pt>
                <c:pt idx="55">
                  <c:v>75.46879174</c:v>
                </c:pt>
                <c:pt idx="56">
                  <c:v>75.98569857</c:v>
                </c:pt>
                <c:pt idx="57">
                  <c:v>71.52099233</c:v>
                </c:pt>
                <c:pt idx="58">
                  <c:v>73.39561993</c:v>
                </c:pt>
                <c:pt idx="59">
                  <c:v>72.09781693</c:v>
                </c:pt>
                <c:pt idx="60">
                  <c:v>75.70417454</c:v>
                </c:pt>
                <c:pt idx="61">
                  <c:v>73.34303372</c:v>
                </c:pt>
                <c:pt idx="62">
                  <c:v>71.65825986</c:v>
                </c:pt>
                <c:pt idx="63">
                  <c:v>71.78768957</c:v>
                </c:pt>
                <c:pt idx="64">
                  <c:v>73.49848562</c:v>
                </c:pt>
                <c:pt idx="65">
                  <c:v>73.90121792</c:v>
                </c:pt>
                <c:pt idx="66">
                  <c:v>72.90543818</c:v>
                </c:pt>
                <c:pt idx="67">
                  <c:v>71.96202647</c:v>
                </c:pt>
                <c:pt idx="68">
                  <c:v>71.35446321</c:v>
                </c:pt>
                <c:pt idx="69">
                  <c:v>70.66636086</c:v>
                </c:pt>
              </c:numCache>
            </c:numRef>
          </c:val>
          <c:smooth val="1"/>
        </c:ser>
        <c:ser>
          <c:idx val="1"/>
          <c:order val="1"/>
          <c:tx>
            <c:strRef>
              <c:f>Sheet1!$C$1</c:f>
              <c:strCache>
                <c:ptCount val="1"/>
                <c:pt idx="0">
                  <c:v>2021</c:v>
                </c:pt>
              </c:strCache>
            </c:strRef>
          </c:tx>
          <c:spPr>
            <a:ln w="28575" cap="rnd">
              <a:solidFill>
                <a:schemeClr val="accent1"/>
              </a:solidFill>
              <a:round/>
            </a:ln>
            <a:effectLst/>
          </c:spPr>
          <c:marker>
            <c:symbol val="none"/>
          </c:marker>
          <c:dLbls>
            <c:delete val="1"/>
          </c:dLbls>
          <c:cat>
            <c:strRef>
              <c:f>Sheet1!$A$2:$A$71</c:f>
              <c:strCache>
                <c:ptCount val="70"/>
                <c:pt idx="0">
                  <c:v>苏州市</c:v>
                </c:pt>
                <c:pt idx="1">
                  <c:v>烟台市</c:v>
                </c:pt>
                <c:pt idx="2">
                  <c:v>杭州市</c:v>
                </c:pt>
                <c:pt idx="3">
                  <c:v>青岛市</c:v>
                </c:pt>
                <c:pt idx="4">
                  <c:v>无锡市</c:v>
                </c:pt>
                <c:pt idx="5">
                  <c:v>襄阳市</c:v>
                </c:pt>
                <c:pt idx="6">
                  <c:v>天津市</c:v>
                </c:pt>
                <c:pt idx="7">
                  <c:v>潍坊市</c:v>
                </c:pt>
                <c:pt idx="8">
                  <c:v>北京市</c:v>
                </c:pt>
                <c:pt idx="9">
                  <c:v>深圳市</c:v>
                </c:pt>
                <c:pt idx="10">
                  <c:v>台州市</c:v>
                </c:pt>
                <c:pt idx="11">
                  <c:v>佛山市</c:v>
                </c:pt>
                <c:pt idx="12">
                  <c:v>南京市</c:v>
                </c:pt>
                <c:pt idx="13">
                  <c:v>南宁市</c:v>
                </c:pt>
                <c:pt idx="14">
                  <c:v>拉萨市</c:v>
                </c:pt>
                <c:pt idx="15">
                  <c:v>天水市</c:v>
                </c:pt>
                <c:pt idx="16">
                  <c:v>厦门市</c:v>
                </c:pt>
                <c:pt idx="17">
                  <c:v>洛阳市</c:v>
                </c:pt>
                <c:pt idx="18">
                  <c:v>宁波市</c:v>
                </c:pt>
                <c:pt idx="19">
                  <c:v>吴忠市</c:v>
                </c:pt>
                <c:pt idx="20">
                  <c:v>岳阳市</c:v>
                </c:pt>
                <c:pt idx="21">
                  <c:v>成都市</c:v>
                </c:pt>
                <c:pt idx="22">
                  <c:v>泉州市</c:v>
                </c:pt>
                <c:pt idx="23">
                  <c:v>武汉市</c:v>
                </c:pt>
                <c:pt idx="24">
                  <c:v>东莞市</c:v>
                </c:pt>
                <c:pt idx="25">
                  <c:v>南昌市</c:v>
                </c:pt>
                <c:pt idx="26">
                  <c:v>海口市</c:v>
                </c:pt>
                <c:pt idx="27">
                  <c:v>日喀则市</c:v>
                </c:pt>
                <c:pt idx="28">
                  <c:v>银川市</c:v>
                </c:pt>
                <c:pt idx="29">
                  <c:v>长春市</c:v>
                </c:pt>
                <c:pt idx="30">
                  <c:v>沈阳市</c:v>
                </c:pt>
                <c:pt idx="31">
                  <c:v>金华市</c:v>
                </c:pt>
                <c:pt idx="32">
                  <c:v>温州市</c:v>
                </c:pt>
                <c:pt idx="33">
                  <c:v>哈尔滨市</c:v>
                </c:pt>
                <c:pt idx="34">
                  <c:v>徐州市</c:v>
                </c:pt>
                <c:pt idx="35">
                  <c:v>广州市</c:v>
                </c:pt>
                <c:pt idx="36">
                  <c:v>上海市</c:v>
                </c:pt>
                <c:pt idx="37">
                  <c:v>贵阳市</c:v>
                </c:pt>
                <c:pt idx="38">
                  <c:v>芜湖市</c:v>
                </c:pt>
                <c:pt idx="39">
                  <c:v>昆明市</c:v>
                </c:pt>
                <c:pt idx="40">
                  <c:v>南通市</c:v>
                </c:pt>
                <c:pt idx="41">
                  <c:v>赣州市</c:v>
                </c:pt>
                <c:pt idx="42">
                  <c:v>济南市</c:v>
                </c:pt>
                <c:pt idx="43">
                  <c:v>西宁市</c:v>
                </c:pt>
                <c:pt idx="44">
                  <c:v>太原市</c:v>
                </c:pt>
                <c:pt idx="45">
                  <c:v>遵义市</c:v>
                </c:pt>
                <c:pt idx="46">
                  <c:v>临沂市</c:v>
                </c:pt>
                <c:pt idx="47">
                  <c:v>西安市</c:v>
                </c:pt>
                <c:pt idx="48">
                  <c:v>大庆市</c:v>
                </c:pt>
                <c:pt idx="49">
                  <c:v>海东市</c:v>
                </c:pt>
                <c:pt idx="50">
                  <c:v>石家庄市</c:v>
                </c:pt>
                <c:pt idx="51">
                  <c:v>哈密市</c:v>
                </c:pt>
                <c:pt idx="52">
                  <c:v>长沙市</c:v>
                </c:pt>
                <c:pt idx="53">
                  <c:v>包头市</c:v>
                </c:pt>
                <c:pt idx="54">
                  <c:v>合肥市</c:v>
                </c:pt>
                <c:pt idx="55">
                  <c:v>大连市</c:v>
                </c:pt>
                <c:pt idx="56">
                  <c:v>福州市</c:v>
                </c:pt>
                <c:pt idx="57">
                  <c:v>三亚市</c:v>
                </c:pt>
                <c:pt idx="58">
                  <c:v>郑州市</c:v>
                </c:pt>
                <c:pt idx="59">
                  <c:v>柳州市</c:v>
                </c:pt>
                <c:pt idx="60">
                  <c:v>重庆市</c:v>
                </c:pt>
                <c:pt idx="61">
                  <c:v>绵阳市</c:v>
                </c:pt>
                <c:pt idx="62">
                  <c:v>宝鸡市</c:v>
                </c:pt>
                <c:pt idx="63">
                  <c:v>兰州市</c:v>
                </c:pt>
                <c:pt idx="64">
                  <c:v>曲靖市</c:v>
                </c:pt>
                <c:pt idx="65">
                  <c:v>唐山市</c:v>
                </c:pt>
                <c:pt idx="66">
                  <c:v>乌鲁木齐市</c:v>
                </c:pt>
                <c:pt idx="67">
                  <c:v>运城市</c:v>
                </c:pt>
                <c:pt idx="68">
                  <c:v>呼和浩特市</c:v>
                </c:pt>
                <c:pt idx="69">
                  <c:v>吉林市</c:v>
                </c:pt>
              </c:strCache>
            </c:strRef>
          </c:cat>
          <c:val>
            <c:numRef>
              <c:f>Sheet1!$C$2:$C$71</c:f>
              <c:numCache>
                <c:formatCode>0.00_);[Red]\(0.00\)</c:formatCode>
                <c:ptCount val="70"/>
                <c:pt idx="0">
                  <c:v>89.6952377307601</c:v>
                </c:pt>
                <c:pt idx="1">
                  <c:v>85.2932415505202</c:v>
                </c:pt>
                <c:pt idx="2">
                  <c:v>87.336925816864</c:v>
                </c:pt>
                <c:pt idx="3">
                  <c:v>87.0054025283011</c:v>
                </c:pt>
                <c:pt idx="4">
                  <c:v>86.0011020265087</c:v>
                </c:pt>
                <c:pt idx="5">
                  <c:v>80.7727868615844</c:v>
                </c:pt>
                <c:pt idx="6">
                  <c:v>81.4850002144836</c:v>
                </c:pt>
                <c:pt idx="7">
                  <c:v>82.0767239628111</c:v>
                </c:pt>
                <c:pt idx="8">
                  <c:v>83.4853260334664</c:v>
                </c:pt>
                <c:pt idx="9">
                  <c:v>80.999491915574</c:v>
                </c:pt>
                <c:pt idx="10">
                  <c:v>79.3839283241442</c:v>
                </c:pt>
                <c:pt idx="11">
                  <c:v>81.9311747826324</c:v>
                </c:pt>
                <c:pt idx="12">
                  <c:v>86.0400150103139</c:v>
                </c:pt>
                <c:pt idx="13">
                  <c:v>81.1562424622722</c:v>
                </c:pt>
                <c:pt idx="14">
                  <c:v>80.1780794264092</c:v>
                </c:pt>
                <c:pt idx="15">
                  <c:v>79.4932515674481</c:v>
                </c:pt>
                <c:pt idx="16">
                  <c:v>83.163356266636</c:v>
                </c:pt>
                <c:pt idx="17">
                  <c:v>81.2423339280962</c:v>
                </c:pt>
                <c:pt idx="18">
                  <c:v>82.4037823585867</c:v>
                </c:pt>
                <c:pt idx="19">
                  <c:v>81.3777077945611</c:v>
                </c:pt>
                <c:pt idx="20">
                  <c:v>80.7558205574259</c:v>
                </c:pt>
                <c:pt idx="21">
                  <c:v>81.845986949614</c:v>
                </c:pt>
                <c:pt idx="22">
                  <c:v>82.1963198837178</c:v>
                </c:pt>
                <c:pt idx="23">
                  <c:v>80.0851508875523</c:v>
                </c:pt>
                <c:pt idx="24">
                  <c:v>79.3068593026456</c:v>
                </c:pt>
                <c:pt idx="25">
                  <c:v>79.0759083749864</c:v>
                </c:pt>
                <c:pt idx="26">
                  <c:v>76.8016314809368</c:v>
                </c:pt>
                <c:pt idx="27">
                  <c:v>80.7024865178488</c:v>
                </c:pt>
                <c:pt idx="28">
                  <c:v>80.3007803375334</c:v>
                </c:pt>
                <c:pt idx="29">
                  <c:v>79.0089696937729</c:v>
                </c:pt>
                <c:pt idx="30">
                  <c:v>80.7825501894474</c:v>
                </c:pt>
                <c:pt idx="31">
                  <c:v>81.9048326352117</c:v>
                </c:pt>
                <c:pt idx="32">
                  <c:v>80.9503326974917</c:v>
                </c:pt>
                <c:pt idx="33">
                  <c:v>80.2015068201716</c:v>
                </c:pt>
                <c:pt idx="34">
                  <c:v>80.4307879837591</c:v>
                </c:pt>
                <c:pt idx="35">
                  <c:v>80.8956778917769</c:v>
                </c:pt>
                <c:pt idx="36">
                  <c:v>84.574184321893</c:v>
                </c:pt>
                <c:pt idx="37">
                  <c:v>78.9479968485437</c:v>
                </c:pt>
                <c:pt idx="38">
                  <c:v>80.1519906078951</c:v>
                </c:pt>
                <c:pt idx="39">
                  <c:v>79.1492804116987</c:v>
                </c:pt>
                <c:pt idx="40">
                  <c:v>81.2966751008054</c:v>
                </c:pt>
                <c:pt idx="41">
                  <c:v>79.4637769315239</c:v>
                </c:pt>
                <c:pt idx="42">
                  <c:v>80.7801120062869</c:v>
                </c:pt>
                <c:pt idx="43">
                  <c:v>80.0659151622891</c:v>
                </c:pt>
                <c:pt idx="44">
                  <c:v>79.8076317766294</c:v>
                </c:pt>
                <c:pt idx="45">
                  <c:v>78.8813182789933</c:v>
                </c:pt>
                <c:pt idx="46">
                  <c:v>80.7455846691546</c:v>
                </c:pt>
                <c:pt idx="47">
                  <c:v>76.7299405683995</c:v>
                </c:pt>
                <c:pt idx="48">
                  <c:v>80.46656809363</c:v>
                </c:pt>
                <c:pt idx="49">
                  <c:v>79.3293533333859</c:v>
                </c:pt>
                <c:pt idx="50">
                  <c:v>79.9247730766015</c:v>
                </c:pt>
                <c:pt idx="51">
                  <c:v>79.2491300262924</c:v>
                </c:pt>
                <c:pt idx="52">
                  <c:v>78.8268631076486</c:v>
                </c:pt>
                <c:pt idx="53">
                  <c:v>79.8876666087045</c:v>
                </c:pt>
                <c:pt idx="54">
                  <c:v>78.7557494130562</c:v>
                </c:pt>
                <c:pt idx="55">
                  <c:v>78.7357443884146</c:v>
                </c:pt>
                <c:pt idx="56">
                  <c:v>79.3565077513349</c:v>
                </c:pt>
                <c:pt idx="57">
                  <c:v>77.3775403482279</c:v>
                </c:pt>
                <c:pt idx="58">
                  <c:v>79.264422334368</c:v>
                </c:pt>
                <c:pt idx="59">
                  <c:v>79.663469578546</c:v>
                </c:pt>
                <c:pt idx="60">
                  <c:v>78.7939757098617</c:v>
                </c:pt>
                <c:pt idx="61">
                  <c:v>78.7838933620029</c:v>
                </c:pt>
                <c:pt idx="62">
                  <c:v>77.3941080365267</c:v>
                </c:pt>
                <c:pt idx="63">
                  <c:v>78.0289099458702</c:v>
                </c:pt>
                <c:pt idx="64">
                  <c:v>79.0976901317466</c:v>
                </c:pt>
                <c:pt idx="65">
                  <c:v>78.1234649106335</c:v>
                </c:pt>
                <c:pt idx="66">
                  <c:v>78.213614720549</c:v>
                </c:pt>
                <c:pt idx="67">
                  <c:v>78.4377514513052</c:v>
                </c:pt>
                <c:pt idx="68">
                  <c:v>77.5548321046698</c:v>
                </c:pt>
                <c:pt idx="69">
                  <c:v>79.0932709412258</c:v>
                </c:pt>
              </c:numCache>
            </c:numRef>
          </c:val>
          <c:smooth val="1"/>
        </c:ser>
        <c:ser>
          <c:idx val="2"/>
          <c:order val="2"/>
          <c:tx>
            <c:strRef>
              <c:f>Sheet1!$D$1</c:f>
              <c:strCache>
                <c:ptCount val="1"/>
                <c:pt idx="0">
                  <c:v>2020</c:v>
                </c:pt>
              </c:strCache>
            </c:strRef>
          </c:tx>
          <c:spPr>
            <a:ln w="28575" cap="rnd">
              <a:solidFill>
                <a:schemeClr val="accent1">
                  <a:lumMod val="60000"/>
                  <a:lumOff val="40000"/>
                </a:schemeClr>
              </a:solidFill>
              <a:round/>
            </a:ln>
            <a:effectLst/>
          </c:spPr>
          <c:marker>
            <c:symbol val="none"/>
          </c:marker>
          <c:dLbls>
            <c:delete val="1"/>
          </c:dLbls>
          <c:cat>
            <c:strRef>
              <c:f>Sheet1!$A$2:$A$71</c:f>
              <c:strCache>
                <c:ptCount val="70"/>
                <c:pt idx="0">
                  <c:v>苏州市</c:v>
                </c:pt>
                <c:pt idx="1">
                  <c:v>烟台市</c:v>
                </c:pt>
                <c:pt idx="2">
                  <c:v>杭州市</c:v>
                </c:pt>
                <c:pt idx="3">
                  <c:v>青岛市</c:v>
                </c:pt>
                <c:pt idx="4">
                  <c:v>无锡市</c:v>
                </c:pt>
                <c:pt idx="5">
                  <c:v>襄阳市</c:v>
                </c:pt>
                <c:pt idx="6">
                  <c:v>天津市</c:v>
                </c:pt>
                <c:pt idx="7">
                  <c:v>潍坊市</c:v>
                </c:pt>
                <c:pt idx="8">
                  <c:v>北京市</c:v>
                </c:pt>
                <c:pt idx="9">
                  <c:v>深圳市</c:v>
                </c:pt>
                <c:pt idx="10">
                  <c:v>台州市</c:v>
                </c:pt>
                <c:pt idx="11">
                  <c:v>佛山市</c:v>
                </c:pt>
                <c:pt idx="12">
                  <c:v>南京市</c:v>
                </c:pt>
                <c:pt idx="13">
                  <c:v>南宁市</c:v>
                </c:pt>
                <c:pt idx="14">
                  <c:v>拉萨市</c:v>
                </c:pt>
                <c:pt idx="15">
                  <c:v>天水市</c:v>
                </c:pt>
                <c:pt idx="16">
                  <c:v>厦门市</c:v>
                </c:pt>
                <c:pt idx="17">
                  <c:v>洛阳市</c:v>
                </c:pt>
                <c:pt idx="18">
                  <c:v>宁波市</c:v>
                </c:pt>
                <c:pt idx="19">
                  <c:v>吴忠市</c:v>
                </c:pt>
                <c:pt idx="20">
                  <c:v>岳阳市</c:v>
                </c:pt>
                <c:pt idx="21">
                  <c:v>成都市</c:v>
                </c:pt>
                <c:pt idx="22">
                  <c:v>泉州市</c:v>
                </c:pt>
                <c:pt idx="23">
                  <c:v>武汉市</c:v>
                </c:pt>
                <c:pt idx="24">
                  <c:v>东莞市</c:v>
                </c:pt>
                <c:pt idx="25">
                  <c:v>南昌市</c:v>
                </c:pt>
                <c:pt idx="26">
                  <c:v>海口市</c:v>
                </c:pt>
                <c:pt idx="27">
                  <c:v>日喀则市</c:v>
                </c:pt>
                <c:pt idx="28">
                  <c:v>银川市</c:v>
                </c:pt>
                <c:pt idx="29">
                  <c:v>长春市</c:v>
                </c:pt>
                <c:pt idx="30">
                  <c:v>沈阳市</c:v>
                </c:pt>
                <c:pt idx="31">
                  <c:v>金华市</c:v>
                </c:pt>
                <c:pt idx="32">
                  <c:v>温州市</c:v>
                </c:pt>
                <c:pt idx="33">
                  <c:v>哈尔滨市</c:v>
                </c:pt>
                <c:pt idx="34">
                  <c:v>徐州市</c:v>
                </c:pt>
                <c:pt idx="35">
                  <c:v>广州市</c:v>
                </c:pt>
                <c:pt idx="36">
                  <c:v>上海市</c:v>
                </c:pt>
                <c:pt idx="37">
                  <c:v>贵阳市</c:v>
                </c:pt>
                <c:pt idx="38">
                  <c:v>芜湖市</c:v>
                </c:pt>
                <c:pt idx="39">
                  <c:v>昆明市</c:v>
                </c:pt>
                <c:pt idx="40">
                  <c:v>南通市</c:v>
                </c:pt>
                <c:pt idx="41">
                  <c:v>赣州市</c:v>
                </c:pt>
                <c:pt idx="42">
                  <c:v>济南市</c:v>
                </c:pt>
                <c:pt idx="43">
                  <c:v>西宁市</c:v>
                </c:pt>
                <c:pt idx="44">
                  <c:v>太原市</c:v>
                </c:pt>
                <c:pt idx="45">
                  <c:v>遵义市</c:v>
                </c:pt>
                <c:pt idx="46">
                  <c:v>临沂市</c:v>
                </c:pt>
                <c:pt idx="47">
                  <c:v>西安市</c:v>
                </c:pt>
                <c:pt idx="48">
                  <c:v>大庆市</c:v>
                </c:pt>
                <c:pt idx="49">
                  <c:v>海东市</c:v>
                </c:pt>
                <c:pt idx="50">
                  <c:v>石家庄市</c:v>
                </c:pt>
                <c:pt idx="51">
                  <c:v>哈密市</c:v>
                </c:pt>
                <c:pt idx="52">
                  <c:v>长沙市</c:v>
                </c:pt>
                <c:pt idx="53">
                  <c:v>包头市</c:v>
                </c:pt>
                <c:pt idx="54">
                  <c:v>合肥市</c:v>
                </c:pt>
                <c:pt idx="55">
                  <c:v>大连市</c:v>
                </c:pt>
                <c:pt idx="56">
                  <c:v>福州市</c:v>
                </c:pt>
                <c:pt idx="57">
                  <c:v>三亚市</c:v>
                </c:pt>
                <c:pt idx="58">
                  <c:v>郑州市</c:v>
                </c:pt>
                <c:pt idx="59">
                  <c:v>柳州市</c:v>
                </c:pt>
                <c:pt idx="60">
                  <c:v>重庆市</c:v>
                </c:pt>
                <c:pt idx="61">
                  <c:v>绵阳市</c:v>
                </c:pt>
                <c:pt idx="62">
                  <c:v>宝鸡市</c:v>
                </c:pt>
                <c:pt idx="63">
                  <c:v>兰州市</c:v>
                </c:pt>
                <c:pt idx="64">
                  <c:v>曲靖市</c:v>
                </c:pt>
                <c:pt idx="65">
                  <c:v>唐山市</c:v>
                </c:pt>
                <c:pt idx="66">
                  <c:v>乌鲁木齐市</c:v>
                </c:pt>
                <c:pt idx="67">
                  <c:v>运城市</c:v>
                </c:pt>
                <c:pt idx="68">
                  <c:v>呼和浩特市</c:v>
                </c:pt>
                <c:pt idx="69">
                  <c:v>吉林市</c:v>
                </c:pt>
              </c:strCache>
            </c:strRef>
          </c:cat>
          <c:val>
            <c:numRef>
              <c:f>Sheet1!$D$2:$D$71</c:f>
              <c:numCache>
                <c:formatCode>0.00_);[Red]\(0.00\)</c:formatCode>
                <c:ptCount val="70"/>
                <c:pt idx="0">
                  <c:v>83.3492806042536</c:v>
                </c:pt>
                <c:pt idx="1">
                  <c:v>83.1115886218448</c:v>
                </c:pt>
                <c:pt idx="2">
                  <c:v>86.668261737687</c:v>
                </c:pt>
                <c:pt idx="3">
                  <c:v>84.1736522735239</c:v>
                </c:pt>
                <c:pt idx="4">
                  <c:v>82.8598753094545</c:v>
                </c:pt>
                <c:pt idx="5">
                  <c:v>79.9229064810869</c:v>
                </c:pt>
                <c:pt idx="6">
                  <c:v>81.284315462638</c:v>
                </c:pt>
                <c:pt idx="7">
                  <c:v>81.3480160424719</c:v>
                </c:pt>
                <c:pt idx="8">
                  <c:v>82.6690731321377</c:v>
                </c:pt>
                <c:pt idx="9">
                  <c:v>78.7713105677807</c:v>
                </c:pt>
                <c:pt idx="10">
                  <c:v>74.9038335071118</c:v>
                </c:pt>
                <c:pt idx="11">
                  <c:v>80.7748026810406</c:v>
                </c:pt>
                <c:pt idx="12">
                  <c:v>86.0823220811015</c:v>
                </c:pt>
                <c:pt idx="13">
                  <c:v>82.651781497108</c:v>
                </c:pt>
                <c:pt idx="14">
                  <c:v>81.1926517992098</c:v>
                </c:pt>
                <c:pt idx="15">
                  <c:v>80.1057718733292</c:v>
                </c:pt>
                <c:pt idx="16">
                  <c:v>84.2009349724437</c:v>
                </c:pt>
                <c:pt idx="17">
                  <c:v>81.8417198959959</c:v>
                </c:pt>
                <c:pt idx="18">
                  <c:v>82.4945068794463</c:v>
                </c:pt>
                <c:pt idx="19">
                  <c:v>83.8103762127653</c:v>
                </c:pt>
                <c:pt idx="20">
                  <c:v>79.5035523909654</c:v>
                </c:pt>
                <c:pt idx="21">
                  <c:v>82.203432436222</c:v>
                </c:pt>
                <c:pt idx="22">
                  <c:v>82.1849692288869</c:v>
                </c:pt>
                <c:pt idx="23">
                  <c:v>77.9340542007712</c:v>
                </c:pt>
                <c:pt idx="24">
                  <c:v>76.2032175164967</c:v>
                </c:pt>
                <c:pt idx="25">
                  <c:v>80.2265908350293</c:v>
                </c:pt>
                <c:pt idx="26">
                  <c:v>79.8958819297553</c:v>
                </c:pt>
                <c:pt idx="27">
                  <c:v>82.3092826904606</c:v>
                </c:pt>
                <c:pt idx="28">
                  <c:v>81.1447313279877</c:v>
                </c:pt>
                <c:pt idx="29">
                  <c:v>73.6705712395464</c:v>
                </c:pt>
                <c:pt idx="30">
                  <c:v>82.5115644352462</c:v>
                </c:pt>
                <c:pt idx="31">
                  <c:v>82.4743456326488</c:v>
                </c:pt>
                <c:pt idx="32">
                  <c:v>82.2677252514314</c:v>
                </c:pt>
                <c:pt idx="33">
                  <c:v>77.5385322706845</c:v>
                </c:pt>
                <c:pt idx="34">
                  <c:v>78.073329580217</c:v>
                </c:pt>
                <c:pt idx="35">
                  <c:v>77.4316810947789</c:v>
                </c:pt>
                <c:pt idx="36">
                  <c:v>83.6503452084643</c:v>
                </c:pt>
                <c:pt idx="37">
                  <c:v>69.4795930426825</c:v>
                </c:pt>
                <c:pt idx="38">
                  <c:v>82.4283140758673</c:v>
                </c:pt>
                <c:pt idx="39">
                  <c:v>69.8736951636751</c:v>
                </c:pt>
                <c:pt idx="40">
                  <c:v>82.0153417536797</c:v>
                </c:pt>
                <c:pt idx="41">
                  <c:v>81.0597327234574</c:v>
                </c:pt>
                <c:pt idx="42">
                  <c:v>82.7666817945674</c:v>
                </c:pt>
                <c:pt idx="43">
                  <c:v>79.4658609313013</c:v>
                </c:pt>
                <c:pt idx="44">
                  <c:v>78.6152744269483</c:v>
                </c:pt>
                <c:pt idx="45">
                  <c:v>72.212720352669</c:v>
                </c:pt>
                <c:pt idx="46">
                  <c:v>81.0453394670105</c:v>
                </c:pt>
                <c:pt idx="47">
                  <c:v>76.7858037039556</c:v>
                </c:pt>
                <c:pt idx="48">
                  <c:v>77.8053180097334</c:v>
                </c:pt>
                <c:pt idx="49">
                  <c:v>76.9473954583656</c:v>
                </c:pt>
                <c:pt idx="50">
                  <c:v>79.2007445205692</c:v>
                </c:pt>
                <c:pt idx="51">
                  <c:v>75.619463495554</c:v>
                </c:pt>
                <c:pt idx="52">
                  <c:v>76.4322810334317</c:v>
                </c:pt>
                <c:pt idx="53">
                  <c:v>80.9849997106707</c:v>
                </c:pt>
                <c:pt idx="54">
                  <c:v>73.125839847068</c:v>
                </c:pt>
                <c:pt idx="55">
                  <c:v>75.4891145751673</c:v>
                </c:pt>
                <c:pt idx="56">
                  <c:v>76.4148859555428</c:v>
                </c:pt>
                <c:pt idx="57">
                  <c:v>76.1404313098157</c:v>
                </c:pt>
                <c:pt idx="58">
                  <c:v>76.852340368672</c:v>
                </c:pt>
                <c:pt idx="59">
                  <c:v>80.2138574006017</c:v>
                </c:pt>
                <c:pt idx="60">
                  <c:v>77.9171631377445</c:v>
                </c:pt>
                <c:pt idx="61">
                  <c:v>75.9172555746014</c:v>
                </c:pt>
                <c:pt idx="62">
                  <c:v>75.9256880726737</c:v>
                </c:pt>
                <c:pt idx="63">
                  <c:v>74.4724465362187</c:v>
                </c:pt>
                <c:pt idx="64">
                  <c:v>76.400811239888</c:v>
                </c:pt>
                <c:pt idx="65">
                  <c:v>73.5359951351368</c:v>
                </c:pt>
                <c:pt idx="66">
                  <c:v>79.822819355997</c:v>
                </c:pt>
                <c:pt idx="67">
                  <c:v>76.501820568698</c:v>
                </c:pt>
                <c:pt idx="68">
                  <c:v>74.3896580324985</c:v>
                </c:pt>
                <c:pt idx="69">
                  <c:v>76.7901183725152</c:v>
                </c:pt>
              </c:numCache>
            </c:numRef>
          </c:val>
          <c:smooth val="1"/>
        </c:ser>
        <c:ser>
          <c:idx val="3"/>
          <c:order val="3"/>
          <c:tx>
            <c:strRef>
              <c:f>Sheet1!$E$1</c:f>
              <c:strCache>
                <c:ptCount val="1"/>
                <c:pt idx="0">
                  <c:v>2019</c:v>
                </c:pt>
              </c:strCache>
            </c:strRef>
          </c:tx>
          <c:spPr>
            <a:ln w="28575" cap="rnd">
              <a:solidFill>
                <a:schemeClr val="accent1">
                  <a:lumMod val="40000"/>
                  <a:lumOff val="60000"/>
                </a:schemeClr>
              </a:solidFill>
              <a:round/>
            </a:ln>
            <a:effectLst/>
          </c:spPr>
          <c:marker>
            <c:symbol val="none"/>
          </c:marker>
          <c:dLbls>
            <c:delete val="1"/>
          </c:dLbls>
          <c:cat>
            <c:strRef>
              <c:f>Sheet1!$A$2:$A$71</c:f>
              <c:strCache>
                <c:ptCount val="70"/>
                <c:pt idx="0">
                  <c:v>苏州市</c:v>
                </c:pt>
                <c:pt idx="1">
                  <c:v>烟台市</c:v>
                </c:pt>
                <c:pt idx="2">
                  <c:v>杭州市</c:v>
                </c:pt>
                <c:pt idx="3">
                  <c:v>青岛市</c:v>
                </c:pt>
                <c:pt idx="4">
                  <c:v>无锡市</c:v>
                </c:pt>
                <c:pt idx="5">
                  <c:v>襄阳市</c:v>
                </c:pt>
                <c:pt idx="6">
                  <c:v>天津市</c:v>
                </c:pt>
                <c:pt idx="7">
                  <c:v>潍坊市</c:v>
                </c:pt>
                <c:pt idx="8">
                  <c:v>北京市</c:v>
                </c:pt>
                <c:pt idx="9">
                  <c:v>深圳市</c:v>
                </c:pt>
                <c:pt idx="10">
                  <c:v>台州市</c:v>
                </c:pt>
                <c:pt idx="11">
                  <c:v>佛山市</c:v>
                </c:pt>
                <c:pt idx="12">
                  <c:v>南京市</c:v>
                </c:pt>
                <c:pt idx="13">
                  <c:v>南宁市</c:v>
                </c:pt>
                <c:pt idx="14">
                  <c:v>拉萨市</c:v>
                </c:pt>
                <c:pt idx="15">
                  <c:v>天水市</c:v>
                </c:pt>
                <c:pt idx="16">
                  <c:v>厦门市</c:v>
                </c:pt>
                <c:pt idx="17">
                  <c:v>洛阳市</c:v>
                </c:pt>
                <c:pt idx="18">
                  <c:v>宁波市</c:v>
                </c:pt>
                <c:pt idx="19">
                  <c:v>吴忠市</c:v>
                </c:pt>
                <c:pt idx="20">
                  <c:v>岳阳市</c:v>
                </c:pt>
                <c:pt idx="21">
                  <c:v>成都市</c:v>
                </c:pt>
                <c:pt idx="22">
                  <c:v>泉州市</c:v>
                </c:pt>
                <c:pt idx="23">
                  <c:v>武汉市</c:v>
                </c:pt>
                <c:pt idx="24">
                  <c:v>东莞市</c:v>
                </c:pt>
                <c:pt idx="25">
                  <c:v>南昌市</c:v>
                </c:pt>
                <c:pt idx="26">
                  <c:v>海口市</c:v>
                </c:pt>
                <c:pt idx="27">
                  <c:v>日喀则市</c:v>
                </c:pt>
                <c:pt idx="28">
                  <c:v>银川市</c:v>
                </c:pt>
                <c:pt idx="29">
                  <c:v>长春市</c:v>
                </c:pt>
                <c:pt idx="30">
                  <c:v>沈阳市</c:v>
                </c:pt>
                <c:pt idx="31">
                  <c:v>金华市</c:v>
                </c:pt>
                <c:pt idx="32">
                  <c:v>温州市</c:v>
                </c:pt>
                <c:pt idx="33">
                  <c:v>哈尔滨市</c:v>
                </c:pt>
                <c:pt idx="34">
                  <c:v>徐州市</c:v>
                </c:pt>
                <c:pt idx="35">
                  <c:v>广州市</c:v>
                </c:pt>
                <c:pt idx="36">
                  <c:v>上海市</c:v>
                </c:pt>
                <c:pt idx="37">
                  <c:v>贵阳市</c:v>
                </c:pt>
                <c:pt idx="38">
                  <c:v>芜湖市</c:v>
                </c:pt>
                <c:pt idx="39">
                  <c:v>昆明市</c:v>
                </c:pt>
                <c:pt idx="40">
                  <c:v>南通市</c:v>
                </c:pt>
                <c:pt idx="41">
                  <c:v>赣州市</c:v>
                </c:pt>
                <c:pt idx="42">
                  <c:v>济南市</c:v>
                </c:pt>
                <c:pt idx="43">
                  <c:v>西宁市</c:v>
                </c:pt>
                <c:pt idx="44">
                  <c:v>太原市</c:v>
                </c:pt>
                <c:pt idx="45">
                  <c:v>遵义市</c:v>
                </c:pt>
                <c:pt idx="46">
                  <c:v>临沂市</c:v>
                </c:pt>
                <c:pt idx="47">
                  <c:v>西安市</c:v>
                </c:pt>
                <c:pt idx="48">
                  <c:v>大庆市</c:v>
                </c:pt>
                <c:pt idx="49">
                  <c:v>海东市</c:v>
                </c:pt>
                <c:pt idx="50">
                  <c:v>石家庄市</c:v>
                </c:pt>
                <c:pt idx="51">
                  <c:v>哈密市</c:v>
                </c:pt>
                <c:pt idx="52">
                  <c:v>长沙市</c:v>
                </c:pt>
                <c:pt idx="53">
                  <c:v>包头市</c:v>
                </c:pt>
                <c:pt idx="54">
                  <c:v>合肥市</c:v>
                </c:pt>
                <c:pt idx="55">
                  <c:v>大连市</c:v>
                </c:pt>
                <c:pt idx="56">
                  <c:v>福州市</c:v>
                </c:pt>
                <c:pt idx="57">
                  <c:v>三亚市</c:v>
                </c:pt>
                <c:pt idx="58">
                  <c:v>郑州市</c:v>
                </c:pt>
                <c:pt idx="59">
                  <c:v>柳州市</c:v>
                </c:pt>
                <c:pt idx="60">
                  <c:v>重庆市</c:v>
                </c:pt>
                <c:pt idx="61">
                  <c:v>绵阳市</c:v>
                </c:pt>
                <c:pt idx="62">
                  <c:v>宝鸡市</c:v>
                </c:pt>
                <c:pt idx="63">
                  <c:v>兰州市</c:v>
                </c:pt>
                <c:pt idx="64">
                  <c:v>曲靖市</c:v>
                </c:pt>
                <c:pt idx="65">
                  <c:v>唐山市</c:v>
                </c:pt>
                <c:pt idx="66">
                  <c:v>乌鲁木齐市</c:v>
                </c:pt>
                <c:pt idx="67">
                  <c:v>运城市</c:v>
                </c:pt>
                <c:pt idx="68">
                  <c:v>呼和浩特市</c:v>
                </c:pt>
                <c:pt idx="69">
                  <c:v>吉林市</c:v>
                </c:pt>
              </c:strCache>
            </c:strRef>
          </c:cat>
          <c:val>
            <c:numRef>
              <c:f>Sheet1!$E$2:$E$71</c:f>
              <c:numCache>
                <c:formatCode>0.00_);[Red]\(0.00\)</c:formatCode>
                <c:ptCount val="70"/>
                <c:pt idx="0">
                  <c:v>74.84</c:v>
                </c:pt>
                <c:pt idx="1">
                  <c:v>77.73</c:v>
                </c:pt>
                <c:pt idx="2">
                  <c:v>82.33</c:v>
                </c:pt>
                <c:pt idx="3">
                  <c:v>81.49</c:v>
                </c:pt>
                <c:pt idx="4">
                  <c:v>75.99</c:v>
                </c:pt>
                <c:pt idx="5">
                  <c:v>73.57</c:v>
                </c:pt>
                <c:pt idx="6">
                  <c:v>75.01</c:v>
                </c:pt>
                <c:pt idx="7">
                  <c:v>81.16</c:v>
                </c:pt>
                <c:pt idx="8">
                  <c:v>78.15</c:v>
                </c:pt>
                <c:pt idx="9">
                  <c:v>75.86</c:v>
                </c:pt>
                <c:pt idx="10">
                  <c:v>74.6</c:v>
                </c:pt>
                <c:pt idx="11">
                  <c:v>72.57</c:v>
                </c:pt>
                <c:pt idx="12">
                  <c:v>78.77</c:v>
                </c:pt>
                <c:pt idx="13">
                  <c:v>78.08</c:v>
                </c:pt>
                <c:pt idx="14">
                  <c:v>72.42</c:v>
                </c:pt>
                <c:pt idx="15">
                  <c:v>73.88</c:v>
                </c:pt>
                <c:pt idx="16">
                  <c:v>81.48</c:v>
                </c:pt>
                <c:pt idx="17">
                  <c:v>70.36</c:v>
                </c:pt>
                <c:pt idx="18">
                  <c:v>75.05</c:v>
                </c:pt>
                <c:pt idx="19">
                  <c:v>80.73</c:v>
                </c:pt>
                <c:pt idx="20">
                  <c:v>72.67</c:v>
                </c:pt>
                <c:pt idx="21">
                  <c:v>77.74</c:v>
                </c:pt>
                <c:pt idx="22">
                  <c:v>75.97</c:v>
                </c:pt>
                <c:pt idx="23">
                  <c:v>73.4</c:v>
                </c:pt>
                <c:pt idx="24">
                  <c:v>72.19</c:v>
                </c:pt>
                <c:pt idx="25">
                  <c:v>71.16</c:v>
                </c:pt>
                <c:pt idx="26">
                  <c:v>71.19</c:v>
                </c:pt>
                <c:pt idx="27">
                  <c:v>77.38</c:v>
                </c:pt>
                <c:pt idx="28">
                  <c:v>77.3</c:v>
                </c:pt>
                <c:pt idx="29">
                  <c:v>72.24</c:v>
                </c:pt>
                <c:pt idx="30">
                  <c:v>79.47</c:v>
                </c:pt>
                <c:pt idx="31">
                  <c:v>79.01</c:v>
                </c:pt>
                <c:pt idx="32">
                  <c:v>77.81</c:v>
                </c:pt>
                <c:pt idx="33">
                  <c:v>73.99</c:v>
                </c:pt>
                <c:pt idx="34">
                  <c:v>79.2</c:v>
                </c:pt>
                <c:pt idx="35">
                  <c:v>78.89</c:v>
                </c:pt>
                <c:pt idx="36">
                  <c:v>81.25</c:v>
                </c:pt>
                <c:pt idx="37">
                  <c:v>68.15</c:v>
                </c:pt>
                <c:pt idx="38">
                  <c:v>79.08</c:v>
                </c:pt>
                <c:pt idx="39">
                  <c:v>69.92</c:v>
                </c:pt>
                <c:pt idx="40">
                  <c:v>75.97</c:v>
                </c:pt>
                <c:pt idx="41">
                  <c:v>76.66</c:v>
                </c:pt>
                <c:pt idx="42">
                  <c:v>76.99</c:v>
                </c:pt>
                <c:pt idx="43">
                  <c:v>74.82</c:v>
                </c:pt>
                <c:pt idx="44">
                  <c:v>72.51</c:v>
                </c:pt>
                <c:pt idx="45">
                  <c:v>73.38</c:v>
                </c:pt>
                <c:pt idx="46">
                  <c:v>78.7</c:v>
                </c:pt>
                <c:pt idx="47">
                  <c:v>76</c:v>
                </c:pt>
                <c:pt idx="48">
                  <c:v>75.18</c:v>
                </c:pt>
                <c:pt idx="49">
                  <c:v>74.67</c:v>
                </c:pt>
                <c:pt idx="50">
                  <c:v>74.29</c:v>
                </c:pt>
                <c:pt idx="51">
                  <c:v>75.05</c:v>
                </c:pt>
                <c:pt idx="52">
                  <c:v>72.95</c:v>
                </c:pt>
                <c:pt idx="53">
                  <c:v>75.88</c:v>
                </c:pt>
                <c:pt idx="54">
                  <c:v>72.68</c:v>
                </c:pt>
                <c:pt idx="55">
                  <c:v>75.43</c:v>
                </c:pt>
                <c:pt idx="56">
                  <c:v>75.27</c:v>
                </c:pt>
                <c:pt idx="57">
                  <c:v>74.79</c:v>
                </c:pt>
                <c:pt idx="58">
                  <c:v>72.99</c:v>
                </c:pt>
                <c:pt idx="59">
                  <c:v>75.37</c:v>
                </c:pt>
                <c:pt idx="60">
                  <c:v>76.59</c:v>
                </c:pt>
                <c:pt idx="61">
                  <c:v>72.82</c:v>
                </c:pt>
                <c:pt idx="62">
                  <c:v>71.82</c:v>
                </c:pt>
                <c:pt idx="63">
                  <c:v>74.39</c:v>
                </c:pt>
                <c:pt idx="64">
                  <c:v>74.55</c:v>
                </c:pt>
                <c:pt idx="65">
                  <c:v>76.79</c:v>
                </c:pt>
                <c:pt idx="66">
                  <c:v>78.25</c:v>
                </c:pt>
                <c:pt idx="67">
                  <c:v>74.04</c:v>
                </c:pt>
                <c:pt idx="68">
                  <c:v>76.8</c:v>
                </c:pt>
                <c:pt idx="69">
                  <c:v>68.51</c:v>
                </c:pt>
              </c:numCache>
            </c:numRef>
          </c:val>
          <c:smooth val="1"/>
        </c:ser>
        <c:ser>
          <c:idx val="4"/>
          <c:order val="4"/>
          <c:tx>
            <c:strRef>
              <c:f>Sheet1!$F$1</c:f>
              <c:strCache>
                <c:ptCount val="1"/>
                <c:pt idx="0">
                  <c:v>2018</c:v>
                </c:pt>
              </c:strCache>
            </c:strRef>
          </c:tx>
          <c:spPr>
            <a:ln w="28575" cap="rnd">
              <a:solidFill>
                <a:schemeClr val="accent1">
                  <a:lumMod val="20000"/>
                  <a:lumOff val="80000"/>
                </a:schemeClr>
              </a:solidFill>
              <a:round/>
            </a:ln>
            <a:effectLst/>
          </c:spPr>
          <c:marker>
            <c:symbol val="none"/>
          </c:marker>
          <c:dLbls>
            <c:delete val="1"/>
          </c:dLbls>
          <c:cat>
            <c:strRef>
              <c:f>Sheet1!$A$2:$A$71</c:f>
              <c:strCache>
                <c:ptCount val="70"/>
                <c:pt idx="0">
                  <c:v>苏州市</c:v>
                </c:pt>
                <c:pt idx="1">
                  <c:v>烟台市</c:v>
                </c:pt>
                <c:pt idx="2">
                  <c:v>杭州市</c:v>
                </c:pt>
                <c:pt idx="3">
                  <c:v>青岛市</c:v>
                </c:pt>
                <c:pt idx="4">
                  <c:v>无锡市</c:v>
                </c:pt>
                <c:pt idx="5">
                  <c:v>襄阳市</c:v>
                </c:pt>
                <c:pt idx="6">
                  <c:v>天津市</c:v>
                </c:pt>
                <c:pt idx="7">
                  <c:v>潍坊市</c:v>
                </c:pt>
                <c:pt idx="8">
                  <c:v>北京市</c:v>
                </c:pt>
                <c:pt idx="9">
                  <c:v>深圳市</c:v>
                </c:pt>
                <c:pt idx="10">
                  <c:v>台州市</c:v>
                </c:pt>
                <c:pt idx="11">
                  <c:v>佛山市</c:v>
                </c:pt>
                <c:pt idx="12">
                  <c:v>南京市</c:v>
                </c:pt>
                <c:pt idx="13">
                  <c:v>南宁市</c:v>
                </c:pt>
                <c:pt idx="14">
                  <c:v>拉萨市</c:v>
                </c:pt>
                <c:pt idx="15">
                  <c:v>天水市</c:v>
                </c:pt>
                <c:pt idx="16">
                  <c:v>厦门市</c:v>
                </c:pt>
                <c:pt idx="17">
                  <c:v>洛阳市</c:v>
                </c:pt>
                <c:pt idx="18">
                  <c:v>宁波市</c:v>
                </c:pt>
                <c:pt idx="19">
                  <c:v>吴忠市</c:v>
                </c:pt>
                <c:pt idx="20">
                  <c:v>岳阳市</c:v>
                </c:pt>
                <c:pt idx="21">
                  <c:v>成都市</c:v>
                </c:pt>
                <c:pt idx="22">
                  <c:v>泉州市</c:v>
                </c:pt>
                <c:pt idx="23">
                  <c:v>武汉市</c:v>
                </c:pt>
                <c:pt idx="24">
                  <c:v>东莞市</c:v>
                </c:pt>
                <c:pt idx="25">
                  <c:v>南昌市</c:v>
                </c:pt>
                <c:pt idx="26">
                  <c:v>海口市</c:v>
                </c:pt>
                <c:pt idx="27">
                  <c:v>日喀则市</c:v>
                </c:pt>
                <c:pt idx="28">
                  <c:v>银川市</c:v>
                </c:pt>
                <c:pt idx="29">
                  <c:v>长春市</c:v>
                </c:pt>
                <c:pt idx="30">
                  <c:v>沈阳市</c:v>
                </c:pt>
                <c:pt idx="31">
                  <c:v>金华市</c:v>
                </c:pt>
                <c:pt idx="32">
                  <c:v>温州市</c:v>
                </c:pt>
                <c:pt idx="33">
                  <c:v>哈尔滨市</c:v>
                </c:pt>
                <c:pt idx="34">
                  <c:v>徐州市</c:v>
                </c:pt>
                <c:pt idx="35">
                  <c:v>广州市</c:v>
                </c:pt>
                <c:pt idx="36">
                  <c:v>上海市</c:v>
                </c:pt>
                <c:pt idx="37">
                  <c:v>贵阳市</c:v>
                </c:pt>
                <c:pt idx="38">
                  <c:v>芜湖市</c:v>
                </c:pt>
                <c:pt idx="39">
                  <c:v>昆明市</c:v>
                </c:pt>
                <c:pt idx="40">
                  <c:v>南通市</c:v>
                </c:pt>
                <c:pt idx="41">
                  <c:v>赣州市</c:v>
                </c:pt>
                <c:pt idx="42">
                  <c:v>济南市</c:v>
                </c:pt>
                <c:pt idx="43">
                  <c:v>西宁市</c:v>
                </c:pt>
                <c:pt idx="44">
                  <c:v>太原市</c:v>
                </c:pt>
                <c:pt idx="45">
                  <c:v>遵义市</c:v>
                </c:pt>
                <c:pt idx="46">
                  <c:v>临沂市</c:v>
                </c:pt>
                <c:pt idx="47">
                  <c:v>西安市</c:v>
                </c:pt>
                <c:pt idx="48">
                  <c:v>大庆市</c:v>
                </c:pt>
                <c:pt idx="49">
                  <c:v>海东市</c:v>
                </c:pt>
                <c:pt idx="50">
                  <c:v>石家庄市</c:v>
                </c:pt>
                <c:pt idx="51">
                  <c:v>哈密市</c:v>
                </c:pt>
                <c:pt idx="52">
                  <c:v>长沙市</c:v>
                </c:pt>
                <c:pt idx="53">
                  <c:v>包头市</c:v>
                </c:pt>
                <c:pt idx="54">
                  <c:v>合肥市</c:v>
                </c:pt>
                <c:pt idx="55">
                  <c:v>大连市</c:v>
                </c:pt>
                <c:pt idx="56">
                  <c:v>福州市</c:v>
                </c:pt>
                <c:pt idx="57">
                  <c:v>三亚市</c:v>
                </c:pt>
                <c:pt idx="58">
                  <c:v>郑州市</c:v>
                </c:pt>
                <c:pt idx="59">
                  <c:v>柳州市</c:v>
                </c:pt>
                <c:pt idx="60">
                  <c:v>重庆市</c:v>
                </c:pt>
                <c:pt idx="61">
                  <c:v>绵阳市</c:v>
                </c:pt>
                <c:pt idx="62">
                  <c:v>宝鸡市</c:v>
                </c:pt>
                <c:pt idx="63">
                  <c:v>兰州市</c:v>
                </c:pt>
                <c:pt idx="64">
                  <c:v>曲靖市</c:v>
                </c:pt>
                <c:pt idx="65">
                  <c:v>唐山市</c:v>
                </c:pt>
                <c:pt idx="66">
                  <c:v>乌鲁木齐市</c:v>
                </c:pt>
                <c:pt idx="67">
                  <c:v>运城市</c:v>
                </c:pt>
                <c:pt idx="68">
                  <c:v>呼和浩特市</c:v>
                </c:pt>
                <c:pt idx="69">
                  <c:v>吉林市</c:v>
                </c:pt>
              </c:strCache>
            </c:strRef>
          </c:cat>
          <c:val>
            <c:numRef>
              <c:f>Sheet1!$F$2:$F$71</c:f>
              <c:numCache>
                <c:formatCode>0.00_);[Red]\(0.00\)</c:formatCode>
                <c:ptCount val="70"/>
                <c:pt idx="0">
                  <c:v>73.4219198083502</c:v>
                </c:pt>
                <c:pt idx="1">
                  <c:v>71.2632120705937</c:v>
                </c:pt>
                <c:pt idx="2">
                  <c:v>72.5747200511156</c:v>
                </c:pt>
                <c:pt idx="3">
                  <c:v>74.2099224651707</c:v>
                </c:pt>
                <c:pt idx="4">
                  <c:v>75.8225443492107</c:v>
                </c:pt>
                <c:pt idx="5">
                  <c:v>70.539583660158</c:v>
                </c:pt>
                <c:pt idx="6">
                  <c:v>72.8165373215291</c:v>
                </c:pt>
                <c:pt idx="7">
                  <c:v>72.9898938458262</c:v>
                </c:pt>
                <c:pt idx="8">
                  <c:v>74.6682242356598</c:v>
                </c:pt>
                <c:pt idx="9">
                  <c:v>73.2969736921086</c:v>
                </c:pt>
                <c:pt idx="10">
                  <c:v>74.2507686281261</c:v>
                </c:pt>
                <c:pt idx="11">
                  <c:v>73.1847185350361</c:v>
                </c:pt>
                <c:pt idx="12">
                  <c:v>74.6330288950627</c:v>
                </c:pt>
                <c:pt idx="13">
                  <c:v>68.5795294387834</c:v>
                </c:pt>
                <c:pt idx="14">
                  <c:v>63.1588632042882</c:v>
                </c:pt>
                <c:pt idx="15">
                  <c:v>65.0082843138408</c:v>
                </c:pt>
                <c:pt idx="16">
                  <c:v>74.8006811488781</c:v>
                </c:pt>
                <c:pt idx="17">
                  <c:v>71.8509215907466</c:v>
                </c:pt>
                <c:pt idx="18">
                  <c:v>74.2942900159736</c:v>
                </c:pt>
                <c:pt idx="19">
                  <c:v>72.1283595346086</c:v>
                </c:pt>
                <c:pt idx="20">
                  <c:v>70.1124700512978</c:v>
                </c:pt>
                <c:pt idx="21">
                  <c:v>73.8048121595285</c:v>
                </c:pt>
                <c:pt idx="22">
                  <c:v>73.4753530871847</c:v>
                </c:pt>
                <c:pt idx="23">
                  <c:v>71.8726450902727</c:v>
                </c:pt>
                <c:pt idx="24">
                  <c:v>70.8129359220114</c:v>
                </c:pt>
                <c:pt idx="25">
                  <c:v>69.0169511969713</c:v>
                </c:pt>
                <c:pt idx="26">
                  <c:v>65.4587756265304</c:v>
                </c:pt>
                <c:pt idx="27">
                  <c:v>69.9817208370154</c:v>
                </c:pt>
                <c:pt idx="28">
                  <c:v>70.5471515831701</c:v>
                </c:pt>
                <c:pt idx="29">
                  <c:v>71.1240445536505</c:v>
                </c:pt>
                <c:pt idx="30">
                  <c:v>72.9044359705723</c:v>
                </c:pt>
                <c:pt idx="31">
                  <c:v>74.5690421474674</c:v>
                </c:pt>
                <c:pt idx="32">
                  <c:v>73.2572744975094</c:v>
                </c:pt>
                <c:pt idx="33">
                  <c:v>72.6541964442327</c:v>
                </c:pt>
                <c:pt idx="34">
                  <c:v>73.0493106100009</c:v>
                </c:pt>
                <c:pt idx="35">
                  <c:v>75.121552143897</c:v>
                </c:pt>
                <c:pt idx="36">
                  <c:v>75.5449302207881</c:v>
                </c:pt>
                <c:pt idx="37">
                  <c:v>72.2459801953449</c:v>
                </c:pt>
                <c:pt idx="38">
                  <c:v>71.738884622686</c:v>
                </c:pt>
                <c:pt idx="39">
                  <c:v>71.3536355038867</c:v>
                </c:pt>
                <c:pt idx="40">
                  <c:v>75.7925224557136</c:v>
                </c:pt>
                <c:pt idx="41">
                  <c:v>71.1297999991468</c:v>
                </c:pt>
                <c:pt idx="42">
                  <c:v>74.4878579214762</c:v>
                </c:pt>
                <c:pt idx="43">
                  <c:v>71.9388139722508</c:v>
                </c:pt>
                <c:pt idx="44">
                  <c:v>72.3021610234231</c:v>
                </c:pt>
                <c:pt idx="45">
                  <c:v>73.4041611081768</c:v>
                </c:pt>
                <c:pt idx="46">
                  <c:v>74.2034416794104</c:v>
                </c:pt>
                <c:pt idx="47">
                  <c:v>70.9313680163529</c:v>
                </c:pt>
                <c:pt idx="48">
                  <c:v>71.539553841627</c:v>
                </c:pt>
                <c:pt idx="49">
                  <c:v>69.6982167860463</c:v>
                </c:pt>
                <c:pt idx="50">
                  <c:v>72.1890993310522</c:v>
                </c:pt>
                <c:pt idx="51">
                  <c:v>68.9142000550218</c:v>
                </c:pt>
                <c:pt idx="52">
                  <c:v>71.2887280773933</c:v>
                </c:pt>
                <c:pt idx="53">
                  <c:v>73.4791594328677</c:v>
                </c:pt>
                <c:pt idx="54">
                  <c:v>71.6413306098651</c:v>
                </c:pt>
                <c:pt idx="55">
                  <c:v>73.0464544627371</c:v>
                </c:pt>
                <c:pt idx="56">
                  <c:v>73.8804106580894</c:v>
                </c:pt>
                <c:pt idx="57">
                  <c:v>69.4274424567435</c:v>
                </c:pt>
                <c:pt idx="58">
                  <c:v>71.6456106012526</c:v>
                </c:pt>
                <c:pt idx="59">
                  <c:v>70.5303897783355</c:v>
                </c:pt>
                <c:pt idx="60">
                  <c:v>74.1790371505887</c:v>
                </c:pt>
                <c:pt idx="61">
                  <c:v>72.0714970344722</c:v>
                </c:pt>
                <c:pt idx="62">
                  <c:v>70.6157959851867</c:v>
                </c:pt>
                <c:pt idx="63">
                  <c:v>70.8855809986142</c:v>
                </c:pt>
                <c:pt idx="64">
                  <c:v>72.7479019357924</c:v>
                </c:pt>
                <c:pt idx="65">
                  <c:v>73.4210154039822</c:v>
                </c:pt>
                <c:pt idx="66">
                  <c:v>72.5059601070852</c:v>
                </c:pt>
                <c:pt idx="67">
                  <c:v>72.6608870249835</c:v>
                </c:pt>
                <c:pt idx="68">
                  <c:v>72.273519961129</c:v>
                </c:pt>
                <c:pt idx="69">
                  <c:v>73.3577638299913</c:v>
                </c:pt>
              </c:numCache>
            </c:numRef>
          </c:val>
          <c:smooth val="1"/>
        </c:ser>
        <c:dLbls>
          <c:showLegendKey val="0"/>
          <c:showVal val="0"/>
          <c:showCatName val="0"/>
          <c:showSerName val="0"/>
          <c:showPercent val="0"/>
          <c:showBubbleSize val="0"/>
        </c:dLbls>
        <c:marker val="0"/>
        <c:smooth val="1"/>
        <c:axId val="766188246"/>
        <c:axId val="900366245"/>
      </c:lineChart>
      <c:catAx>
        <c:axId val="766188246"/>
        <c:scaling>
          <c:orientation val="minMax"/>
        </c:scaling>
        <c:delete val="0"/>
        <c:axPos val="b"/>
        <c:numFmt formatCode="General" sourceLinked="0"/>
        <c:majorTickMark val="none"/>
        <c:minorTickMark val="none"/>
        <c:tickLblPos val="nextTo"/>
        <c:spPr>
          <a:noFill/>
          <a:ln w="9525" cap="flat" cmpd="sng" algn="ctr">
            <a:solidFill>
              <a:srgbClr val="FF0000"/>
            </a:solidFill>
            <a:round/>
          </a:ln>
          <a:effectLst/>
        </c:spPr>
        <c:txPr>
          <a:bodyPr rot="0" spcFirstLastPara="0" vertOverflow="ellipsis" vert="eaVert" wrap="square" anchor="ctr" anchorCtr="1"/>
          <a:lstStyle/>
          <a:p>
            <a:pPr>
              <a:defRPr lang="zh-CN" sz="500" b="0" i="0" u="none" strike="noStrike" kern="1200" baseline="0">
                <a:solidFill>
                  <a:schemeClr val="tx1">
                    <a:lumMod val="65000"/>
                    <a:lumOff val="35000"/>
                  </a:schemeClr>
                </a:solidFill>
                <a:latin typeface="+mn-lt"/>
                <a:ea typeface="+mn-ea"/>
                <a:cs typeface="+mn-cs"/>
              </a:defRPr>
            </a:pPr>
          </a:p>
        </c:txPr>
        <c:crossAx val="900366245"/>
        <c:crosses val="autoZero"/>
        <c:auto val="1"/>
        <c:lblAlgn val="ctr"/>
        <c:lblOffset val="100"/>
        <c:noMultiLvlLbl val="0"/>
      </c:catAx>
      <c:valAx>
        <c:axId val="900366245"/>
        <c:scaling>
          <c:orientation val="minMax"/>
          <c:max val="95"/>
          <c:min val="55"/>
        </c:scaling>
        <c:delete val="0"/>
        <c:axPos val="l"/>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6188246"/>
        <c:crosses val="autoZero"/>
        <c:crossBetween val="between"/>
      </c:valAx>
      <c:spPr>
        <a:noFill/>
        <a:ln>
          <a:solidFill>
            <a:srgbClr val="FF0000"/>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35155372519656"/>
          <c:y val="0.0276354812617956"/>
          <c:w val="0.926228898141023"/>
          <c:h val="0.748314909679159"/>
        </c:manualLayout>
      </c:layout>
      <c:lineChart>
        <c:grouping val="standard"/>
        <c:varyColors val="0"/>
        <c:ser>
          <c:idx val="0"/>
          <c:order val="0"/>
          <c:tx>
            <c:strRef>
              <c:f>Sheet1!$B$1</c:f>
              <c:strCache>
                <c:ptCount val="1"/>
                <c:pt idx="0">
                  <c:v>2022</c:v>
                </c:pt>
              </c:strCache>
            </c:strRef>
          </c:tx>
          <c:spPr>
            <a:ln w="28575" cap="rnd">
              <a:solidFill>
                <a:schemeClr val="accent1">
                  <a:lumMod val="75000"/>
                </a:schemeClr>
              </a:solidFill>
              <a:round/>
            </a:ln>
            <a:effectLst/>
          </c:spPr>
          <c:marker>
            <c:symbol val="none"/>
          </c:marker>
          <c:dLbls>
            <c:delete val="1"/>
          </c:dLbls>
          <c:cat>
            <c:strRef>
              <c:f>Sheet1!$A$2:$A$101</c:f>
              <c:strCache>
                <c:ptCount val="100"/>
                <c:pt idx="0">
                  <c:v>苏州市</c:v>
                </c:pt>
                <c:pt idx="1">
                  <c:v>佛山市</c:v>
                </c:pt>
                <c:pt idx="2">
                  <c:v>无锡市</c:v>
                </c:pt>
                <c:pt idx="3">
                  <c:v>烟台市</c:v>
                </c:pt>
                <c:pt idx="4">
                  <c:v>宜昌市</c:v>
                </c:pt>
                <c:pt idx="5">
                  <c:v>青岛市</c:v>
                </c:pt>
                <c:pt idx="6">
                  <c:v>襄阳市</c:v>
                </c:pt>
                <c:pt idx="7">
                  <c:v>天津市</c:v>
                </c:pt>
                <c:pt idx="8">
                  <c:v>杭州市</c:v>
                </c:pt>
                <c:pt idx="9">
                  <c:v>深圳市</c:v>
                </c:pt>
                <c:pt idx="10">
                  <c:v>盐城市</c:v>
                </c:pt>
                <c:pt idx="11">
                  <c:v>北京市</c:v>
                </c:pt>
                <c:pt idx="12">
                  <c:v>台州市</c:v>
                </c:pt>
                <c:pt idx="13">
                  <c:v>潍坊市</c:v>
                </c:pt>
                <c:pt idx="14">
                  <c:v>洛阳市</c:v>
                </c:pt>
                <c:pt idx="15">
                  <c:v>贵阳市</c:v>
                </c:pt>
                <c:pt idx="16">
                  <c:v>南京市</c:v>
                </c:pt>
                <c:pt idx="17">
                  <c:v>宁波市</c:v>
                </c:pt>
                <c:pt idx="18">
                  <c:v>昆明市</c:v>
                </c:pt>
                <c:pt idx="19">
                  <c:v>东莞市</c:v>
                </c:pt>
                <c:pt idx="20">
                  <c:v>武汉市</c:v>
                </c:pt>
                <c:pt idx="21">
                  <c:v>长春市</c:v>
                </c:pt>
                <c:pt idx="22">
                  <c:v>岳阳市</c:v>
                </c:pt>
                <c:pt idx="23">
                  <c:v>南昌市</c:v>
                </c:pt>
                <c:pt idx="24">
                  <c:v>泉州市</c:v>
                </c:pt>
                <c:pt idx="25">
                  <c:v>哈尔滨市</c:v>
                </c:pt>
                <c:pt idx="26">
                  <c:v>南通市</c:v>
                </c:pt>
                <c:pt idx="27">
                  <c:v>邯郸市</c:v>
                </c:pt>
                <c:pt idx="28">
                  <c:v>遵义市</c:v>
                </c:pt>
                <c:pt idx="29">
                  <c:v>太原市</c:v>
                </c:pt>
                <c:pt idx="30">
                  <c:v>济宁市</c:v>
                </c:pt>
                <c:pt idx="31">
                  <c:v>南充市</c:v>
                </c:pt>
                <c:pt idx="32">
                  <c:v>南宁市</c:v>
                </c:pt>
                <c:pt idx="33">
                  <c:v>成都市</c:v>
                </c:pt>
                <c:pt idx="34">
                  <c:v>毕节市</c:v>
                </c:pt>
                <c:pt idx="35">
                  <c:v>大同市</c:v>
                </c:pt>
                <c:pt idx="36">
                  <c:v>广州市</c:v>
                </c:pt>
                <c:pt idx="37">
                  <c:v>厦门市</c:v>
                </c:pt>
                <c:pt idx="38">
                  <c:v>绍兴市</c:v>
                </c:pt>
                <c:pt idx="39">
                  <c:v>金华市</c:v>
                </c:pt>
                <c:pt idx="40">
                  <c:v>温州市</c:v>
                </c:pt>
                <c:pt idx="41">
                  <c:v>齐齐哈尔市</c:v>
                </c:pt>
                <c:pt idx="42">
                  <c:v>嘉兴市</c:v>
                </c:pt>
                <c:pt idx="43">
                  <c:v>银川市</c:v>
                </c:pt>
                <c:pt idx="44">
                  <c:v>上海市</c:v>
                </c:pt>
                <c:pt idx="45">
                  <c:v>徐州市</c:v>
                </c:pt>
                <c:pt idx="46">
                  <c:v>沈阳市</c:v>
                </c:pt>
                <c:pt idx="47">
                  <c:v>拉萨市</c:v>
                </c:pt>
                <c:pt idx="48">
                  <c:v>保定市</c:v>
                </c:pt>
                <c:pt idx="49">
                  <c:v>上饶市</c:v>
                </c:pt>
                <c:pt idx="50">
                  <c:v>济南市</c:v>
                </c:pt>
                <c:pt idx="51">
                  <c:v>玉溪市</c:v>
                </c:pt>
                <c:pt idx="52">
                  <c:v>天水市</c:v>
                </c:pt>
                <c:pt idx="53">
                  <c:v>西宁市</c:v>
                </c:pt>
                <c:pt idx="54">
                  <c:v>海口市</c:v>
                </c:pt>
                <c:pt idx="55">
                  <c:v>吉林市</c:v>
                </c:pt>
                <c:pt idx="56">
                  <c:v>鞍山市</c:v>
                </c:pt>
                <c:pt idx="57">
                  <c:v>石家庄市</c:v>
                </c:pt>
                <c:pt idx="58">
                  <c:v>海西蒙古族藏族自治州</c:v>
                </c:pt>
                <c:pt idx="59">
                  <c:v>衡阳市</c:v>
                </c:pt>
                <c:pt idx="60">
                  <c:v>渭南市</c:v>
                </c:pt>
                <c:pt idx="61">
                  <c:v>合肥市</c:v>
                </c:pt>
                <c:pt idx="62">
                  <c:v>儋州市</c:v>
                </c:pt>
                <c:pt idx="63">
                  <c:v>长沙市</c:v>
                </c:pt>
                <c:pt idx="64">
                  <c:v>大庆市</c:v>
                </c:pt>
                <c:pt idx="65">
                  <c:v>山南市</c:v>
                </c:pt>
                <c:pt idx="66">
                  <c:v>福州市</c:v>
                </c:pt>
                <c:pt idx="67">
                  <c:v>绵阳市</c:v>
                </c:pt>
                <c:pt idx="68">
                  <c:v>日喀则市</c:v>
                </c:pt>
                <c:pt idx="69">
                  <c:v>郑州市</c:v>
                </c:pt>
                <c:pt idx="70">
                  <c:v>包头市</c:v>
                </c:pt>
                <c:pt idx="71">
                  <c:v>大连市</c:v>
                </c:pt>
                <c:pt idx="72">
                  <c:v>常州市</c:v>
                </c:pt>
                <c:pt idx="73">
                  <c:v>赣州市</c:v>
                </c:pt>
                <c:pt idx="74">
                  <c:v>桂林市</c:v>
                </c:pt>
                <c:pt idx="75">
                  <c:v>吴忠市</c:v>
                </c:pt>
                <c:pt idx="76">
                  <c:v>临沂市</c:v>
                </c:pt>
                <c:pt idx="77">
                  <c:v>庆阳市</c:v>
                </c:pt>
                <c:pt idx="78">
                  <c:v>宝鸡市</c:v>
                </c:pt>
                <c:pt idx="79">
                  <c:v>淄博市</c:v>
                </c:pt>
                <c:pt idx="80">
                  <c:v>海东市</c:v>
                </c:pt>
                <c:pt idx="81">
                  <c:v>芜湖市</c:v>
                </c:pt>
                <c:pt idx="82">
                  <c:v>重庆市</c:v>
                </c:pt>
                <c:pt idx="83">
                  <c:v>曲靖市</c:v>
                </c:pt>
                <c:pt idx="84">
                  <c:v>汕头市</c:v>
                </c:pt>
                <c:pt idx="85">
                  <c:v>西安市</c:v>
                </c:pt>
                <c:pt idx="86">
                  <c:v>南阳市</c:v>
                </c:pt>
                <c:pt idx="87">
                  <c:v>运城市</c:v>
                </c:pt>
                <c:pt idx="88">
                  <c:v>哈密市</c:v>
                </c:pt>
                <c:pt idx="89">
                  <c:v>兰州市</c:v>
                </c:pt>
                <c:pt idx="90">
                  <c:v>石嘴山市</c:v>
                </c:pt>
                <c:pt idx="91">
                  <c:v>松原市</c:v>
                </c:pt>
                <c:pt idx="92">
                  <c:v>克拉玛依市</c:v>
                </c:pt>
                <c:pt idx="93">
                  <c:v>唐山市</c:v>
                </c:pt>
                <c:pt idx="94">
                  <c:v>鄂尔多斯市</c:v>
                </c:pt>
                <c:pt idx="95">
                  <c:v>三亚市</c:v>
                </c:pt>
                <c:pt idx="96">
                  <c:v>柳州市</c:v>
                </c:pt>
                <c:pt idx="97">
                  <c:v>阜阳市</c:v>
                </c:pt>
                <c:pt idx="98">
                  <c:v>乌鲁木齐市</c:v>
                </c:pt>
                <c:pt idx="99">
                  <c:v>呼和浩特市</c:v>
                </c:pt>
              </c:strCache>
            </c:strRef>
          </c:cat>
          <c:val>
            <c:numRef>
              <c:f>Sheet1!$B$2:$B$101</c:f>
              <c:numCache>
                <c:formatCode>0.00_);[Red]\(0.00\)</c:formatCode>
                <c:ptCount val="100"/>
                <c:pt idx="0">
                  <c:v>91.80572142</c:v>
                </c:pt>
                <c:pt idx="1">
                  <c:v>88.15062242</c:v>
                </c:pt>
                <c:pt idx="2">
                  <c:v>88.13469619</c:v>
                </c:pt>
                <c:pt idx="3">
                  <c:v>89.16924065</c:v>
                </c:pt>
                <c:pt idx="4">
                  <c:v>83.53987332</c:v>
                </c:pt>
                <c:pt idx="5">
                  <c:v>90.39767895</c:v>
                </c:pt>
                <c:pt idx="6">
                  <c:v>81.40150302</c:v>
                </c:pt>
                <c:pt idx="7">
                  <c:v>82.74231107</c:v>
                </c:pt>
                <c:pt idx="8">
                  <c:v>89.73749807</c:v>
                </c:pt>
                <c:pt idx="9">
                  <c:v>82.85728241</c:v>
                </c:pt>
                <c:pt idx="10">
                  <c:v>81.97468155</c:v>
                </c:pt>
                <c:pt idx="11">
                  <c:v>84.42160068</c:v>
                </c:pt>
                <c:pt idx="12">
                  <c:v>80.16200555</c:v>
                </c:pt>
                <c:pt idx="13">
                  <c:v>82.78409676</c:v>
                </c:pt>
                <c:pt idx="14">
                  <c:v>81.4124198</c:v>
                </c:pt>
                <c:pt idx="15">
                  <c:v>78.81883141</c:v>
                </c:pt>
                <c:pt idx="16">
                  <c:v>88.85144368</c:v>
                </c:pt>
                <c:pt idx="17">
                  <c:v>83.02434343</c:v>
                </c:pt>
                <c:pt idx="18">
                  <c:v>77.37400974</c:v>
                </c:pt>
                <c:pt idx="19">
                  <c:v>78.89110559</c:v>
                </c:pt>
                <c:pt idx="20">
                  <c:v>80.0263495</c:v>
                </c:pt>
                <c:pt idx="21">
                  <c:v>78.4297558</c:v>
                </c:pt>
                <c:pt idx="22">
                  <c:v>78.45558566</c:v>
                </c:pt>
                <c:pt idx="23">
                  <c:v>76.91639602</c:v>
                </c:pt>
                <c:pt idx="24">
                  <c:v>81.68599113</c:v>
                </c:pt>
                <c:pt idx="25">
                  <c:v>79.59841228</c:v>
                </c:pt>
                <c:pt idx="26">
                  <c:v>81.56722428</c:v>
                </c:pt>
                <c:pt idx="27">
                  <c:v>75.73764558</c:v>
                </c:pt>
                <c:pt idx="28">
                  <c:v>78.35740891</c:v>
                </c:pt>
                <c:pt idx="29">
                  <c:v>77.38189192</c:v>
                </c:pt>
                <c:pt idx="30">
                  <c:v>80.40037466</c:v>
                </c:pt>
                <c:pt idx="31">
                  <c:v>76.59465333</c:v>
                </c:pt>
                <c:pt idx="32">
                  <c:v>82.72865258</c:v>
                </c:pt>
                <c:pt idx="33">
                  <c:v>82.10912288</c:v>
                </c:pt>
                <c:pt idx="34">
                  <c:v>78.13104117</c:v>
                </c:pt>
                <c:pt idx="35">
                  <c:v>76.95398766</c:v>
                </c:pt>
                <c:pt idx="36">
                  <c:v>81.89132335</c:v>
                </c:pt>
                <c:pt idx="37">
                  <c:v>84.44872821</c:v>
                </c:pt>
                <c:pt idx="38">
                  <c:v>80.38588508</c:v>
                </c:pt>
                <c:pt idx="39">
                  <c:v>81.60607602</c:v>
                </c:pt>
                <c:pt idx="40">
                  <c:v>80.27297192</c:v>
                </c:pt>
                <c:pt idx="41">
                  <c:v>76.75890421</c:v>
                </c:pt>
                <c:pt idx="42">
                  <c:v>80.94875169</c:v>
                </c:pt>
                <c:pt idx="43">
                  <c:v>78.19198223</c:v>
                </c:pt>
                <c:pt idx="44">
                  <c:v>82.12881117</c:v>
                </c:pt>
                <c:pt idx="45">
                  <c:v>79.84978136</c:v>
                </c:pt>
                <c:pt idx="46">
                  <c:v>80.01776023</c:v>
                </c:pt>
                <c:pt idx="47">
                  <c:v>76.88181732</c:v>
                </c:pt>
                <c:pt idx="48">
                  <c:v>74.33523888</c:v>
                </c:pt>
                <c:pt idx="49">
                  <c:v>76.6742512</c:v>
                </c:pt>
                <c:pt idx="50">
                  <c:v>79.66527968</c:v>
                </c:pt>
                <c:pt idx="51">
                  <c:v>75.00957767</c:v>
                </c:pt>
                <c:pt idx="52">
                  <c:v>76.3751032</c:v>
                </c:pt>
                <c:pt idx="53">
                  <c:v>77.02174828</c:v>
                </c:pt>
                <c:pt idx="54">
                  <c:v>73.35447277</c:v>
                </c:pt>
                <c:pt idx="55">
                  <c:v>70.66636086</c:v>
                </c:pt>
                <c:pt idx="56">
                  <c:v>75.13353322</c:v>
                </c:pt>
                <c:pt idx="57">
                  <c:v>76.2546338</c:v>
                </c:pt>
                <c:pt idx="58">
                  <c:v>76.175572</c:v>
                </c:pt>
                <c:pt idx="59">
                  <c:v>70.19293502</c:v>
                </c:pt>
                <c:pt idx="60">
                  <c:v>77.41032091</c:v>
                </c:pt>
                <c:pt idx="61">
                  <c:v>74.27621645</c:v>
                </c:pt>
                <c:pt idx="62">
                  <c:v>75.48153523</c:v>
                </c:pt>
                <c:pt idx="63">
                  <c:v>74.17832591</c:v>
                </c:pt>
                <c:pt idx="64">
                  <c:v>76.23956511</c:v>
                </c:pt>
                <c:pt idx="65">
                  <c:v>77.72403436</c:v>
                </c:pt>
                <c:pt idx="66">
                  <c:v>75.98569857</c:v>
                </c:pt>
                <c:pt idx="67">
                  <c:v>73.34303372</c:v>
                </c:pt>
                <c:pt idx="68">
                  <c:v>77.82002729</c:v>
                </c:pt>
                <c:pt idx="69">
                  <c:v>73.39561993</c:v>
                </c:pt>
                <c:pt idx="70">
                  <c:v>76.23774217</c:v>
                </c:pt>
                <c:pt idx="71">
                  <c:v>75.46879174</c:v>
                </c:pt>
                <c:pt idx="72">
                  <c:v>82.70879624</c:v>
                </c:pt>
                <c:pt idx="73">
                  <c:v>76.62949937</c:v>
                </c:pt>
                <c:pt idx="74">
                  <c:v>73.06666299</c:v>
                </c:pt>
                <c:pt idx="75">
                  <c:v>80.64172439</c:v>
                </c:pt>
                <c:pt idx="76">
                  <c:v>78.60305024</c:v>
                </c:pt>
                <c:pt idx="77">
                  <c:v>70.81381365</c:v>
                </c:pt>
                <c:pt idx="78">
                  <c:v>71.65825986</c:v>
                </c:pt>
                <c:pt idx="79">
                  <c:v>79.66863527</c:v>
                </c:pt>
                <c:pt idx="80">
                  <c:v>73.82550604</c:v>
                </c:pt>
                <c:pt idx="81">
                  <c:v>78.22117129</c:v>
                </c:pt>
                <c:pt idx="82">
                  <c:v>75.70417454</c:v>
                </c:pt>
                <c:pt idx="83">
                  <c:v>73.49848562</c:v>
                </c:pt>
                <c:pt idx="84">
                  <c:v>75.16377971</c:v>
                </c:pt>
                <c:pt idx="85">
                  <c:v>74.63924473</c:v>
                </c:pt>
                <c:pt idx="86">
                  <c:v>74.2041289</c:v>
                </c:pt>
                <c:pt idx="87">
                  <c:v>71.96202647</c:v>
                </c:pt>
                <c:pt idx="88">
                  <c:v>72.4783003</c:v>
                </c:pt>
                <c:pt idx="89">
                  <c:v>71.78768957</c:v>
                </c:pt>
                <c:pt idx="90">
                  <c:v>73.99614752</c:v>
                </c:pt>
                <c:pt idx="91">
                  <c:v>72.73563126</c:v>
                </c:pt>
                <c:pt idx="92">
                  <c:v>77.88574054</c:v>
                </c:pt>
                <c:pt idx="93">
                  <c:v>73.90121792</c:v>
                </c:pt>
                <c:pt idx="94">
                  <c:v>75.22953098</c:v>
                </c:pt>
                <c:pt idx="95">
                  <c:v>71.52099233</c:v>
                </c:pt>
                <c:pt idx="96">
                  <c:v>72.09781693</c:v>
                </c:pt>
                <c:pt idx="97">
                  <c:v>73.6197743</c:v>
                </c:pt>
                <c:pt idx="98">
                  <c:v>72.90543818</c:v>
                </c:pt>
                <c:pt idx="99">
                  <c:v>71.35446321</c:v>
                </c:pt>
              </c:numCache>
            </c:numRef>
          </c:val>
          <c:smooth val="1"/>
        </c:ser>
        <c:ser>
          <c:idx val="1"/>
          <c:order val="1"/>
          <c:tx>
            <c:strRef>
              <c:f>Sheet1!$C$1</c:f>
              <c:strCache>
                <c:ptCount val="1"/>
                <c:pt idx="0">
                  <c:v>2021</c:v>
                </c:pt>
              </c:strCache>
            </c:strRef>
          </c:tx>
          <c:spPr>
            <a:ln w="28575" cap="rnd">
              <a:solidFill>
                <a:schemeClr val="accent1"/>
              </a:solidFill>
              <a:round/>
            </a:ln>
            <a:effectLst/>
          </c:spPr>
          <c:marker>
            <c:symbol val="none"/>
          </c:marker>
          <c:dLbls>
            <c:delete val="1"/>
          </c:dLbls>
          <c:cat>
            <c:strRef>
              <c:f>Sheet1!$A$2:$A$101</c:f>
              <c:strCache>
                <c:ptCount val="100"/>
                <c:pt idx="0">
                  <c:v>苏州市</c:v>
                </c:pt>
                <c:pt idx="1">
                  <c:v>佛山市</c:v>
                </c:pt>
                <c:pt idx="2">
                  <c:v>无锡市</c:v>
                </c:pt>
                <c:pt idx="3">
                  <c:v>烟台市</c:v>
                </c:pt>
                <c:pt idx="4">
                  <c:v>宜昌市</c:v>
                </c:pt>
                <c:pt idx="5">
                  <c:v>青岛市</c:v>
                </c:pt>
                <c:pt idx="6">
                  <c:v>襄阳市</c:v>
                </c:pt>
                <c:pt idx="7">
                  <c:v>天津市</c:v>
                </c:pt>
                <c:pt idx="8">
                  <c:v>杭州市</c:v>
                </c:pt>
                <c:pt idx="9">
                  <c:v>深圳市</c:v>
                </c:pt>
                <c:pt idx="10">
                  <c:v>盐城市</c:v>
                </c:pt>
                <c:pt idx="11">
                  <c:v>北京市</c:v>
                </c:pt>
                <c:pt idx="12">
                  <c:v>台州市</c:v>
                </c:pt>
                <c:pt idx="13">
                  <c:v>潍坊市</c:v>
                </c:pt>
                <c:pt idx="14">
                  <c:v>洛阳市</c:v>
                </c:pt>
                <c:pt idx="15">
                  <c:v>贵阳市</c:v>
                </c:pt>
                <c:pt idx="16">
                  <c:v>南京市</c:v>
                </c:pt>
                <c:pt idx="17">
                  <c:v>宁波市</c:v>
                </c:pt>
                <c:pt idx="18">
                  <c:v>昆明市</c:v>
                </c:pt>
                <c:pt idx="19">
                  <c:v>东莞市</c:v>
                </c:pt>
                <c:pt idx="20">
                  <c:v>武汉市</c:v>
                </c:pt>
                <c:pt idx="21">
                  <c:v>长春市</c:v>
                </c:pt>
                <c:pt idx="22">
                  <c:v>岳阳市</c:v>
                </c:pt>
                <c:pt idx="23">
                  <c:v>南昌市</c:v>
                </c:pt>
                <c:pt idx="24">
                  <c:v>泉州市</c:v>
                </c:pt>
                <c:pt idx="25">
                  <c:v>哈尔滨市</c:v>
                </c:pt>
                <c:pt idx="26">
                  <c:v>南通市</c:v>
                </c:pt>
                <c:pt idx="27">
                  <c:v>邯郸市</c:v>
                </c:pt>
                <c:pt idx="28">
                  <c:v>遵义市</c:v>
                </c:pt>
                <c:pt idx="29">
                  <c:v>太原市</c:v>
                </c:pt>
                <c:pt idx="30">
                  <c:v>济宁市</c:v>
                </c:pt>
                <c:pt idx="31">
                  <c:v>南充市</c:v>
                </c:pt>
                <c:pt idx="32">
                  <c:v>南宁市</c:v>
                </c:pt>
                <c:pt idx="33">
                  <c:v>成都市</c:v>
                </c:pt>
                <c:pt idx="34">
                  <c:v>毕节市</c:v>
                </c:pt>
                <c:pt idx="35">
                  <c:v>大同市</c:v>
                </c:pt>
                <c:pt idx="36">
                  <c:v>广州市</c:v>
                </c:pt>
                <c:pt idx="37">
                  <c:v>厦门市</c:v>
                </c:pt>
                <c:pt idx="38">
                  <c:v>绍兴市</c:v>
                </c:pt>
                <c:pt idx="39">
                  <c:v>金华市</c:v>
                </c:pt>
                <c:pt idx="40">
                  <c:v>温州市</c:v>
                </c:pt>
                <c:pt idx="41">
                  <c:v>齐齐哈尔市</c:v>
                </c:pt>
                <c:pt idx="42">
                  <c:v>嘉兴市</c:v>
                </c:pt>
                <c:pt idx="43">
                  <c:v>银川市</c:v>
                </c:pt>
                <c:pt idx="44">
                  <c:v>上海市</c:v>
                </c:pt>
                <c:pt idx="45">
                  <c:v>徐州市</c:v>
                </c:pt>
                <c:pt idx="46">
                  <c:v>沈阳市</c:v>
                </c:pt>
                <c:pt idx="47">
                  <c:v>拉萨市</c:v>
                </c:pt>
                <c:pt idx="48">
                  <c:v>保定市</c:v>
                </c:pt>
                <c:pt idx="49">
                  <c:v>上饶市</c:v>
                </c:pt>
                <c:pt idx="50">
                  <c:v>济南市</c:v>
                </c:pt>
                <c:pt idx="51">
                  <c:v>玉溪市</c:v>
                </c:pt>
                <c:pt idx="52">
                  <c:v>天水市</c:v>
                </c:pt>
                <c:pt idx="53">
                  <c:v>西宁市</c:v>
                </c:pt>
                <c:pt idx="54">
                  <c:v>海口市</c:v>
                </c:pt>
                <c:pt idx="55">
                  <c:v>吉林市</c:v>
                </c:pt>
                <c:pt idx="56">
                  <c:v>鞍山市</c:v>
                </c:pt>
                <c:pt idx="57">
                  <c:v>石家庄市</c:v>
                </c:pt>
                <c:pt idx="58">
                  <c:v>海西蒙古族藏族自治州</c:v>
                </c:pt>
                <c:pt idx="59">
                  <c:v>衡阳市</c:v>
                </c:pt>
                <c:pt idx="60">
                  <c:v>渭南市</c:v>
                </c:pt>
                <c:pt idx="61">
                  <c:v>合肥市</c:v>
                </c:pt>
                <c:pt idx="62">
                  <c:v>儋州市</c:v>
                </c:pt>
                <c:pt idx="63">
                  <c:v>长沙市</c:v>
                </c:pt>
                <c:pt idx="64">
                  <c:v>大庆市</c:v>
                </c:pt>
                <c:pt idx="65">
                  <c:v>山南市</c:v>
                </c:pt>
                <c:pt idx="66">
                  <c:v>福州市</c:v>
                </c:pt>
                <c:pt idx="67">
                  <c:v>绵阳市</c:v>
                </c:pt>
                <c:pt idx="68">
                  <c:v>日喀则市</c:v>
                </c:pt>
                <c:pt idx="69">
                  <c:v>郑州市</c:v>
                </c:pt>
                <c:pt idx="70">
                  <c:v>包头市</c:v>
                </c:pt>
                <c:pt idx="71">
                  <c:v>大连市</c:v>
                </c:pt>
                <c:pt idx="72">
                  <c:v>常州市</c:v>
                </c:pt>
                <c:pt idx="73">
                  <c:v>赣州市</c:v>
                </c:pt>
                <c:pt idx="74">
                  <c:v>桂林市</c:v>
                </c:pt>
                <c:pt idx="75">
                  <c:v>吴忠市</c:v>
                </c:pt>
                <c:pt idx="76">
                  <c:v>临沂市</c:v>
                </c:pt>
                <c:pt idx="77">
                  <c:v>庆阳市</c:v>
                </c:pt>
                <c:pt idx="78">
                  <c:v>宝鸡市</c:v>
                </c:pt>
                <c:pt idx="79">
                  <c:v>淄博市</c:v>
                </c:pt>
                <c:pt idx="80">
                  <c:v>海东市</c:v>
                </c:pt>
                <c:pt idx="81">
                  <c:v>芜湖市</c:v>
                </c:pt>
                <c:pt idx="82">
                  <c:v>重庆市</c:v>
                </c:pt>
                <c:pt idx="83">
                  <c:v>曲靖市</c:v>
                </c:pt>
                <c:pt idx="84">
                  <c:v>汕头市</c:v>
                </c:pt>
                <c:pt idx="85">
                  <c:v>西安市</c:v>
                </c:pt>
                <c:pt idx="86">
                  <c:v>南阳市</c:v>
                </c:pt>
                <c:pt idx="87">
                  <c:v>运城市</c:v>
                </c:pt>
                <c:pt idx="88">
                  <c:v>哈密市</c:v>
                </c:pt>
                <c:pt idx="89">
                  <c:v>兰州市</c:v>
                </c:pt>
                <c:pt idx="90">
                  <c:v>石嘴山市</c:v>
                </c:pt>
                <c:pt idx="91">
                  <c:v>松原市</c:v>
                </c:pt>
                <c:pt idx="92">
                  <c:v>克拉玛依市</c:v>
                </c:pt>
                <c:pt idx="93">
                  <c:v>唐山市</c:v>
                </c:pt>
                <c:pt idx="94">
                  <c:v>鄂尔多斯市</c:v>
                </c:pt>
                <c:pt idx="95">
                  <c:v>三亚市</c:v>
                </c:pt>
                <c:pt idx="96">
                  <c:v>柳州市</c:v>
                </c:pt>
                <c:pt idx="97">
                  <c:v>阜阳市</c:v>
                </c:pt>
                <c:pt idx="98">
                  <c:v>乌鲁木齐市</c:v>
                </c:pt>
                <c:pt idx="99">
                  <c:v>呼和浩特市</c:v>
                </c:pt>
              </c:strCache>
            </c:strRef>
          </c:cat>
          <c:val>
            <c:numRef>
              <c:f>Sheet1!$C$2:$C$101</c:f>
              <c:numCache>
                <c:formatCode>0.00_);[Red]\(0.00\)</c:formatCode>
                <c:ptCount val="100"/>
                <c:pt idx="0">
                  <c:v>89.6952377307601</c:v>
                </c:pt>
                <c:pt idx="1">
                  <c:v>81.9311747826324</c:v>
                </c:pt>
                <c:pt idx="2">
                  <c:v>86.0011020265087</c:v>
                </c:pt>
                <c:pt idx="3">
                  <c:v>85.2932415505202</c:v>
                </c:pt>
                <c:pt idx="4">
                  <c:v>82.3943839705903</c:v>
                </c:pt>
                <c:pt idx="5">
                  <c:v>87.0054025283011</c:v>
                </c:pt>
                <c:pt idx="6">
                  <c:v>80.7727868615844</c:v>
                </c:pt>
                <c:pt idx="7">
                  <c:v>81.4850002144836</c:v>
                </c:pt>
                <c:pt idx="8">
                  <c:v>87.336925816864</c:v>
                </c:pt>
                <c:pt idx="9">
                  <c:v>80.999491915574</c:v>
                </c:pt>
                <c:pt idx="10">
                  <c:v>80.7734810039393</c:v>
                </c:pt>
                <c:pt idx="11">
                  <c:v>83.4853260334664</c:v>
                </c:pt>
                <c:pt idx="12">
                  <c:v>79.3839283241442</c:v>
                </c:pt>
                <c:pt idx="13">
                  <c:v>82.0767239628111</c:v>
                </c:pt>
                <c:pt idx="14">
                  <c:v>81.2423339280962</c:v>
                </c:pt>
                <c:pt idx="15">
                  <c:v>78.9479968485437</c:v>
                </c:pt>
                <c:pt idx="16">
                  <c:v>86.0400150103139</c:v>
                </c:pt>
                <c:pt idx="17">
                  <c:v>82.4037823585867</c:v>
                </c:pt>
                <c:pt idx="18">
                  <c:v>79.1492804116987</c:v>
                </c:pt>
                <c:pt idx="19">
                  <c:v>79.3068593026456</c:v>
                </c:pt>
                <c:pt idx="20">
                  <c:v>80.0851508875523</c:v>
                </c:pt>
                <c:pt idx="21">
                  <c:v>79.0089696937729</c:v>
                </c:pt>
                <c:pt idx="22">
                  <c:v>80.7558205574259</c:v>
                </c:pt>
                <c:pt idx="23">
                  <c:v>79.0759083749864</c:v>
                </c:pt>
                <c:pt idx="24">
                  <c:v>82.1963198837178</c:v>
                </c:pt>
                <c:pt idx="25">
                  <c:v>80.2015068201716</c:v>
                </c:pt>
                <c:pt idx="26">
                  <c:v>81.2966751008054</c:v>
                </c:pt>
                <c:pt idx="27">
                  <c:v>78.6297419847594</c:v>
                </c:pt>
                <c:pt idx="28">
                  <c:v>78.8813182789933</c:v>
                </c:pt>
                <c:pt idx="29">
                  <c:v>79.8076317766294</c:v>
                </c:pt>
                <c:pt idx="30">
                  <c:v>81.4600780710232</c:v>
                </c:pt>
                <c:pt idx="31">
                  <c:v>79.2935691005169</c:v>
                </c:pt>
                <c:pt idx="32">
                  <c:v>81.1562424622722</c:v>
                </c:pt>
                <c:pt idx="33">
                  <c:v>81.845986949614</c:v>
                </c:pt>
                <c:pt idx="34">
                  <c:v>79.4356935209265</c:v>
                </c:pt>
                <c:pt idx="35">
                  <c:v>79.7562400339891</c:v>
                </c:pt>
                <c:pt idx="36">
                  <c:v>80.8956778917769</c:v>
                </c:pt>
                <c:pt idx="37">
                  <c:v>83.163356266636</c:v>
                </c:pt>
                <c:pt idx="38">
                  <c:v>81.1156560654796</c:v>
                </c:pt>
                <c:pt idx="39">
                  <c:v>81.9048326352117</c:v>
                </c:pt>
                <c:pt idx="40">
                  <c:v>80.9503326974917</c:v>
                </c:pt>
                <c:pt idx="41">
                  <c:v>79.5439030146134</c:v>
                </c:pt>
                <c:pt idx="42">
                  <c:v>81.3849169478008</c:v>
                </c:pt>
                <c:pt idx="43">
                  <c:v>80.3007803375334</c:v>
                </c:pt>
                <c:pt idx="44">
                  <c:v>84.574184321893</c:v>
                </c:pt>
                <c:pt idx="45">
                  <c:v>80.4307879837591</c:v>
                </c:pt>
                <c:pt idx="46">
                  <c:v>80.7825501894474</c:v>
                </c:pt>
                <c:pt idx="47">
                  <c:v>80.1780794264092</c:v>
                </c:pt>
                <c:pt idx="48">
                  <c:v>78.33605456711</c:v>
                </c:pt>
                <c:pt idx="49">
                  <c:v>79.7237817204909</c:v>
                </c:pt>
                <c:pt idx="50">
                  <c:v>80.7801120062869</c:v>
                </c:pt>
                <c:pt idx="51">
                  <c:v>78.2960060115693</c:v>
                </c:pt>
                <c:pt idx="52">
                  <c:v>79.4932515674481</c:v>
                </c:pt>
                <c:pt idx="53">
                  <c:v>80.0659151622891</c:v>
                </c:pt>
                <c:pt idx="54">
                  <c:v>76.8016314809368</c:v>
                </c:pt>
                <c:pt idx="55">
                  <c:v>79.0932709412258</c:v>
                </c:pt>
                <c:pt idx="56">
                  <c:v>79.3639238553887</c:v>
                </c:pt>
                <c:pt idx="57">
                  <c:v>79.9247730766015</c:v>
                </c:pt>
                <c:pt idx="58">
                  <c:v>79.9834554525609</c:v>
                </c:pt>
                <c:pt idx="59">
                  <c:v>77.0467880428629</c:v>
                </c:pt>
                <c:pt idx="60">
                  <c:v>79.909854204306</c:v>
                </c:pt>
                <c:pt idx="61">
                  <c:v>78.7557494130562</c:v>
                </c:pt>
                <c:pt idx="62">
                  <c:v>78.7821169637923</c:v>
                </c:pt>
                <c:pt idx="63">
                  <c:v>78.8268631076486</c:v>
                </c:pt>
                <c:pt idx="64">
                  <c:v>80.46656809363</c:v>
                </c:pt>
                <c:pt idx="65">
                  <c:v>80.6364924811547</c:v>
                </c:pt>
                <c:pt idx="66">
                  <c:v>79.3565077513349</c:v>
                </c:pt>
                <c:pt idx="67">
                  <c:v>78.7838933620029</c:v>
                </c:pt>
                <c:pt idx="68">
                  <c:v>80.7024865178488</c:v>
                </c:pt>
                <c:pt idx="69">
                  <c:v>79.264422334368</c:v>
                </c:pt>
                <c:pt idx="70">
                  <c:v>79.8876666087045</c:v>
                </c:pt>
                <c:pt idx="71">
                  <c:v>78.7357443884146</c:v>
                </c:pt>
                <c:pt idx="72">
                  <c:v>85.1196128922621</c:v>
                </c:pt>
                <c:pt idx="73">
                  <c:v>79.4637769315239</c:v>
                </c:pt>
                <c:pt idx="74">
                  <c:v>78.7283383393824</c:v>
                </c:pt>
                <c:pt idx="75">
                  <c:v>81.3777077945611</c:v>
                </c:pt>
                <c:pt idx="76">
                  <c:v>80.7455846691546</c:v>
                </c:pt>
                <c:pt idx="77">
                  <c:v>76.6507792011401</c:v>
                </c:pt>
                <c:pt idx="78">
                  <c:v>77.3941080365267</c:v>
                </c:pt>
                <c:pt idx="79">
                  <c:v>80.0899681102335</c:v>
                </c:pt>
                <c:pt idx="80">
                  <c:v>79.3293533333859</c:v>
                </c:pt>
                <c:pt idx="81">
                  <c:v>80.1519906078951</c:v>
                </c:pt>
                <c:pt idx="82">
                  <c:v>78.7939757098617</c:v>
                </c:pt>
                <c:pt idx="83">
                  <c:v>79.0976901317466</c:v>
                </c:pt>
                <c:pt idx="84">
                  <c:v>78.5407653677679</c:v>
                </c:pt>
                <c:pt idx="85">
                  <c:v>76.7299405683995</c:v>
                </c:pt>
                <c:pt idx="86">
                  <c:v>79.0524847528007</c:v>
                </c:pt>
                <c:pt idx="87">
                  <c:v>78.4377514513052</c:v>
                </c:pt>
                <c:pt idx="88">
                  <c:v>79.2491300262924</c:v>
                </c:pt>
                <c:pt idx="89">
                  <c:v>78.0289099458702</c:v>
                </c:pt>
                <c:pt idx="90">
                  <c:v>79.3119315583162</c:v>
                </c:pt>
                <c:pt idx="91">
                  <c:v>77.3199393206481</c:v>
                </c:pt>
                <c:pt idx="92">
                  <c:v>80.7185208983428</c:v>
                </c:pt>
                <c:pt idx="93">
                  <c:v>78.1234649106335</c:v>
                </c:pt>
                <c:pt idx="94">
                  <c:v>79.3480671666813</c:v>
                </c:pt>
                <c:pt idx="95">
                  <c:v>77.3775403482279</c:v>
                </c:pt>
                <c:pt idx="96">
                  <c:v>79.663469578546</c:v>
                </c:pt>
                <c:pt idx="97">
                  <c:v>78.7894323034535</c:v>
                </c:pt>
                <c:pt idx="98">
                  <c:v>78.213614720549</c:v>
                </c:pt>
                <c:pt idx="99">
                  <c:v>77.5548321046698</c:v>
                </c:pt>
              </c:numCache>
            </c:numRef>
          </c:val>
          <c:smooth val="1"/>
        </c:ser>
        <c:ser>
          <c:idx val="2"/>
          <c:order val="2"/>
          <c:tx>
            <c:strRef>
              <c:f>Sheet1!$D$1</c:f>
              <c:strCache>
                <c:ptCount val="1"/>
                <c:pt idx="0">
                  <c:v>2020</c:v>
                </c:pt>
              </c:strCache>
            </c:strRef>
          </c:tx>
          <c:spPr>
            <a:ln w="28575" cap="rnd">
              <a:solidFill>
                <a:schemeClr val="accent1">
                  <a:lumMod val="60000"/>
                  <a:lumOff val="40000"/>
                </a:schemeClr>
              </a:solidFill>
              <a:round/>
            </a:ln>
            <a:effectLst/>
          </c:spPr>
          <c:marker>
            <c:symbol val="none"/>
          </c:marker>
          <c:dLbls>
            <c:delete val="1"/>
          </c:dLbls>
          <c:cat>
            <c:strRef>
              <c:f>Sheet1!$A$2:$A$101</c:f>
              <c:strCache>
                <c:ptCount val="100"/>
                <c:pt idx="0">
                  <c:v>苏州市</c:v>
                </c:pt>
                <c:pt idx="1">
                  <c:v>佛山市</c:v>
                </c:pt>
                <c:pt idx="2">
                  <c:v>无锡市</c:v>
                </c:pt>
                <c:pt idx="3">
                  <c:v>烟台市</c:v>
                </c:pt>
                <c:pt idx="4">
                  <c:v>宜昌市</c:v>
                </c:pt>
                <c:pt idx="5">
                  <c:v>青岛市</c:v>
                </c:pt>
                <c:pt idx="6">
                  <c:v>襄阳市</c:v>
                </c:pt>
                <c:pt idx="7">
                  <c:v>天津市</c:v>
                </c:pt>
                <c:pt idx="8">
                  <c:v>杭州市</c:v>
                </c:pt>
                <c:pt idx="9">
                  <c:v>深圳市</c:v>
                </c:pt>
                <c:pt idx="10">
                  <c:v>盐城市</c:v>
                </c:pt>
                <c:pt idx="11">
                  <c:v>北京市</c:v>
                </c:pt>
                <c:pt idx="12">
                  <c:v>台州市</c:v>
                </c:pt>
                <c:pt idx="13">
                  <c:v>潍坊市</c:v>
                </c:pt>
                <c:pt idx="14">
                  <c:v>洛阳市</c:v>
                </c:pt>
                <c:pt idx="15">
                  <c:v>贵阳市</c:v>
                </c:pt>
                <c:pt idx="16">
                  <c:v>南京市</c:v>
                </c:pt>
                <c:pt idx="17">
                  <c:v>宁波市</c:v>
                </c:pt>
                <c:pt idx="18">
                  <c:v>昆明市</c:v>
                </c:pt>
                <c:pt idx="19">
                  <c:v>东莞市</c:v>
                </c:pt>
                <c:pt idx="20">
                  <c:v>武汉市</c:v>
                </c:pt>
                <c:pt idx="21">
                  <c:v>长春市</c:v>
                </c:pt>
                <c:pt idx="22">
                  <c:v>岳阳市</c:v>
                </c:pt>
                <c:pt idx="23">
                  <c:v>南昌市</c:v>
                </c:pt>
                <c:pt idx="24">
                  <c:v>泉州市</c:v>
                </c:pt>
                <c:pt idx="25">
                  <c:v>哈尔滨市</c:v>
                </c:pt>
                <c:pt idx="26">
                  <c:v>南通市</c:v>
                </c:pt>
                <c:pt idx="27">
                  <c:v>邯郸市</c:v>
                </c:pt>
                <c:pt idx="28">
                  <c:v>遵义市</c:v>
                </c:pt>
                <c:pt idx="29">
                  <c:v>太原市</c:v>
                </c:pt>
                <c:pt idx="30">
                  <c:v>济宁市</c:v>
                </c:pt>
                <c:pt idx="31">
                  <c:v>南充市</c:v>
                </c:pt>
                <c:pt idx="32">
                  <c:v>南宁市</c:v>
                </c:pt>
                <c:pt idx="33">
                  <c:v>成都市</c:v>
                </c:pt>
                <c:pt idx="34">
                  <c:v>毕节市</c:v>
                </c:pt>
                <c:pt idx="35">
                  <c:v>大同市</c:v>
                </c:pt>
                <c:pt idx="36">
                  <c:v>广州市</c:v>
                </c:pt>
                <c:pt idx="37">
                  <c:v>厦门市</c:v>
                </c:pt>
                <c:pt idx="38">
                  <c:v>绍兴市</c:v>
                </c:pt>
                <c:pt idx="39">
                  <c:v>金华市</c:v>
                </c:pt>
                <c:pt idx="40">
                  <c:v>温州市</c:v>
                </c:pt>
                <c:pt idx="41">
                  <c:v>齐齐哈尔市</c:v>
                </c:pt>
                <c:pt idx="42">
                  <c:v>嘉兴市</c:v>
                </c:pt>
                <c:pt idx="43">
                  <c:v>银川市</c:v>
                </c:pt>
                <c:pt idx="44">
                  <c:v>上海市</c:v>
                </c:pt>
                <c:pt idx="45">
                  <c:v>徐州市</c:v>
                </c:pt>
                <c:pt idx="46">
                  <c:v>沈阳市</c:v>
                </c:pt>
                <c:pt idx="47">
                  <c:v>拉萨市</c:v>
                </c:pt>
                <c:pt idx="48">
                  <c:v>保定市</c:v>
                </c:pt>
                <c:pt idx="49">
                  <c:v>上饶市</c:v>
                </c:pt>
                <c:pt idx="50">
                  <c:v>济南市</c:v>
                </c:pt>
                <c:pt idx="51">
                  <c:v>玉溪市</c:v>
                </c:pt>
                <c:pt idx="52">
                  <c:v>天水市</c:v>
                </c:pt>
                <c:pt idx="53">
                  <c:v>西宁市</c:v>
                </c:pt>
                <c:pt idx="54">
                  <c:v>海口市</c:v>
                </c:pt>
                <c:pt idx="55">
                  <c:v>吉林市</c:v>
                </c:pt>
                <c:pt idx="56">
                  <c:v>鞍山市</c:v>
                </c:pt>
                <c:pt idx="57">
                  <c:v>石家庄市</c:v>
                </c:pt>
                <c:pt idx="58">
                  <c:v>海西蒙古族藏族自治州</c:v>
                </c:pt>
                <c:pt idx="59">
                  <c:v>衡阳市</c:v>
                </c:pt>
                <c:pt idx="60">
                  <c:v>渭南市</c:v>
                </c:pt>
                <c:pt idx="61">
                  <c:v>合肥市</c:v>
                </c:pt>
                <c:pt idx="62">
                  <c:v>儋州市</c:v>
                </c:pt>
                <c:pt idx="63">
                  <c:v>长沙市</c:v>
                </c:pt>
                <c:pt idx="64">
                  <c:v>大庆市</c:v>
                </c:pt>
                <c:pt idx="65">
                  <c:v>山南市</c:v>
                </c:pt>
                <c:pt idx="66">
                  <c:v>福州市</c:v>
                </c:pt>
                <c:pt idx="67">
                  <c:v>绵阳市</c:v>
                </c:pt>
                <c:pt idx="68">
                  <c:v>日喀则市</c:v>
                </c:pt>
                <c:pt idx="69">
                  <c:v>郑州市</c:v>
                </c:pt>
                <c:pt idx="70">
                  <c:v>包头市</c:v>
                </c:pt>
                <c:pt idx="71">
                  <c:v>大连市</c:v>
                </c:pt>
                <c:pt idx="72">
                  <c:v>常州市</c:v>
                </c:pt>
                <c:pt idx="73">
                  <c:v>赣州市</c:v>
                </c:pt>
                <c:pt idx="74">
                  <c:v>桂林市</c:v>
                </c:pt>
                <c:pt idx="75">
                  <c:v>吴忠市</c:v>
                </c:pt>
                <c:pt idx="76">
                  <c:v>临沂市</c:v>
                </c:pt>
                <c:pt idx="77">
                  <c:v>庆阳市</c:v>
                </c:pt>
                <c:pt idx="78">
                  <c:v>宝鸡市</c:v>
                </c:pt>
                <c:pt idx="79">
                  <c:v>淄博市</c:v>
                </c:pt>
                <c:pt idx="80">
                  <c:v>海东市</c:v>
                </c:pt>
                <c:pt idx="81">
                  <c:v>芜湖市</c:v>
                </c:pt>
                <c:pt idx="82">
                  <c:v>重庆市</c:v>
                </c:pt>
                <c:pt idx="83">
                  <c:v>曲靖市</c:v>
                </c:pt>
                <c:pt idx="84">
                  <c:v>汕头市</c:v>
                </c:pt>
                <c:pt idx="85">
                  <c:v>西安市</c:v>
                </c:pt>
                <c:pt idx="86">
                  <c:v>南阳市</c:v>
                </c:pt>
                <c:pt idx="87">
                  <c:v>运城市</c:v>
                </c:pt>
                <c:pt idx="88">
                  <c:v>哈密市</c:v>
                </c:pt>
                <c:pt idx="89">
                  <c:v>兰州市</c:v>
                </c:pt>
                <c:pt idx="90">
                  <c:v>石嘴山市</c:v>
                </c:pt>
                <c:pt idx="91">
                  <c:v>松原市</c:v>
                </c:pt>
                <c:pt idx="92">
                  <c:v>克拉玛依市</c:v>
                </c:pt>
                <c:pt idx="93">
                  <c:v>唐山市</c:v>
                </c:pt>
                <c:pt idx="94">
                  <c:v>鄂尔多斯市</c:v>
                </c:pt>
                <c:pt idx="95">
                  <c:v>三亚市</c:v>
                </c:pt>
                <c:pt idx="96">
                  <c:v>柳州市</c:v>
                </c:pt>
                <c:pt idx="97">
                  <c:v>阜阳市</c:v>
                </c:pt>
                <c:pt idx="98">
                  <c:v>乌鲁木齐市</c:v>
                </c:pt>
                <c:pt idx="99">
                  <c:v>呼和浩特市</c:v>
                </c:pt>
              </c:strCache>
            </c:strRef>
          </c:cat>
          <c:val>
            <c:numRef>
              <c:f>Sheet1!$D$2:$D$101</c:f>
              <c:numCache>
                <c:formatCode>0.00_);[Red]\(0.00\)</c:formatCode>
                <c:ptCount val="100"/>
                <c:pt idx="0">
                  <c:v>83.3492806042536</c:v>
                </c:pt>
                <c:pt idx="1">
                  <c:v>80.7748026810406</c:v>
                </c:pt>
                <c:pt idx="2">
                  <c:v>82.8598753094545</c:v>
                </c:pt>
                <c:pt idx="3">
                  <c:v>83.1115886218448</c:v>
                </c:pt>
                <c:pt idx="4">
                  <c:v>81.37044458995</c:v>
                </c:pt>
                <c:pt idx="5">
                  <c:v>84.1736522735239</c:v>
                </c:pt>
                <c:pt idx="6">
                  <c:v>79.9229064810869</c:v>
                </c:pt>
                <c:pt idx="7">
                  <c:v>81.284315462638</c:v>
                </c:pt>
                <c:pt idx="8">
                  <c:v>86.668261737687</c:v>
                </c:pt>
                <c:pt idx="9">
                  <c:v>78.7713105677807</c:v>
                </c:pt>
                <c:pt idx="10">
                  <c:v>78.585874424886</c:v>
                </c:pt>
                <c:pt idx="11">
                  <c:v>82.6690731321377</c:v>
                </c:pt>
                <c:pt idx="12">
                  <c:v>74.9038335071118</c:v>
                </c:pt>
                <c:pt idx="13">
                  <c:v>81.3480160424719</c:v>
                </c:pt>
                <c:pt idx="14">
                  <c:v>81.8417198959959</c:v>
                </c:pt>
                <c:pt idx="15">
                  <c:v>69.4795930426825</c:v>
                </c:pt>
                <c:pt idx="16">
                  <c:v>86.0823220811015</c:v>
                </c:pt>
                <c:pt idx="17">
                  <c:v>82.4945068794463</c:v>
                </c:pt>
                <c:pt idx="18">
                  <c:v>69.8736951636751</c:v>
                </c:pt>
                <c:pt idx="19">
                  <c:v>76.2032175164967</c:v>
                </c:pt>
                <c:pt idx="20">
                  <c:v>77.9340542007712</c:v>
                </c:pt>
                <c:pt idx="21">
                  <c:v>73.6705712395464</c:v>
                </c:pt>
                <c:pt idx="22">
                  <c:v>79.5035523909654</c:v>
                </c:pt>
                <c:pt idx="23">
                  <c:v>80.2265908350293</c:v>
                </c:pt>
                <c:pt idx="24">
                  <c:v>82.1849692288869</c:v>
                </c:pt>
                <c:pt idx="25">
                  <c:v>77.5385322706845</c:v>
                </c:pt>
                <c:pt idx="26">
                  <c:v>82.0153417536797</c:v>
                </c:pt>
                <c:pt idx="27">
                  <c:v>71.1152684158205</c:v>
                </c:pt>
                <c:pt idx="28">
                  <c:v>72.212720352669</c:v>
                </c:pt>
                <c:pt idx="29">
                  <c:v>78.6152744269483</c:v>
                </c:pt>
                <c:pt idx="30">
                  <c:v>82.3185617280398</c:v>
                </c:pt>
                <c:pt idx="31">
                  <c:v>79.0101398579669</c:v>
                </c:pt>
                <c:pt idx="32">
                  <c:v>82.651781497108</c:v>
                </c:pt>
                <c:pt idx="33">
                  <c:v>82.203432436222</c:v>
                </c:pt>
                <c:pt idx="34">
                  <c:v>79.0858580862655</c:v>
                </c:pt>
                <c:pt idx="35">
                  <c:v>77.259312093337</c:v>
                </c:pt>
                <c:pt idx="36">
                  <c:v>77.4316810947789</c:v>
                </c:pt>
                <c:pt idx="37">
                  <c:v>84.2009349724437</c:v>
                </c:pt>
                <c:pt idx="38">
                  <c:v>81.8284593313557</c:v>
                </c:pt>
                <c:pt idx="39">
                  <c:v>82.4743456326488</c:v>
                </c:pt>
                <c:pt idx="40">
                  <c:v>82.2677252514314</c:v>
                </c:pt>
                <c:pt idx="41">
                  <c:v>77.7767759929299</c:v>
                </c:pt>
                <c:pt idx="42">
                  <c:v>82.7662586364329</c:v>
                </c:pt>
                <c:pt idx="43">
                  <c:v>81.1447313279877</c:v>
                </c:pt>
                <c:pt idx="44">
                  <c:v>83.6503452084643</c:v>
                </c:pt>
                <c:pt idx="45">
                  <c:v>78.073329580217</c:v>
                </c:pt>
                <c:pt idx="46">
                  <c:v>82.5115644352462</c:v>
                </c:pt>
                <c:pt idx="47">
                  <c:v>81.1926517992098</c:v>
                </c:pt>
                <c:pt idx="48">
                  <c:v>75.5698045745378</c:v>
                </c:pt>
                <c:pt idx="49">
                  <c:v>77.5025823670925</c:v>
                </c:pt>
                <c:pt idx="50">
                  <c:v>82.7666817945674</c:v>
                </c:pt>
                <c:pt idx="51">
                  <c:v>74.3448004434565</c:v>
                </c:pt>
                <c:pt idx="52">
                  <c:v>80.1057718733292</c:v>
                </c:pt>
                <c:pt idx="53">
                  <c:v>79.4658609313013</c:v>
                </c:pt>
                <c:pt idx="54">
                  <c:v>79.8958819297553</c:v>
                </c:pt>
                <c:pt idx="55">
                  <c:v>76.7901183725152</c:v>
                </c:pt>
                <c:pt idx="56">
                  <c:v>80.1686928168441</c:v>
                </c:pt>
                <c:pt idx="57">
                  <c:v>79.2007445205692</c:v>
                </c:pt>
                <c:pt idx="58">
                  <c:v>81.7757587166953</c:v>
                </c:pt>
                <c:pt idx="59">
                  <c:v>70.612957052035</c:v>
                </c:pt>
                <c:pt idx="60">
                  <c:v>81.1374872659996</c:v>
                </c:pt>
                <c:pt idx="61">
                  <c:v>73.125839847068</c:v>
                </c:pt>
                <c:pt idx="62">
                  <c:v>78.7815011203392</c:v>
                </c:pt>
                <c:pt idx="63">
                  <c:v>76.4322810334317</c:v>
                </c:pt>
                <c:pt idx="64">
                  <c:v>77.8053180097334</c:v>
                </c:pt>
                <c:pt idx="65">
                  <c:v>82.6577125660232</c:v>
                </c:pt>
                <c:pt idx="66">
                  <c:v>76.4148859555428</c:v>
                </c:pt>
                <c:pt idx="67">
                  <c:v>75.9172555746014</c:v>
                </c:pt>
                <c:pt idx="68">
                  <c:v>82.3092826904606</c:v>
                </c:pt>
                <c:pt idx="69">
                  <c:v>76.852340368672</c:v>
                </c:pt>
                <c:pt idx="70">
                  <c:v>80.9849997106707</c:v>
                </c:pt>
                <c:pt idx="71">
                  <c:v>75.4891145751673</c:v>
                </c:pt>
                <c:pt idx="72">
                  <c:v>82.9702812737344</c:v>
                </c:pt>
                <c:pt idx="73">
                  <c:v>81.0597327234574</c:v>
                </c:pt>
                <c:pt idx="74">
                  <c:v>73.8572203772298</c:v>
                </c:pt>
                <c:pt idx="75">
                  <c:v>83.8103762127653</c:v>
                </c:pt>
                <c:pt idx="76">
                  <c:v>81.0453394670105</c:v>
                </c:pt>
                <c:pt idx="77">
                  <c:v>76.2893988327548</c:v>
                </c:pt>
                <c:pt idx="78">
                  <c:v>75.9256880726737</c:v>
                </c:pt>
                <c:pt idx="79">
                  <c:v>82.2297783856159</c:v>
                </c:pt>
                <c:pt idx="80">
                  <c:v>76.9473954583656</c:v>
                </c:pt>
                <c:pt idx="81">
                  <c:v>82.4283140758673</c:v>
                </c:pt>
                <c:pt idx="82">
                  <c:v>77.9171631377445</c:v>
                </c:pt>
                <c:pt idx="83">
                  <c:v>76.400811239888</c:v>
                </c:pt>
                <c:pt idx="84">
                  <c:v>73.2157622050259</c:v>
                </c:pt>
                <c:pt idx="85">
                  <c:v>76.7858037039556</c:v>
                </c:pt>
                <c:pt idx="86">
                  <c:v>77.5761113649149</c:v>
                </c:pt>
                <c:pt idx="87">
                  <c:v>76.501820568698</c:v>
                </c:pt>
                <c:pt idx="88">
                  <c:v>75.619463495554</c:v>
                </c:pt>
                <c:pt idx="89">
                  <c:v>74.4724465362187</c:v>
                </c:pt>
                <c:pt idx="90">
                  <c:v>80.763897913047</c:v>
                </c:pt>
                <c:pt idx="91">
                  <c:v>73.3611133386013</c:v>
                </c:pt>
                <c:pt idx="92">
                  <c:v>81.8239639524508</c:v>
                </c:pt>
                <c:pt idx="93">
                  <c:v>73.5359951351368</c:v>
                </c:pt>
                <c:pt idx="94">
                  <c:v>79.1548798027162</c:v>
                </c:pt>
                <c:pt idx="95">
                  <c:v>76.1404313098157</c:v>
                </c:pt>
                <c:pt idx="96">
                  <c:v>80.2138574006017</c:v>
                </c:pt>
                <c:pt idx="97">
                  <c:v>79.3258947411449</c:v>
                </c:pt>
                <c:pt idx="98">
                  <c:v>79.822819355997</c:v>
                </c:pt>
                <c:pt idx="99">
                  <c:v>74.3896580324985</c:v>
                </c:pt>
              </c:numCache>
            </c:numRef>
          </c:val>
          <c:smooth val="1"/>
        </c:ser>
        <c:ser>
          <c:idx val="3"/>
          <c:order val="3"/>
          <c:tx>
            <c:strRef>
              <c:f>Sheet1!$E$1</c:f>
              <c:strCache>
                <c:ptCount val="1"/>
                <c:pt idx="0">
                  <c:v>2019</c:v>
                </c:pt>
              </c:strCache>
            </c:strRef>
          </c:tx>
          <c:spPr>
            <a:ln w="28575" cap="rnd">
              <a:solidFill>
                <a:schemeClr val="accent1">
                  <a:lumMod val="40000"/>
                  <a:lumOff val="60000"/>
                </a:schemeClr>
              </a:solidFill>
              <a:round/>
            </a:ln>
            <a:effectLst/>
          </c:spPr>
          <c:marker>
            <c:symbol val="none"/>
          </c:marker>
          <c:dLbls>
            <c:delete val="1"/>
          </c:dLbls>
          <c:cat>
            <c:strRef>
              <c:f>Sheet1!$A$2:$A$101</c:f>
              <c:strCache>
                <c:ptCount val="100"/>
                <c:pt idx="0">
                  <c:v>苏州市</c:v>
                </c:pt>
                <c:pt idx="1">
                  <c:v>佛山市</c:v>
                </c:pt>
                <c:pt idx="2">
                  <c:v>无锡市</c:v>
                </c:pt>
                <c:pt idx="3">
                  <c:v>烟台市</c:v>
                </c:pt>
                <c:pt idx="4">
                  <c:v>宜昌市</c:v>
                </c:pt>
                <c:pt idx="5">
                  <c:v>青岛市</c:v>
                </c:pt>
                <c:pt idx="6">
                  <c:v>襄阳市</c:v>
                </c:pt>
                <c:pt idx="7">
                  <c:v>天津市</c:v>
                </c:pt>
                <c:pt idx="8">
                  <c:v>杭州市</c:v>
                </c:pt>
                <c:pt idx="9">
                  <c:v>深圳市</c:v>
                </c:pt>
                <c:pt idx="10">
                  <c:v>盐城市</c:v>
                </c:pt>
                <c:pt idx="11">
                  <c:v>北京市</c:v>
                </c:pt>
                <c:pt idx="12">
                  <c:v>台州市</c:v>
                </c:pt>
                <c:pt idx="13">
                  <c:v>潍坊市</c:v>
                </c:pt>
                <c:pt idx="14">
                  <c:v>洛阳市</c:v>
                </c:pt>
                <c:pt idx="15">
                  <c:v>贵阳市</c:v>
                </c:pt>
                <c:pt idx="16">
                  <c:v>南京市</c:v>
                </c:pt>
                <c:pt idx="17">
                  <c:v>宁波市</c:v>
                </c:pt>
                <c:pt idx="18">
                  <c:v>昆明市</c:v>
                </c:pt>
                <c:pt idx="19">
                  <c:v>东莞市</c:v>
                </c:pt>
                <c:pt idx="20">
                  <c:v>武汉市</c:v>
                </c:pt>
                <c:pt idx="21">
                  <c:v>长春市</c:v>
                </c:pt>
                <c:pt idx="22">
                  <c:v>岳阳市</c:v>
                </c:pt>
                <c:pt idx="23">
                  <c:v>南昌市</c:v>
                </c:pt>
                <c:pt idx="24">
                  <c:v>泉州市</c:v>
                </c:pt>
                <c:pt idx="25">
                  <c:v>哈尔滨市</c:v>
                </c:pt>
                <c:pt idx="26">
                  <c:v>南通市</c:v>
                </c:pt>
                <c:pt idx="27">
                  <c:v>邯郸市</c:v>
                </c:pt>
                <c:pt idx="28">
                  <c:v>遵义市</c:v>
                </c:pt>
                <c:pt idx="29">
                  <c:v>太原市</c:v>
                </c:pt>
                <c:pt idx="30">
                  <c:v>济宁市</c:v>
                </c:pt>
                <c:pt idx="31">
                  <c:v>南充市</c:v>
                </c:pt>
                <c:pt idx="32">
                  <c:v>南宁市</c:v>
                </c:pt>
                <c:pt idx="33">
                  <c:v>成都市</c:v>
                </c:pt>
                <c:pt idx="34">
                  <c:v>毕节市</c:v>
                </c:pt>
                <c:pt idx="35">
                  <c:v>大同市</c:v>
                </c:pt>
                <c:pt idx="36">
                  <c:v>广州市</c:v>
                </c:pt>
                <c:pt idx="37">
                  <c:v>厦门市</c:v>
                </c:pt>
                <c:pt idx="38">
                  <c:v>绍兴市</c:v>
                </c:pt>
                <c:pt idx="39">
                  <c:v>金华市</c:v>
                </c:pt>
                <c:pt idx="40">
                  <c:v>温州市</c:v>
                </c:pt>
                <c:pt idx="41">
                  <c:v>齐齐哈尔市</c:v>
                </c:pt>
                <c:pt idx="42">
                  <c:v>嘉兴市</c:v>
                </c:pt>
                <c:pt idx="43">
                  <c:v>银川市</c:v>
                </c:pt>
                <c:pt idx="44">
                  <c:v>上海市</c:v>
                </c:pt>
                <c:pt idx="45">
                  <c:v>徐州市</c:v>
                </c:pt>
                <c:pt idx="46">
                  <c:v>沈阳市</c:v>
                </c:pt>
                <c:pt idx="47">
                  <c:v>拉萨市</c:v>
                </c:pt>
                <c:pt idx="48">
                  <c:v>保定市</c:v>
                </c:pt>
                <c:pt idx="49">
                  <c:v>上饶市</c:v>
                </c:pt>
                <c:pt idx="50">
                  <c:v>济南市</c:v>
                </c:pt>
                <c:pt idx="51">
                  <c:v>玉溪市</c:v>
                </c:pt>
                <c:pt idx="52">
                  <c:v>天水市</c:v>
                </c:pt>
                <c:pt idx="53">
                  <c:v>西宁市</c:v>
                </c:pt>
                <c:pt idx="54">
                  <c:v>海口市</c:v>
                </c:pt>
                <c:pt idx="55">
                  <c:v>吉林市</c:v>
                </c:pt>
                <c:pt idx="56">
                  <c:v>鞍山市</c:v>
                </c:pt>
                <c:pt idx="57">
                  <c:v>石家庄市</c:v>
                </c:pt>
                <c:pt idx="58">
                  <c:v>海西蒙古族藏族自治州</c:v>
                </c:pt>
                <c:pt idx="59">
                  <c:v>衡阳市</c:v>
                </c:pt>
                <c:pt idx="60">
                  <c:v>渭南市</c:v>
                </c:pt>
                <c:pt idx="61">
                  <c:v>合肥市</c:v>
                </c:pt>
                <c:pt idx="62">
                  <c:v>儋州市</c:v>
                </c:pt>
                <c:pt idx="63">
                  <c:v>长沙市</c:v>
                </c:pt>
                <c:pt idx="64">
                  <c:v>大庆市</c:v>
                </c:pt>
                <c:pt idx="65">
                  <c:v>山南市</c:v>
                </c:pt>
                <c:pt idx="66">
                  <c:v>福州市</c:v>
                </c:pt>
                <c:pt idx="67">
                  <c:v>绵阳市</c:v>
                </c:pt>
                <c:pt idx="68">
                  <c:v>日喀则市</c:v>
                </c:pt>
                <c:pt idx="69">
                  <c:v>郑州市</c:v>
                </c:pt>
                <c:pt idx="70">
                  <c:v>包头市</c:v>
                </c:pt>
                <c:pt idx="71">
                  <c:v>大连市</c:v>
                </c:pt>
                <c:pt idx="72">
                  <c:v>常州市</c:v>
                </c:pt>
                <c:pt idx="73">
                  <c:v>赣州市</c:v>
                </c:pt>
                <c:pt idx="74">
                  <c:v>桂林市</c:v>
                </c:pt>
                <c:pt idx="75">
                  <c:v>吴忠市</c:v>
                </c:pt>
                <c:pt idx="76">
                  <c:v>临沂市</c:v>
                </c:pt>
                <c:pt idx="77">
                  <c:v>庆阳市</c:v>
                </c:pt>
                <c:pt idx="78">
                  <c:v>宝鸡市</c:v>
                </c:pt>
                <c:pt idx="79">
                  <c:v>淄博市</c:v>
                </c:pt>
                <c:pt idx="80">
                  <c:v>海东市</c:v>
                </c:pt>
                <c:pt idx="81">
                  <c:v>芜湖市</c:v>
                </c:pt>
                <c:pt idx="82">
                  <c:v>重庆市</c:v>
                </c:pt>
                <c:pt idx="83">
                  <c:v>曲靖市</c:v>
                </c:pt>
                <c:pt idx="84">
                  <c:v>汕头市</c:v>
                </c:pt>
                <c:pt idx="85">
                  <c:v>西安市</c:v>
                </c:pt>
                <c:pt idx="86">
                  <c:v>南阳市</c:v>
                </c:pt>
                <c:pt idx="87">
                  <c:v>运城市</c:v>
                </c:pt>
                <c:pt idx="88">
                  <c:v>哈密市</c:v>
                </c:pt>
                <c:pt idx="89">
                  <c:v>兰州市</c:v>
                </c:pt>
                <c:pt idx="90">
                  <c:v>石嘴山市</c:v>
                </c:pt>
                <c:pt idx="91">
                  <c:v>松原市</c:v>
                </c:pt>
                <c:pt idx="92">
                  <c:v>克拉玛依市</c:v>
                </c:pt>
                <c:pt idx="93">
                  <c:v>唐山市</c:v>
                </c:pt>
                <c:pt idx="94">
                  <c:v>鄂尔多斯市</c:v>
                </c:pt>
                <c:pt idx="95">
                  <c:v>三亚市</c:v>
                </c:pt>
                <c:pt idx="96">
                  <c:v>柳州市</c:v>
                </c:pt>
                <c:pt idx="97">
                  <c:v>阜阳市</c:v>
                </c:pt>
                <c:pt idx="98">
                  <c:v>乌鲁木齐市</c:v>
                </c:pt>
                <c:pt idx="99">
                  <c:v>呼和浩特市</c:v>
                </c:pt>
              </c:strCache>
            </c:strRef>
          </c:cat>
          <c:val>
            <c:numRef>
              <c:f>Sheet1!$E$2:$E$101</c:f>
              <c:numCache>
                <c:formatCode>0.00_);[Red]\(0.00\)</c:formatCode>
                <c:ptCount val="100"/>
                <c:pt idx="0">
                  <c:v>74.84</c:v>
                </c:pt>
                <c:pt idx="1">
                  <c:v>72.57</c:v>
                </c:pt>
                <c:pt idx="2">
                  <c:v>75.99</c:v>
                </c:pt>
                <c:pt idx="3">
                  <c:v>77.73</c:v>
                </c:pt>
                <c:pt idx="4">
                  <c:v>72.87</c:v>
                </c:pt>
                <c:pt idx="5">
                  <c:v>81.49</c:v>
                </c:pt>
                <c:pt idx="6">
                  <c:v>73.57</c:v>
                </c:pt>
                <c:pt idx="7">
                  <c:v>75.01</c:v>
                </c:pt>
                <c:pt idx="8">
                  <c:v>82.33</c:v>
                </c:pt>
                <c:pt idx="9">
                  <c:v>75.86</c:v>
                </c:pt>
                <c:pt idx="10">
                  <c:v>75.5</c:v>
                </c:pt>
                <c:pt idx="11">
                  <c:v>78.15</c:v>
                </c:pt>
                <c:pt idx="12">
                  <c:v>74.6</c:v>
                </c:pt>
                <c:pt idx="13">
                  <c:v>81.16</c:v>
                </c:pt>
                <c:pt idx="14">
                  <c:v>70.36</c:v>
                </c:pt>
                <c:pt idx="15">
                  <c:v>68.15</c:v>
                </c:pt>
                <c:pt idx="16">
                  <c:v>78.77</c:v>
                </c:pt>
                <c:pt idx="17">
                  <c:v>75.05</c:v>
                </c:pt>
                <c:pt idx="18">
                  <c:v>69.92</c:v>
                </c:pt>
                <c:pt idx="19">
                  <c:v>72.19</c:v>
                </c:pt>
                <c:pt idx="20">
                  <c:v>73.4</c:v>
                </c:pt>
                <c:pt idx="21">
                  <c:v>72.24</c:v>
                </c:pt>
                <c:pt idx="22">
                  <c:v>72.67</c:v>
                </c:pt>
                <c:pt idx="23">
                  <c:v>71.16</c:v>
                </c:pt>
                <c:pt idx="24">
                  <c:v>75.97</c:v>
                </c:pt>
                <c:pt idx="25">
                  <c:v>73.99</c:v>
                </c:pt>
                <c:pt idx="26">
                  <c:v>75.97</c:v>
                </c:pt>
                <c:pt idx="27">
                  <c:v>70.72</c:v>
                </c:pt>
                <c:pt idx="28">
                  <c:v>73.38</c:v>
                </c:pt>
                <c:pt idx="29">
                  <c:v>72.51</c:v>
                </c:pt>
                <c:pt idx="30">
                  <c:v>75.58</c:v>
                </c:pt>
                <c:pt idx="31">
                  <c:v>71.86</c:v>
                </c:pt>
                <c:pt idx="32">
                  <c:v>78.08</c:v>
                </c:pt>
                <c:pt idx="33">
                  <c:v>77.74</c:v>
                </c:pt>
                <c:pt idx="34">
                  <c:v>74.31</c:v>
                </c:pt>
                <c:pt idx="35">
                  <c:v>73.73</c:v>
                </c:pt>
                <c:pt idx="36">
                  <c:v>78.89</c:v>
                </c:pt>
                <c:pt idx="37">
                  <c:v>81.48</c:v>
                </c:pt>
                <c:pt idx="38">
                  <c:v>77.55</c:v>
                </c:pt>
                <c:pt idx="39">
                  <c:v>79.01</c:v>
                </c:pt>
                <c:pt idx="40">
                  <c:v>77.81</c:v>
                </c:pt>
                <c:pt idx="41">
                  <c:v>74.46</c:v>
                </c:pt>
                <c:pt idx="42">
                  <c:v>79.52</c:v>
                </c:pt>
                <c:pt idx="43">
                  <c:v>77.3</c:v>
                </c:pt>
                <c:pt idx="44">
                  <c:v>81.25</c:v>
                </c:pt>
                <c:pt idx="45">
                  <c:v>79.2</c:v>
                </c:pt>
                <c:pt idx="46">
                  <c:v>79.47</c:v>
                </c:pt>
                <c:pt idx="47">
                  <c:v>72.42</c:v>
                </c:pt>
                <c:pt idx="48">
                  <c:v>70.42</c:v>
                </c:pt>
                <c:pt idx="49">
                  <c:v>73.63</c:v>
                </c:pt>
                <c:pt idx="50">
                  <c:v>76.99</c:v>
                </c:pt>
                <c:pt idx="51">
                  <c:v>72.46</c:v>
                </c:pt>
                <c:pt idx="52">
                  <c:v>73.88</c:v>
                </c:pt>
                <c:pt idx="53">
                  <c:v>74.82</c:v>
                </c:pt>
                <c:pt idx="54">
                  <c:v>71.19</c:v>
                </c:pt>
                <c:pt idx="55">
                  <c:v>68.51</c:v>
                </c:pt>
                <c:pt idx="56">
                  <c:v>73</c:v>
                </c:pt>
                <c:pt idx="57">
                  <c:v>74.29</c:v>
                </c:pt>
                <c:pt idx="58">
                  <c:v>74.42</c:v>
                </c:pt>
                <c:pt idx="59">
                  <c:v>68.46</c:v>
                </c:pt>
                <c:pt idx="60">
                  <c:v>75.77</c:v>
                </c:pt>
                <c:pt idx="61">
                  <c:v>72.68</c:v>
                </c:pt>
                <c:pt idx="62">
                  <c:v>74.09</c:v>
                </c:pt>
                <c:pt idx="63">
                  <c:v>72.95</c:v>
                </c:pt>
                <c:pt idx="64">
                  <c:v>75.18</c:v>
                </c:pt>
                <c:pt idx="65">
                  <c:v>76.73</c:v>
                </c:pt>
                <c:pt idx="66">
                  <c:v>75.27</c:v>
                </c:pt>
                <c:pt idx="67">
                  <c:v>72.82</c:v>
                </c:pt>
                <c:pt idx="68">
                  <c:v>77.38</c:v>
                </c:pt>
                <c:pt idx="69">
                  <c:v>72.99</c:v>
                </c:pt>
                <c:pt idx="70">
                  <c:v>75.88</c:v>
                </c:pt>
                <c:pt idx="71">
                  <c:v>75.43</c:v>
                </c:pt>
                <c:pt idx="72">
                  <c:v>82.72</c:v>
                </c:pt>
                <c:pt idx="73">
                  <c:v>76.66</c:v>
                </c:pt>
                <c:pt idx="74">
                  <c:v>73.13</c:v>
                </c:pt>
                <c:pt idx="75">
                  <c:v>80.73</c:v>
                </c:pt>
                <c:pt idx="76">
                  <c:v>78.7</c:v>
                </c:pt>
                <c:pt idx="77">
                  <c:v>70.97</c:v>
                </c:pt>
                <c:pt idx="78">
                  <c:v>71.82</c:v>
                </c:pt>
                <c:pt idx="79">
                  <c:v>79.97</c:v>
                </c:pt>
                <c:pt idx="80">
                  <c:v>74.67</c:v>
                </c:pt>
                <c:pt idx="81">
                  <c:v>79.08</c:v>
                </c:pt>
                <c:pt idx="82">
                  <c:v>76.59</c:v>
                </c:pt>
                <c:pt idx="83">
                  <c:v>74.55</c:v>
                </c:pt>
                <c:pt idx="84">
                  <c:v>76.4</c:v>
                </c:pt>
                <c:pt idx="85">
                  <c:v>76</c:v>
                </c:pt>
                <c:pt idx="86">
                  <c:v>75.64</c:v>
                </c:pt>
                <c:pt idx="87">
                  <c:v>74.04</c:v>
                </c:pt>
                <c:pt idx="88">
                  <c:v>75.05</c:v>
                </c:pt>
                <c:pt idx="89">
                  <c:v>74.39</c:v>
                </c:pt>
                <c:pt idx="90">
                  <c:v>76.6</c:v>
                </c:pt>
                <c:pt idx="91">
                  <c:v>75.47</c:v>
                </c:pt>
                <c:pt idx="92">
                  <c:v>80.75</c:v>
                </c:pt>
                <c:pt idx="93">
                  <c:v>76.79</c:v>
                </c:pt>
                <c:pt idx="94">
                  <c:v>78.19</c:v>
                </c:pt>
                <c:pt idx="95">
                  <c:v>74.79</c:v>
                </c:pt>
                <c:pt idx="96">
                  <c:v>75.37</c:v>
                </c:pt>
                <c:pt idx="97">
                  <c:v>76.93</c:v>
                </c:pt>
                <c:pt idx="98">
                  <c:v>78.25</c:v>
                </c:pt>
                <c:pt idx="99">
                  <c:v>76.8</c:v>
                </c:pt>
              </c:numCache>
            </c:numRef>
          </c:val>
          <c:smooth val="1"/>
        </c:ser>
        <c:dLbls>
          <c:showLegendKey val="0"/>
          <c:showVal val="0"/>
          <c:showCatName val="0"/>
          <c:showSerName val="0"/>
          <c:showPercent val="0"/>
          <c:showBubbleSize val="0"/>
        </c:dLbls>
        <c:marker val="0"/>
        <c:smooth val="1"/>
        <c:axId val="766188246"/>
        <c:axId val="900366245"/>
      </c:lineChart>
      <c:catAx>
        <c:axId val="766188246"/>
        <c:scaling>
          <c:orientation val="minMax"/>
        </c:scaling>
        <c:delete val="0"/>
        <c:axPos val="b"/>
        <c:numFmt formatCode="General" sourceLinked="0"/>
        <c:majorTickMark val="none"/>
        <c:minorTickMark val="none"/>
        <c:tickLblPos val="nextTo"/>
        <c:spPr>
          <a:noFill/>
          <a:ln w="9525" cap="flat" cmpd="sng" algn="ctr">
            <a:solidFill>
              <a:srgbClr val="FF0000"/>
            </a:solidFill>
            <a:round/>
          </a:ln>
          <a:effectLst/>
        </c:spPr>
        <c:txPr>
          <a:bodyPr rot="0" spcFirstLastPara="0" vertOverflow="ellipsis" vert="eaVert" wrap="square" anchor="ctr" anchorCtr="1"/>
          <a:lstStyle/>
          <a:p>
            <a:pPr>
              <a:defRPr lang="zh-CN" sz="500" b="0" i="0" u="none" strike="noStrike" kern="1200" baseline="0">
                <a:solidFill>
                  <a:schemeClr val="tx1">
                    <a:lumMod val="65000"/>
                    <a:lumOff val="35000"/>
                  </a:schemeClr>
                </a:solidFill>
                <a:latin typeface="+mn-lt"/>
                <a:ea typeface="+mn-ea"/>
                <a:cs typeface="+mn-cs"/>
              </a:defRPr>
            </a:pPr>
          </a:p>
        </c:txPr>
        <c:crossAx val="900366245"/>
        <c:crosses val="autoZero"/>
        <c:auto val="1"/>
        <c:lblAlgn val="ctr"/>
        <c:lblOffset val="100"/>
        <c:noMultiLvlLbl val="0"/>
      </c:catAx>
      <c:valAx>
        <c:axId val="900366245"/>
        <c:scaling>
          <c:orientation val="minMax"/>
          <c:max val="95"/>
          <c:min val="55"/>
        </c:scaling>
        <c:delete val="0"/>
        <c:axPos val="l"/>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6188246"/>
        <c:crosses val="autoZero"/>
        <c:crossBetween val="between"/>
      </c:valAx>
      <c:spPr>
        <a:noFill/>
        <a:ln>
          <a:solidFill>
            <a:srgbClr val="FF0000"/>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增加支出</c:v>
                </c:pt>
                <c:pt idx="1">
                  <c:v>与今年持平</c:v>
                </c:pt>
                <c:pt idx="2">
                  <c:v>减少支出</c:v>
                </c:pt>
                <c:pt idx="3">
                  <c:v>说不清楚</c:v>
                </c:pt>
              </c:strCache>
            </c:strRef>
          </c:cat>
          <c:val>
            <c:numRef>
              <c:f>Sheet1!$B$2:$B$5</c:f>
              <c:numCache>
                <c:formatCode>0.0%</c:formatCode>
                <c:ptCount val="4"/>
                <c:pt idx="0">
                  <c:v>0.369569732700634</c:v>
                </c:pt>
                <c:pt idx="1">
                  <c:v>0.444215437217402</c:v>
                </c:pt>
                <c:pt idx="2">
                  <c:v>0.142868555177427</c:v>
                </c:pt>
                <c:pt idx="3">
                  <c:v>0.0433462749045359</c:v>
                </c:pt>
              </c:numCache>
            </c:numRef>
          </c:val>
        </c:ser>
        <c:ser>
          <c:idx val="1"/>
          <c:order val="1"/>
          <c:tx>
            <c:strRef>
              <c:f>Sheet1!$C$1</c:f>
              <c:strCache>
                <c:ptCount val="1"/>
                <c:pt idx="0">
                  <c:v>2022</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增加支出</c:v>
                </c:pt>
                <c:pt idx="1">
                  <c:v>与今年持平</c:v>
                </c:pt>
                <c:pt idx="2">
                  <c:v>减少支出</c:v>
                </c:pt>
                <c:pt idx="3">
                  <c:v>说不清楚</c:v>
                </c:pt>
              </c:strCache>
            </c:strRef>
          </c:cat>
          <c:val>
            <c:numRef>
              <c:f>Sheet1!$C$2:$C$5</c:f>
              <c:numCache>
                <c:formatCode>0.0%</c:formatCode>
                <c:ptCount val="4"/>
                <c:pt idx="0">
                  <c:v>0.309</c:v>
                </c:pt>
                <c:pt idx="1">
                  <c:v>0.481</c:v>
                </c:pt>
                <c:pt idx="2">
                  <c:v>0.21</c:v>
                </c:pt>
                <c:pt idx="3">
                  <c:v>0</c:v>
                </c:pt>
              </c:numCache>
            </c:numRef>
          </c:val>
        </c:ser>
        <c:dLbls>
          <c:showLegendKey val="0"/>
          <c:showVal val="1"/>
          <c:showCatName val="0"/>
          <c:showSerName val="0"/>
          <c:showPercent val="0"/>
          <c:showBubbleSize val="0"/>
        </c:dLbls>
        <c:gapWidth val="219"/>
        <c:overlap val="-27"/>
        <c:axId val="625411085"/>
        <c:axId val="582224684"/>
      </c:barChart>
      <c:catAx>
        <c:axId val="62541108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2224684"/>
        <c:crosses val="autoZero"/>
        <c:auto val="1"/>
        <c:lblAlgn val="ctr"/>
        <c:lblOffset val="100"/>
        <c:noMultiLvlLbl val="0"/>
      </c:catAx>
      <c:valAx>
        <c:axId val="582224684"/>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5411085"/>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c:v>
                </c:pt>
              </c:strCache>
            </c:strRef>
          </c:tx>
          <c:spPr>
            <a:solidFill>
              <a:schemeClr val="bg1">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非常乐观</c:v>
                </c:pt>
                <c:pt idx="1">
                  <c:v>比较乐观</c:v>
                </c:pt>
                <c:pt idx="2">
                  <c:v>一般</c:v>
                </c:pt>
                <c:pt idx="3">
                  <c:v>不太乐观</c:v>
                </c:pt>
                <c:pt idx="4">
                  <c:v>非常不乐观</c:v>
                </c:pt>
                <c:pt idx="5">
                  <c:v>说不清楚</c:v>
                </c:pt>
              </c:strCache>
            </c:strRef>
          </c:cat>
          <c:val>
            <c:numRef>
              <c:f>Sheet1!$B$2:$B$7</c:f>
              <c:numCache>
                <c:formatCode>0.0%</c:formatCode>
                <c:ptCount val="6"/>
                <c:pt idx="0">
                  <c:v>0.275623512118743</c:v>
                </c:pt>
                <c:pt idx="1">
                  <c:v>0.432104682931506</c:v>
                </c:pt>
                <c:pt idx="2">
                  <c:v>0.180542906900574</c:v>
                </c:pt>
                <c:pt idx="3">
                  <c:v>0.0884500471328828</c:v>
                </c:pt>
                <c:pt idx="4">
                  <c:v>0.0133090479157679</c:v>
                </c:pt>
                <c:pt idx="5">
                  <c:v>0.00996980300052725</c:v>
                </c:pt>
              </c:numCache>
            </c:numRef>
          </c:val>
        </c:ser>
        <c:ser>
          <c:idx val="1"/>
          <c:order val="1"/>
          <c:tx>
            <c:strRef>
              <c:f>Sheet1!$C$1</c:f>
              <c:strCache>
                <c:ptCount val="1"/>
                <c:pt idx="0">
                  <c:v>2022</c:v>
                </c:pt>
              </c:strCache>
            </c:strRef>
          </c:tx>
          <c:spPr>
            <a:solidFill>
              <a:schemeClr val="accent6"/>
            </a:solidFill>
            <a:ln>
              <a:noFill/>
            </a:ln>
            <a:effectLst/>
          </c:spPr>
          <c:invertIfNegative val="0"/>
          <c:dLbls>
            <c:dLbl>
              <c:idx val="1"/>
              <c:layout>
                <c:manualLayout>
                  <c:x val="0.010745466756212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088650100738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4103425117528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非常乐观</c:v>
                </c:pt>
                <c:pt idx="1">
                  <c:v>比较乐观</c:v>
                </c:pt>
                <c:pt idx="2">
                  <c:v>一般</c:v>
                </c:pt>
                <c:pt idx="3">
                  <c:v>不太乐观</c:v>
                </c:pt>
                <c:pt idx="4">
                  <c:v>非常不乐观</c:v>
                </c:pt>
                <c:pt idx="5">
                  <c:v>说不清楚</c:v>
                </c:pt>
              </c:strCache>
            </c:strRef>
          </c:cat>
          <c:val>
            <c:numRef>
              <c:f>Sheet1!$C$2:$C$7</c:f>
              <c:numCache>
                <c:formatCode>0.0%</c:formatCode>
                <c:ptCount val="6"/>
                <c:pt idx="0">
                  <c:v>0.215</c:v>
                </c:pt>
                <c:pt idx="1">
                  <c:v>0.389</c:v>
                </c:pt>
                <c:pt idx="2">
                  <c:v>0.234</c:v>
                </c:pt>
                <c:pt idx="3">
                  <c:v>0.138</c:v>
                </c:pt>
                <c:pt idx="4">
                  <c:v>0.025</c:v>
                </c:pt>
                <c:pt idx="5">
                  <c:v>0</c:v>
                </c:pt>
              </c:numCache>
            </c:numRef>
          </c:val>
        </c:ser>
        <c:dLbls>
          <c:showLegendKey val="0"/>
          <c:showVal val="1"/>
          <c:showCatName val="0"/>
          <c:showSerName val="0"/>
          <c:showPercent val="0"/>
          <c:showBubbleSize val="0"/>
        </c:dLbls>
        <c:gapWidth val="219"/>
        <c:overlap val="-27"/>
        <c:axId val="625411085"/>
        <c:axId val="582224684"/>
      </c:barChart>
      <c:catAx>
        <c:axId val="62541108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2224684"/>
        <c:crosses val="autoZero"/>
        <c:auto val="1"/>
        <c:lblAlgn val="ctr"/>
        <c:lblOffset val="100"/>
        <c:noMultiLvlLbl val="0"/>
      </c:catAx>
      <c:valAx>
        <c:axId val="582224684"/>
        <c:scaling>
          <c:orientation val="minMax"/>
        </c:scaling>
        <c:delete val="1"/>
        <c:axPos val="l"/>
        <c:numFmt formatCode="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5411085"/>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消费供给</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1"/>
              <c:layout>
                <c:manualLayout>
                  <c:x val="-0.035691114098337"/>
                  <c:y val="0.05163046569643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29148078137235"/>
                  <c:y val="0.05163046569643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accent6">
                        <a:lumMod val="7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0.00_);[Red]\(0.00\)</c:formatCode>
                <c:ptCount val="6"/>
                <c:pt idx="0">
                  <c:v>75.02</c:v>
                </c:pt>
                <c:pt idx="1">
                  <c:v>75.72</c:v>
                </c:pt>
                <c:pt idx="2">
                  <c:v>78.46</c:v>
                </c:pt>
                <c:pt idx="3">
                  <c:v>81.36</c:v>
                </c:pt>
                <c:pt idx="4">
                  <c:v>81.93</c:v>
                </c:pt>
                <c:pt idx="5">
                  <c:v>80.54</c:v>
                </c:pt>
              </c:numCache>
            </c:numRef>
          </c:val>
          <c:smooth val="1"/>
        </c:ser>
        <c:ser>
          <c:idx val="1"/>
          <c:order val="1"/>
          <c:tx>
            <c:strRef>
              <c:f>Sheet1!$C$1</c:f>
              <c:strCache>
                <c:ptCount val="1"/>
                <c:pt idx="0">
                  <c:v>消费环境</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0.0470563922105451"/>
                  <c:y val="0.059886399648960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77306036239811"/>
                  <c:y val="-0.03092887382885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80990120034659"/>
                  <c:y val="0.030990630815110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40200329521778"/>
                  <c:y val="-0.03092887382885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120394895256441"/>
                  <c:y val="0.028895768833849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accent1">
                        <a:lumMod val="7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0.00_);[Red]\(0.00\)</c:formatCode>
                <c:ptCount val="6"/>
                <c:pt idx="0">
                  <c:v>72.9</c:v>
                </c:pt>
                <c:pt idx="1">
                  <c:v>76.11</c:v>
                </c:pt>
                <c:pt idx="2">
                  <c:v>79.08</c:v>
                </c:pt>
                <c:pt idx="3">
                  <c:v>80.62</c:v>
                </c:pt>
                <c:pt idx="4">
                  <c:v>80.52</c:v>
                </c:pt>
                <c:pt idx="5">
                  <c:v>78.92</c:v>
                </c:pt>
              </c:numCache>
            </c:numRef>
          </c:val>
          <c:smooth val="1"/>
        </c:ser>
        <c:ser>
          <c:idx val="2"/>
          <c:order val="2"/>
          <c:tx>
            <c:strRef>
              <c:f>Sheet1!$D$1</c:f>
              <c:strCache>
                <c:ptCount val="1"/>
                <c:pt idx="0">
                  <c:v>消费维权</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dLbls>
            <c:dLbl>
              <c:idx val="4"/>
              <c:layout>
                <c:manualLayout>
                  <c:x val="-0.0284674203829506"/>
                  <c:y val="0.05163046569643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963159162051529"/>
                  <c:y val="0.0970072239422085"/>
                </c:manualLayout>
              </c:layout>
              <c:dLblPos val="t"/>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accent2">
                        <a:lumMod val="7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Sheet1!$D$2:$D$7</c:f>
              <c:numCache>
                <c:formatCode>0.00_);[Red]\(0.00\)</c:formatCode>
                <c:ptCount val="6"/>
                <c:pt idx="0">
                  <c:v>66.92</c:v>
                </c:pt>
                <c:pt idx="1">
                  <c:v>66.33</c:v>
                </c:pt>
                <c:pt idx="2">
                  <c:v>70.86</c:v>
                </c:pt>
                <c:pt idx="3">
                  <c:v>74.7</c:v>
                </c:pt>
                <c:pt idx="4">
                  <c:v>80.05</c:v>
                </c:pt>
                <c:pt idx="5">
                  <c:v>77.53</c:v>
                </c:pt>
              </c:numCache>
            </c:numRef>
          </c:val>
          <c:smooth val="1"/>
        </c:ser>
        <c:dLbls>
          <c:showLegendKey val="0"/>
          <c:showVal val="1"/>
          <c:showCatName val="0"/>
          <c:showSerName val="0"/>
          <c:showPercent val="0"/>
          <c:showBubbleSize val="0"/>
        </c:dLbls>
        <c:marker val="1"/>
        <c:smooth val="1"/>
        <c:axId val="749735391"/>
        <c:axId val="749737471"/>
      </c:lineChart>
      <c:catAx>
        <c:axId val="749735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37471"/>
        <c:crosses val="autoZero"/>
        <c:auto val="1"/>
        <c:lblAlgn val="ctr"/>
        <c:lblOffset val="100"/>
        <c:noMultiLvlLbl val="0"/>
      </c:catAx>
      <c:valAx>
        <c:axId val="749737471"/>
        <c:scaling>
          <c:orientation val="minMax"/>
          <c:min val="65"/>
        </c:scaling>
        <c:delete val="0"/>
        <c:axPos val="l"/>
        <c:numFmt formatCode="0.00_);[Red]\(0.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353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6">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Sheet1!$B$2:$B$5</c:f>
              <c:numCache>
                <c:formatCode>General</c:formatCode>
                <c:ptCount val="4"/>
                <c:pt idx="0">
                  <c:v>74.03</c:v>
                </c:pt>
                <c:pt idx="1">
                  <c:v>72.92</c:v>
                </c:pt>
                <c:pt idx="2">
                  <c:v>71.69</c:v>
                </c:pt>
                <c:pt idx="3">
                  <c:v>71.35</c:v>
                </c:pt>
              </c:numCache>
            </c:numRef>
          </c:val>
        </c:ser>
        <c:ser>
          <c:idx val="1"/>
          <c:order val="1"/>
          <c:tx>
            <c:strRef>
              <c:f>Sheet1!$C$1</c:f>
              <c:strCache>
                <c:ptCount val="1"/>
                <c:pt idx="0">
                  <c:v>2019</c:v>
                </c:pt>
              </c:strCache>
            </c:strRef>
          </c:tx>
          <c:spPr>
            <a:solidFill>
              <a:schemeClr val="accent6">
                <a:lumMod val="40000"/>
                <a:lumOff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Sheet1!$C$2:$C$5</c:f>
              <c:numCache>
                <c:formatCode>General</c:formatCode>
                <c:ptCount val="4"/>
                <c:pt idx="0">
                  <c:v>77.69</c:v>
                </c:pt>
                <c:pt idx="1">
                  <c:v>76.09</c:v>
                </c:pt>
                <c:pt idx="2">
                  <c:v>74.2</c:v>
                </c:pt>
                <c:pt idx="3">
                  <c:v>74.75</c:v>
                </c:pt>
              </c:numCache>
            </c:numRef>
          </c:val>
        </c:ser>
        <c:ser>
          <c:idx val="2"/>
          <c:order val="2"/>
          <c:tx>
            <c:strRef>
              <c:f>Sheet1!$D$1</c:f>
              <c:strCache>
                <c:ptCount val="1"/>
                <c:pt idx="0">
                  <c:v>2020</c:v>
                </c:pt>
              </c:strCache>
            </c:strRef>
          </c:tx>
          <c:spPr>
            <a:solidFill>
              <a:schemeClr val="accent6">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Sheet1!$D$2:$D$5</c:f>
              <c:numCache>
                <c:formatCode>0.00_);[Red]\(0.00\)</c:formatCode>
                <c:ptCount val="4"/>
                <c:pt idx="0">
                  <c:v>80.8933613482657</c:v>
                </c:pt>
                <c:pt idx="1">
                  <c:v>79.6581312548518</c:v>
                </c:pt>
                <c:pt idx="2">
                  <c:v>77.3289956490919</c:v>
                </c:pt>
                <c:pt idx="3">
                  <c:v>78.675778137523</c:v>
                </c:pt>
              </c:numCache>
            </c:numRef>
          </c:val>
        </c:ser>
        <c:ser>
          <c:idx val="3"/>
          <c:order val="3"/>
          <c:tx>
            <c:strRef>
              <c:f>Sheet1!$E$1</c:f>
              <c:strCache>
                <c:ptCount val="1"/>
                <c:pt idx="0">
                  <c:v>2021</c:v>
                </c:pt>
              </c:strCache>
            </c:strRef>
          </c:tx>
          <c:spPr>
            <a:solidFill>
              <a:schemeClr val="accent6"/>
            </a:solidFill>
            <a:ln>
              <a:noFill/>
            </a:ln>
            <a:effectLst/>
          </c:spPr>
          <c:invertIfNegative val="0"/>
          <c:dLbls>
            <c:dLbl>
              <c:idx val="3"/>
              <c:layout>
                <c:manualLayout>
                  <c:x val="0"/>
                  <c:y val="-0.009293680297397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Sheet1!$E$2:$E$5</c:f>
              <c:numCache>
                <c:formatCode>0.00_);[Red]\(0.00\)</c:formatCode>
                <c:ptCount val="4"/>
                <c:pt idx="0">
                  <c:v>82.250518</c:v>
                </c:pt>
                <c:pt idx="1">
                  <c:v>81.092794</c:v>
                </c:pt>
                <c:pt idx="2">
                  <c:v>79.321248</c:v>
                </c:pt>
                <c:pt idx="3">
                  <c:v>79.217909</c:v>
                </c:pt>
              </c:numCache>
            </c:numRef>
          </c:val>
        </c:ser>
        <c:ser>
          <c:idx val="4"/>
          <c:order val="4"/>
          <c:tx>
            <c:strRef>
              <c:f>Sheet1!$F$1</c:f>
              <c:strCache>
                <c:ptCount val="1"/>
                <c:pt idx="0">
                  <c:v>2022</c:v>
                </c:pt>
              </c:strCache>
            </c:strRef>
          </c:tx>
          <c:spPr>
            <a:solidFill>
              <a:schemeClr val="accent6">
                <a:lumMod val="75000"/>
              </a:schemeClr>
            </a:solidFill>
            <a:ln>
              <a:noFill/>
            </a:ln>
            <a:effectLst/>
          </c:spPr>
          <c:invertIfNegative val="0"/>
          <c:dLbls>
            <c:dLbl>
              <c:idx val="0"/>
              <c:layout>
                <c:manualLayout>
                  <c:x val="0.02625"/>
                  <c:y val="0.01858736059479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75"/>
                  <c:y val="0.01394052044609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4千亿以上</c:v>
                </c:pt>
                <c:pt idx="1">
                  <c:v>2千亿-4千亿</c:v>
                </c:pt>
                <c:pt idx="2">
                  <c:v>1千亿-2千亿</c:v>
                </c:pt>
                <c:pt idx="3">
                  <c:v>1千亿以下</c:v>
                </c:pt>
              </c:strCache>
            </c:strRef>
          </c:cat>
          <c:val>
            <c:numRef>
              <c:f>Sheet1!$F$2:$F$5</c:f>
              <c:numCache>
                <c:formatCode>0.00_ </c:formatCode>
                <c:ptCount val="4"/>
                <c:pt idx="0">
                  <c:v>81.846776</c:v>
                </c:pt>
                <c:pt idx="1">
                  <c:v>80.706836</c:v>
                </c:pt>
                <c:pt idx="2">
                  <c:v>75.883771</c:v>
                </c:pt>
                <c:pt idx="3">
                  <c:v>75.404438</c:v>
                </c:pt>
              </c:numCache>
            </c:numRef>
          </c:val>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9557187"/>
        <c:crosses val="autoZero"/>
        <c:auto val="1"/>
        <c:lblAlgn val="ctr"/>
        <c:lblOffset val="100"/>
        <c:noMultiLvlLbl val="0"/>
      </c:catAx>
      <c:valAx>
        <c:axId val="609557187"/>
        <c:scaling>
          <c:orientation val="minMax"/>
          <c:min val="55"/>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4228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6">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Sheet1!$B$2:$B$6</c:f>
              <c:numCache>
                <c:formatCode>0.00_);[Red]\(0.00\)</c:formatCode>
                <c:ptCount val="5"/>
                <c:pt idx="0">
                  <c:v>74.57</c:v>
                </c:pt>
                <c:pt idx="1">
                  <c:v>72.86</c:v>
                </c:pt>
                <c:pt idx="2">
                  <c:v>73</c:v>
                </c:pt>
                <c:pt idx="3">
                  <c:v>72.85</c:v>
                </c:pt>
                <c:pt idx="4">
                  <c:v>66.56</c:v>
                </c:pt>
              </c:numCache>
            </c:numRef>
          </c:val>
        </c:ser>
        <c:ser>
          <c:idx val="1"/>
          <c:order val="1"/>
          <c:tx>
            <c:strRef>
              <c:f>Sheet1!$C$1</c:f>
              <c:strCache>
                <c:ptCount val="1"/>
                <c:pt idx="0">
                  <c:v>2019</c:v>
                </c:pt>
              </c:strCache>
            </c:strRef>
          </c:tx>
          <c:spPr>
            <a:solidFill>
              <a:schemeClr val="accent6">
                <a:lumMod val="40000"/>
                <a:lumOff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Sheet1!$C$2:$C$6</c:f>
              <c:numCache>
                <c:formatCode>0.00_);[Red]\(0.00\)</c:formatCode>
                <c:ptCount val="5"/>
                <c:pt idx="0">
                  <c:v>78.29</c:v>
                </c:pt>
                <c:pt idx="1">
                  <c:v>76.82</c:v>
                </c:pt>
                <c:pt idx="2">
                  <c:v>75.84</c:v>
                </c:pt>
                <c:pt idx="3">
                  <c:v>75.45</c:v>
                </c:pt>
                <c:pt idx="4">
                  <c:v>75.62</c:v>
                </c:pt>
              </c:numCache>
            </c:numRef>
          </c:val>
        </c:ser>
        <c:ser>
          <c:idx val="2"/>
          <c:order val="2"/>
          <c:tx>
            <c:strRef>
              <c:f>Sheet1!$D$1</c:f>
              <c:strCache>
                <c:ptCount val="1"/>
                <c:pt idx="0">
                  <c:v>2020</c:v>
                </c:pt>
              </c:strCache>
            </c:strRef>
          </c:tx>
          <c:spPr>
            <a:solidFill>
              <a:schemeClr val="accent6">
                <a:lumMod val="60000"/>
                <a:lumOff val="40000"/>
              </a:schemeClr>
            </a:solidFill>
            <a:ln>
              <a:noFill/>
            </a:ln>
            <a:effectLst/>
          </c:spPr>
          <c:invertIfNegative val="0"/>
          <c:dLbls>
            <c:dLbl>
              <c:idx val="4"/>
              <c:layout>
                <c:manualLayout>
                  <c:x val="0"/>
                  <c:y val="0.009293680297397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Sheet1!$D$2:$D$6</c:f>
              <c:numCache>
                <c:formatCode>0.00_);[Red]\(0.00\)</c:formatCode>
                <c:ptCount val="5"/>
                <c:pt idx="0">
                  <c:v>80.6818577896436</c:v>
                </c:pt>
                <c:pt idx="1">
                  <c:v>80.4158957059591</c:v>
                </c:pt>
                <c:pt idx="2">
                  <c:v>79.1037478713705</c:v>
                </c:pt>
                <c:pt idx="3">
                  <c:v>78.7571882096299</c:v>
                </c:pt>
                <c:pt idx="4">
                  <c:v>79.0117804597429</c:v>
                </c:pt>
              </c:numCache>
            </c:numRef>
          </c:val>
        </c:ser>
        <c:ser>
          <c:idx val="3"/>
          <c:order val="3"/>
          <c:tx>
            <c:strRef>
              <c:f>Sheet1!$E$1</c:f>
              <c:strCache>
                <c:ptCount val="1"/>
                <c:pt idx="0">
                  <c:v>2021</c:v>
                </c:pt>
              </c:strCache>
            </c:strRef>
          </c:tx>
          <c:spPr>
            <a:solidFill>
              <a:schemeClr val="accent6"/>
            </a:solidFill>
            <a:ln>
              <a:noFill/>
            </a:ln>
            <a:effectLst/>
          </c:spPr>
          <c:invertIfNegative val="0"/>
          <c:dLbls>
            <c:dLbl>
              <c:idx val="4"/>
              <c:layout>
                <c:manualLayout>
                  <c:x val="0.0025"/>
                  <c:y val="-0.01858736059479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Sheet1!$E$2:$E$6</c:f>
              <c:numCache>
                <c:formatCode>0.00_);[Red]\(0.00\)</c:formatCode>
                <c:ptCount val="5"/>
                <c:pt idx="0">
                  <c:v>82.017081</c:v>
                </c:pt>
                <c:pt idx="1">
                  <c:v>81.446575</c:v>
                </c:pt>
                <c:pt idx="2">
                  <c:v>80.639502</c:v>
                </c:pt>
                <c:pt idx="3">
                  <c:v>79.799176</c:v>
                </c:pt>
                <c:pt idx="4">
                  <c:v>79.372106</c:v>
                </c:pt>
              </c:numCache>
            </c:numRef>
          </c:val>
        </c:ser>
        <c:ser>
          <c:idx val="4"/>
          <c:order val="4"/>
          <c:tx>
            <c:strRef>
              <c:f>Sheet1!$F$1</c:f>
              <c:strCache>
                <c:ptCount val="1"/>
                <c:pt idx="0">
                  <c:v>2022</c:v>
                </c:pt>
              </c:strCache>
            </c:strRef>
          </c:tx>
          <c:spPr>
            <a:solidFill>
              <a:schemeClr val="accent6">
                <a:lumMod val="75000"/>
              </a:schemeClr>
            </a:solidFill>
            <a:ln>
              <a:noFill/>
            </a:ln>
            <a:effectLst/>
          </c:spPr>
          <c:invertIfNegative val="0"/>
          <c:dLbls>
            <c:dLbl>
              <c:idx val="0"/>
              <c:layout>
                <c:manualLayout>
                  <c:x val="0.01875"/>
                  <c:y val="0.02788104089219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25"/>
                  <c:y val="0.02323420074349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超大城市</c:v>
                </c:pt>
                <c:pt idx="1">
                  <c:v>特大城市</c:v>
                </c:pt>
                <c:pt idx="2">
                  <c:v>Ⅰ型大城市</c:v>
                </c:pt>
                <c:pt idx="3">
                  <c:v>Ⅱ型大城市</c:v>
                </c:pt>
                <c:pt idx="4">
                  <c:v>中小型城市</c:v>
                </c:pt>
              </c:strCache>
            </c:strRef>
          </c:cat>
          <c:val>
            <c:numRef>
              <c:f>Sheet1!$F$2:$F$6</c:f>
              <c:numCache>
                <c:formatCode>0.00_ </c:formatCode>
                <c:ptCount val="5"/>
                <c:pt idx="0">
                  <c:v>81.882896</c:v>
                </c:pt>
                <c:pt idx="1">
                  <c:v>81.203723</c:v>
                </c:pt>
                <c:pt idx="2">
                  <c:v>78.969259</c:v>
                </c:pt>
                <c:pt idx="3">
                  <c:v>77.068628</c:v>
                </c:pt>
                <c:pt idx="4">
                  <c:v>75.283245</c:v>
                </c:pt>
              </c:numCache>
            </c:numRef>
          </c:val>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9557187"/>
        <c:crosses val="autoZero"/>
        <c:auto val="1"/>
        <c:lblAlgn val="ctr"/>
        <c:lblOffset val="100"/>
        <c:noMultiLvlLbl val="0"/>
      </c:catAx>
      <c:valAx>
        <c:axId val="609557187"/>
        <c:scaling>
          <c:orientation val="minMax"/>
          <c:min val="55"/>
        </c:scaling>
        <c:delete val="1"/>
        <c:axPos val="l"/>
        <c:numFmt formatCode="0.00_);[Red]\(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4228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6">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Sheet1!$B$2:$B$5</c:f>
              <c:numCache>
                <c:formatCode>General</c:formatCode>
                <c:ptCount val="4"/>
                <c:pt idx="0">
                  <c:v>74.67</c:v>
                </c:pt>
                <c:pt idx="1">
                  <c:v>73.73</c:v>
                </c:pt>
                <c:pt idx="2">
                  <c:v>72.98</c:v>
                </c:pt>
                <c:pt idx="3">
                  <c:v>73.14</c:v>
                </c:pt>
              </c:numCache>
            </c:numRef>
          </c:val>
        </c:ser>
        <c:ser>
          <c:idx val="1"/>
          <c:order val="1"/>
          <c:tx>
            <c:strRef>
              <c:f>Sheet1!$C$1</c:f>
              <c:strCache>
                <c:ptCount val="1"/>
                <c:pt idx="0">
                  <c:v>2019</c:v>
                </c:pt>
              </c:strCache>
            </c:strRef>
          </c:tx>
          <c:spPr>
            <a:solidFill>
              <a:schemeClr val="accent6">
                <a:lumMod val="40000"/>
                <a:lumOff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Sheet1!$C$2:$C$5</c:f>
              <c:numCache>
                <c:formatCode>General</c:formatCode>
                <c:ptCount val="4"/>
                <c:pt idx="0">
                  <c:v>78.4</c:v>
                </c:pt>
                <c:pt idx="1">
                  <c:v>77.21</c:v>
                </c:pt>
                <c:pt idx="2">
                  <c:v>76.41</c:v>
                </c:pt>
                <c:pt idx="3">
                  <c:v>75.75</c:v>
                </c:pt>
              </c:numCache>
            </c:numRef>
          </c:val>
        </c:ser>
        <c:ser>
          <c:idx val="2"/>
          <c:order val="2"/>
          <c:tx>
            <c:strRef>
              <c:f>Sheet1!$D$1</c:f>
              <c:strCache>
                <c:ptCount val="1"/>
                <c:pt idx="0">
                  <c:v>2020</c:v>
                </c:pt>
              </c:strCache>
            </c:strRef>
          </c:tx>
          <c:spPr>
            <a:solidFill>
              <a:schemeClr val="accent6">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Sheet1!$D$2:$D$5</c:f>
              <c:numCache>
                <c:formatCode>0.00_);[Red]\(0.00\)</c:formatCode>
                <c:ptCount val="4"/>
                <c:pt idx="0">
                  <c:v>81.9138980002035</c:v>
                </c:pt>
                <c:pt idx="1">
                  <c:v>81.064139366994</c:v>
                </c:pt>
                <c:pt idx="2">
                  <c:v>78.8006890201166</c:v>
                </c:pt>
                <c:pt idx="3">
                  <c:v>79.0485623185381</c:v>
                </c:pt>
              </c:numCache>
            </c:numRef>
          </c:val>
        </c:ser>
        <c:ser>
          <c:idx val="3"/>
          <c:order val="3"/>
          <c:tx>
            <c:strRef>
              <c:f>Sheet1!$E$1</c:f>
              <c:strCache>
                <c:ptCount val="1"/>
                <c:pt idx="0">
                  <c:v>2021</c:v>
                </c:pt>
              </c:strCache>
            </c:strRef>
          </c:tx>
          <c:spPr>
            <a:solidFill>
              <a:schemeClr val="accent6"/>
            </a:solidFill>
            <a:ln>
              <a:noFill/>
            </a:ln>
            <a:effectLst/>
          </c:spPr>
          <c:invertIfNegative val="0"/>
          <c:dLbls>
            <c:dLbl>
              <c:idx val="0"/>
              <c:layout>
                <c:manualLayout>
                  <c:x val="0"/>
                  <c:y val="-0.01199328376109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Sheet1!$E$2:$E$5</c:f>
              <c:numCache>
                <c:formatCode>0.00_);[Red]\(0.00\)</c:formatCode>
                <c:ptCount val="4"/>
                <c:pt idx="0">
                  <c:v>82.556275</c:v>
                </c:pt>
                <c:pt idx="1">
                  <c:v>82.37916</c:v>
                </c:pt>
                <c:pt idx="2">
                  <c:v>80.335636</c:v>
                </c:pt>
                <c:pt idx="3">
                  <c:v>80.258134</c:v>
                </c:pt>
              </c:numCache>
            </c:numRef>
          </c:val>
        </c:ser>
        <c:ser>
          <c:idx val="4"/>
          <c:order val="4"/>
          <c:tx>
            <c:strRef>
              <c:f>Sheet1!$F$1</c:f>
              <c:strCache>
                <c:ptCount val="1"/>
                <c:pt idx="0">
                  <c:v>2022</c:v>
                </c:pt>
              </c:strCache>
            </c:strRef>
          </c:tx>
          <c:spPr>
            <a:solidFill>
              <a:schemeClr val="accent6">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直辖市</c:v>
                </c:pt>
                <c:pt idx="1">
                  <c:v>计划单列市</c:v>
                </c:pt>
                <c:pt idx="2">
                  <c:v>省会城市</c:v>
                </c:pt>
                <c:pt idx="3">
                  <c:v>其他城市</c:v>
                </c:pt>
              </c:strCache>
            </c:strRef>
          </c:cat>
          <c:val>
            <c:numRef>
              <c:f>Sheet1!$F$2:$F$5</c:f>
              <c:numCache>
                <c:formatCode>0.00_ </c:formatCode>
                <c:ptCount val="4"/>
                <c:pt idx="0">
                  <c:v>81.495076</c:v>
                </c:pt>
                <c:pt idx="1">
                  <c:v>83.72294</c:v>
                </c:pt>
                <c:pt idx="2">
                  <c:v>78.730985</c:v>
                </c:pt>
                <c:pt idx="3">
                  <c:v>77.959109</c:v>
                </c:pt>
              </c:numCache>
            </c:numRef>
          </c:val>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9557187"/>
        <c:crosses val="autoZero"/>
        <c:auto val="1"/>
        <c:lblAlgn val="ctr"/>
        <c:lblOffset val="100"/>
        <c:noMultiLvlLbl val="0"/>
      </c:catAx>
      <c:valAx>
        <c:axId val="609557187"/>
        <c:scaling>
          <c:orientation val="minMax"/>
          <c:min val="55"/>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4228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6">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Sheet1!$B$2:$B$4</c:f>
              <c:numCache>
                <c:formatCode>General</c:formatCode>
                <c:ptCount val="3"/>
                <c:pt idx="0">
                  <c:v>74.16</c:v>
                </c:pt>
                <c:pt idx="1">
                  <c:v>71.69</c:v>
                </c:pt>
                <c:pt idx="2">
                  <c:v>73.36</c:v>
                </c:pt>
              </c:numCache>
            </c:numRef>
          </c:val>
        </c:ser>
        <c:ser>
          <c:idx val="1"/>
          <c:order val="1"/>
          <c:tx>
            <c:strRef>
              <c:f>Sheet1!$C$1</c:f>
              <c:strCache>
                <c:ptCount val="1"/>
                <c:pt idx="0">
                  <c:v>2019</c:v>
                </c:pt>
              </c:strCache>
            </c:strRef>
          </c:tx>
          <c:spPr>
            <a:solidFill>
              <a:schemeClr val="accent6">
                <a:lumMod val="40000"/>
                <a:lumOff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Sheet1!$C$2:$C$4</c:f>
              <c:numCache>
                <c:formatCode>General</c:formatCode>
                <c:ptCount val="3"/>
                <c:pt idx="0">
                  <c:v>77.98</c:v>
                </c:pt>
                <c:pt idx="1">
                  <c:v>73.37</c:v>
                </c:pt>
                <c:pt idx="2">
                  <c:v>76.25</c:v>
                </c:pt>
              </c:numCache>
            </c:numRef>
          </c:val>
        </c:ser>
        <c:ser>
          <c:idx val="2"/>
          <c:order val="2"/>
          <c:tx>
            <c:strRef>
              <c:f>Sheet1!$D$1</c:f>
              <c:strCache>
                <c:ptCount val="1"/>
                <c:pt idx="0">
                  <c:v>2020</c:v>
                </c:pt>
              </c:strCache>
            </c:strRef>
          </c:tx>
          <c:spPr>
            <a:solidFill>
              <a:schemeClr val="accent6">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Sheet1!$D$2:$D$4</c:f>
              <c:numCache>
                <c:formatCode>0.00_);[Red]\(0.00\)</c:formatCode>
                <c:ptCount val="3"/>
                <c:pt idx="0">
                  <c:v>80.687593094444</c:v>
                </c:pt>
                <c:pt idx="1">
                  <c:v>77.7207007650776</c:v>
                </c:pt>
                <c:pt idx="2">
                  <c:v>78.4568008153148</c:v>
                </c:pt>
              </c:numCache>
            </c:numRef>
          </c:val>
        </c:ser>
        <c:ser>
          <c:idx val="3"/>
          <c:order val="3"/>
          <c:tx>
            <c:strRef>
              <c:f>Sheet1!$E$1</c:f>
              <c:strCache>
                <c:ptCount val="1"/>
                <c:pt idx="0">
                  <c:v>2021</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Sheet1!$E$2:$E$4</c:f>
              <c:numCache>
                <c:formatCode>0.00_);[Red]\(0.00\)</c:formatCode>
                <c:ptCount val="3"/>
                <c:pt idx="0">
                  <c:v>81.917266</c:v>
                </c:pt>
                <c:pt idx="1">
                  <c:v>79.541461</c:v>
                </c:pt>
                <c:pt idx="2">
                  <c:v>79.382038</c:v>
                </c:pt>
              </c:numCache>
            </c:numRef>
          </c:val>
        </c:ser>
        <c:ser>
          <c:idx val="4"/>
          <c:order val="4"/>
          <c:tx>
            <c:strRef>
              <c:f>Sheet1!$F$1</c:f>
              <c:strCache>
                <c:ptCount val="1"/>
                <c:pt idx="0">
                  <c:v>2022</c:v>
                </c:pt>
              </c:strCache>
            </c:strRef>
          </c:tx>
          <c:spPr>
            <a:solidFill>
              <a:schemeClr val="accent6">
                <a:lumMod val="75000"/>
              </a:schemeClr>
            </a:solidFill>
            <a:ln>
              <a:noFill/>
            </a:ln>
            <a:effectLst/>
          </c:spPr>
          <c:invertIfNegative val="0"/>
          <c:dLbls>
            <c:dLbl>
              <c:idx val="0"/>
              <c:layout>
                <c:manualLayout>
                  <c:x val="0.0128849375080531"/>
                  <c:y val="0.0180180180180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东部</c:v>
                </c:pt>
                <c:pt idx="1">
                  <c:v>中部</c:v>
                </c:pt>
                <c:pt idx="2">
                  <c:v>西部</c:v>
                </c:pt>
              </c:strCache>
            </c:strRef>
          </c:cat>
          <c:val>
            <c:numRef>
              <c:f>Sheet1!$F$2:$F$4</c:f>
              <c:numCache>
                <c:formatCode>0.00_ </c:formatCode>
                <c:ptCount val="3"/>
                <c:pt idx="0">
                  <c:v>81.658198</c:v>
                </c:pt>
                <c:pt idx="1">
                  <c:v>76.551642</c:v>
                </c:pt>
                <c:pt idx="2">
                  <c:v>76.18825</c:v>
                </c:pt>
              </c:numCache>
            </c:numRef>
          </c:val>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9557187"/>
        <c:crosses val="autoZero"/>
        <c:auto val="1"/>
        <c:lblAlgn val="ctr"/>
        <c:lblOffset val="100"/>
        <c:noMultiLvlLbl val="0"/>
      </c:catAx>
      <c:valAx>
        <c:axId val="609557187"/>
        <c:scaling>
          <c:orientation val="minMax"/>
          <c:min val="55"/>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4228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6">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Sheet1!$B$2:$B$8</c:f>
              <c:numCache>
                <c:formatCode>General</c:formatCode>
                <c:ptCount val="7"/>
                <c:pt idx="0">
                  <c:v>74.23</c:v>
                </c:pt>
                <c:pt idx="1">
                  <c:v>73.89</c:v>
                </c:pt>
                <c:pt idx="2">
                  <c:v>71.6</c:v>
                </c:pt>
                <c:pt idx="3">
                  <c:v>73.82</c:v>
                </c:pt>
                <c:pt idx="4">
                  <c:v>73.86</c:v>
                </c:pt>
                <c:pt idx="5">
                  <c:v>72.56</c:v>
                </c:pt>
                <c:pt idx="6">
                  <c:v>71.12</c:v>
                </c:pt>
              </c:numCache>
            </c:numRef>
          </c:val>
        </c:ser>
        <c:ser>
          <c:idx val="1"/>
          <c:order val="1"/>
          <c:tx>
            <c:strRef>
              <c:f>Sheet1!$C$1</c:f>
              <c:strCache>
                <c:ptCount val="1"/>
                <c:pt idx="0">
                  <c:v>2019</c:v>
                </c:pt>
              </c:strCache>
            </c:strRef>
          </c:tx>
          <c:spPr>
            <a:solidFill>
              <a:schemeClr val="accent6">
                <a:lumMod val="40000"/>
                <a:lumOff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Sheet1!$C$2:$C$8</c:f>
              <c:numCache>
                <c:formatCode>General</c:formatCode>
                <c:ptCount val="7"/>
                <c:pt idx="0">
                  <c:v>78.76</c:v>
                </c:pt>
                <c:pt idx="1">
                  <c:v>76.41</c:v>
                </c:pt>
                <c:pt idx="2">
                  <c:v>73.28</c:v>
                </c:pt>
                <c:pt idx="3">
                  <c:v>76.8</c:v>
                </c:pt>
                <c:pt idx="4">
                  <c:v>76.24</c:v>
                </c:pt>
                <c:pt idx="5">
                  <c:v>75.01</c:v>
                </c:pt>
                <c:pt idx="6">
                  <c:v>75.68</c:v>
                </c:pt>
              </c:numCache>
            </c:numRef>
          </c:val>
        </c:ser>
        <c:ser>
          <c:idx val="2"/>
          <c:order val="2"/>
          <c:tx>
            <c:strRef>
              <c:f>Sheet1!$D$1</c:f>
              <c:strCache>
                <c:ptCount val="1"/>
                <c:pt idx="0">
                  <c:v>2020</c:v>
                </c:pt>
              </c:strCache>
            </c:strRef>
          </c:tx>
          <c:spPr>
            <a:solidFill>
              <a:schemeClr val="accent6">
                <a:lumMod val="60000"/>
                <a:lumOff val="40000"/>
              </a:schemeClr>
            </a:solidFill>
            <a:ln>
              <a:noFill/>
            </a:ln>
            <a:effectLst/>
          </c:spPr>
          <c:invertIfNegative val="0"/>
          <c:dLbls>
            <c:dLbl>
              <c:idx val="0"/>
              <c:layout>
                <c:manualLayout>
                  <c:x val="-0.00644246875402654"/>
                  <c:y val="0.01807909604519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Sheet1!$D$2:$D$8</c:f>
              <c:numCache>
                <c:formatCode>0.00_);[Red]\(0.00\)</c:formatCode>
                <c:ptCount val="7"/>
                <c:pt idx="0">
                  <c:v>81.9212487539804</c:v>
                </c:pt>
                <c:pt idx="1">
                  <c:v>78.2425915584262</c:v>
                </c:pt>
                <c:pt idx="2">
                  <c:v>78.0352410550298</c:v>
                </c:pt>
                <c:pt idx="3">
                  <c:v>78.1956817328859</c:v>
                </c:pt>
                <c:pt idx="4">
                  <c:v>77.6360904613298</c:v>
                </c:pt>
                <c:pt idx="5">
                  <c:v>77.3925748096613</c:v>
                </c:pt>
                <c:pt idx="6">
                  <c:v>79.0888209190462</c:v>
                </c:pt>
              </c:numCache>
            </c:numRef>
          </c:val>
        </c:ser>
        <c:ser>
          <c:idx val="3"/>
          <c:order val="3"/>
          <c:tx>
            <c:strRef>
              <c:f>Sheet1!$E$1</c:f>
              <c:strCache>
                <c:ptCount val="1"/>
                <c:pt idx="0">
                  <c:v>2021</c:v>
                </c:pt>
              </c:strCache>
            </c:strRef>
          </c:tx>
          <c:spPr>
            <a:solidFill>
              <a:schemeClr val="accent6"/>
            </a:solidFill>
            <a:ln>
              <a:noFill/>
            </a:ln>
            <a:effectLst/>
          </c:spPr>
          <c:invertIfNegative val="0"/>
          <c:dLbls>
            <c:dLbl>
              <c:idx val="6"/>
              <c:layout>
                <c:manualLayout>
                  <c:x val="0.00773096250483185"/>
                  <c:y val="0.02259887005649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Sheet1!$E$2:$E$8</c:f>
              <c:numCache>
                <c:formatCode>0.00_);[Red]\(0.00\)</c:formatCode>
                <c:ptCount val="7"/>
                <c:pt idx="0">
                  <c:v>82.613555</c:v>
                </c:pt>
                <c:pt idx="1">
                  <c:v>80.179695</c:v>
                </c:pt>
                <c:pt idx="2">
                  <c:v>79.857709</c:v>
                </c:pt>
                <c:pt idx="3">
                  <c:v>79.830768</c:v>
                </c:pt>
                <c:pt idx="4">
                  <c:v>79.67281</c:v>
                </c:pt>
                <c:pt idx="5">
                  <c:v>79.496017</c:v>
                </c:pt>
                <c:pt idx="6">
                  <c:v>79.058084</c:v>
                </c:pt>
              </c:numCache>
            </c:numRef>
          </c:val>
        </c:ser>
        <c:ser>
          <c:idx val="4"/>
          <c:order val="4"/>
          <c:tx>
            <c:strRef>
              <c:f>Sheet1!$F$1</c:f>
              <c:strCache>
                <c:ptCount val="1"/>
                <c:pt idx="0">
                  <c:v>2022</c:v>
                </c:pt>
              </c:strCache>
            </c:strRef>
          </c:tx>
          <c:spPr>
            <a:solidFill>
              <a:schemeClr val="accent6">
                <a:lumMod val="75000"/>
              </a:schemeClr>
            </a:solidFill>
            <a:ln>
              <a:noFill/>
            </a:ln>
            <a:effectLst/>
          </c:spPr>
          <c:invertIfNegative val="0"/>
          <c:dLbls>
            <c:dLbl>
              <c:idx val="0"/>
              <c:layout>
                <c:manualLayout>
                  <c:x val="0.0296353562685221"/>
                  <c:y val="0.01920903954802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2884937508053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30795000644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73096250483185"/>
                  <c:y val="0.006779661016949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41734312588584"/>
                  <c:y val="0.004519774011299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15964437572478"/>
                  <c:y val="0.004519774011299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63909359038572"/>
                  <c:y val="0.03728813559322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c:v>
                </c:pt>
                <c:pt idx="1">
                  <c:v>华北</c:v>
                </c:pt>
                <c:pt idx="2">
                  <c:v>华中</c:v>
                </c:pt>
                <c:pt idx="3">
                  <c:v>华南</c:v>
                </c:pt>
                <c:pt idx="4">
                  <c:v>西南</c:v>
                </c:pt>
                <c:pt idx="5">
                  <c:v>东北</c:v>
                </c:pt>
                <c:pt idx="6">
                  <c:v>西北</c:v>
                </c:pt>
              </c:strCache>
            </c:strRef>
          </c:cat>
          <c:val>
            <c:numRef>
              <c:f>Sheet1!$F$2:$F$8</c:f>
              <c:numCache>
                <c:formatCode>0.00_ </c:formatCode>
                <c:ptCount val="7"/>
                <c:pt idx="0">
                  <c:v>82.262366</c:v>
                </c:pt>
                <c:pt idx="1">
                  <c:v>77.5133</c:v>
                </c:pt>
                <c:pt idx="2">
                  <c:v>77.423047</c:v>
                </c:pt>
                <c:pt idx="3">
                  <c:v>79.196025</c:v>
                </c:pt>
                <c:pt idx="4">
                  <c:v>77.599141</c:v>
                </c:pt>
                <c:pt idx="5">
                  <c:v>76.520106</c:v>
                </c:pt>
                <c:pt idx="6">
                  <c:v>75.082185</c:v>
                </c:pt>
              </c:numCache>
            </c:numRef>
          </c:val>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9557187"/>
        <c:crosses val="autoZero"/>
        <c:auto val="1"/>
        <c:lblAlgn val="ctr"/>
        <c:lblOffset val="100"/>
        <c:noMultiLvlLbl val="0"/>
      </c:catAx>
      <c:valAx>
        <c:axId val="609557187"/>
        <c:scaling>
          <c:orientation val="minMax"/>
          <c:min val="65"/>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4228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2018</c:v>
                </c:pt>
              </c:strCache>
            </c:strRef>
          </c:tx>
          <c:spPr>
            <a:solidFill>
              <a:schemeClr val="accent6">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北京市</c:v>
                </c:pt>
                <c:pt idx="2">
                  <c:v>山东省</c:v>
                </c:pt>
                <c:pt idx="3">
                  <c:v>浙江省</c:v>
                </c:pt>
                <c:pt idx="4">
                  <c:v>天津市</c:v>
                </c:pt>
                <c:pt idx="5">
                  <c:v>上海市</c:v>
                </c:pt>
                <c:pt idx="6">
                  <c:v>广东省</c:v>
                </c:pt>
                <c:pt idx="7">
                  <c:v>湖北省</c:v>
                </c:pt>
                <c:pt idx="8">
                  <c:v>福建省</c:v>
                </c:pt>
                <c:pt idx="9">
                  <c:v>四川省</c:v>
                </c:pt>
                <c:pt idx="10">
                  <c:v>贵州省</c:v>
                </c:pt>
                <c:pt idx="11">
                  <c:v>黑龙江省</c:v>
                </c:pt>
                <c:pt idx="12">
                  <c:v>宁夏回族自治区</c:v>
                </c:pt>
                <c:pt idx="13">
                  <c:v>西藏自治区</c:v>
                </c:pt>
                <c:pt idx="14">
                  <c:v>辽宁省</c:v>
                </c:pt>
              </c:strCache>
            </c:strRef>
          </c:cat>
          <c:val>
            <c:numRef>
              <c:f>Sheet1!$B$2:$B$16</c:f>
              <c:numCache>
                <c:formatCode>General</c:formatCode>
                <c:ptCount val="15"/>
                <c:pt idx="0">
                  <c:v>74.24</c:v>
                </c:pt>
                <c:pt idx="1">
                  <c:v>74.67</c:v>
                </c:pt>
                <c:pt idx="2">
                  <c:v>73.65</c:v>
                </c:pt>
                <c:pt idx="3">
                  <c:v>73.44</c:v>
                </c:pt>
                <c:pt idx="4">
                  <c:v>72.82</c:v>
                </c:pt>
                <c:pt idx="5">
                  <c:v>75.54</c:v>
                </c:pt>
                <c:pt idx="6">
                  <c:v>74.07</c:v>
                </c:pt>
                <c:pt idx="7">
                  <c:v>71.72</c:v>
                </c:pt>
                <c:pt idx="8">
                  <c:v>73.8</c:v>
                </c:pt>
                <c:pt idx="9">
                  <c:v>73.72</c:v>
                </c:pt>
                <c:pt idx="10">
                  <c:v>72.76</c:v>
                </c:pt>
                <c:pt idx="11">
                  <c:v>72.57</c:v>
                </c:pt>
                <c:pt idx="12">
                  <c:v>70.73</c:v>
                </c:pt>
                <c:pt idx="13">
                  <c:v>65.14</c:v>
                </c:pt>
                <c:pt idx="14">
                  <c:v>72.98</c:v>
                </c:pt>
              </c:numCache>
            </c:numRef>
          </c:val>
        </c:ser>
        <c:ser>
          <c:idx val="1"/>
          <c:order val="1"/>
          <c:tx>
            <c:strRef>
              <c:f>Sheet1!$C$1</c:f>
              <c:strCache>
                <c:ptCount val="1"/>
                <c:pt idx="0">
                  <c:v>2019</c:v>
                </c:pt>
              </c:strCache>
            </c:strRef>
          </c:tx>
          <c:spPr>
            <a:solidFill>
              <a:schemeClr val="accent6">
                <a:lumMod val="40000"/>
                <a:lumOff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北京市</c:v>
                </c:pt>
                <c:pt idx="2">
                  <c:v>山东省</c:v>
                </c:pt>
                <c:pt idx="3">
                  <c:v>浙江省</c:v>
                </c:pt>
                <c:pt idx="4">
                  <c:v>天津市</c:v>
                </c:pt>
                <c:pt idx="5">
                  <c:v>上海市</c:v>
                </c:pt>
                <c:pt idx="6">
                  <c:v>广东省</c:v>
                </c:pt>
                <c:pt idx="7">
                  <c:v>湖北省</c:v>
                </c:pt>
                <c:pt idx="8">
                  <c:v>福建省</c:v>
                </c:pt>
                <c:pt idx="9">
                  <c:v>四川省</c:v>
                </c:pt>
                <c:pt idx="10">
                  <c:v>贵州省</c:v>
                </c:pt>
                <c:pt idx="11">
                  <c:v>黑龙江省</c:v>
                </c:pt>
                <c:pt idx="12">
                  <c:v>宁夏回族自治区</c:v>
                </c:pt>
                <c:pt idx="13">
                  <c:v>西藏自治区</c:v>
                </c:pt>
                <c:pt idx="14">
                  <c:v>辽宁省</c:v>
                </c:pt>
              </c:strCache>
            </c:strRef>
          </c:cat>
          <c:val>
            <c:numRef>
              <c:f>Sheet1!$C$2:$C$16</c:f>
              <c:numCache>
                <c:formatCode>General</c:formatCode>
                <c:ptCount val="15"/>
                <c:pt idx="0">
                  <c:v>77.03</c:v>
                </c:pt>
                <c:pt idx="1">
                  <c:v>78.15</c:v>
                </c:pt>
                <c:pt idx="2">
                  <c:v>79.12</c:v>
                </c:pt>
                <c:pt idx="3">
                  <c:v>78.76</c:v>
                </c:pt>
                <c:pt idx="4">
                  <c:v>75.01</c:v>
                </c:pt>
                <c:pt idx="5">
                  <c:v>81.25</c:v>
                </c:pt>
                <c:pt idx="6">
                  <c:v>76.85</c:v>
                </c:pt>
                <c:pt idx="7">
                  <c:v>73.39</c:v>
                </c:pt>
                <c:pt idx="8">
                  <c:v>76.14</c:v>
                </c:pt>
                <c:pt idx="9">
                  <c:v>77.24</c:v>
                </c:pt>
                <c:pt idx="10">
                  <c:v>71.22</c:v>
                </c:pt>
                <c:pt idx="11">
                  <c:v>74.08</c:v>
                </c:pt>
                <c:pt idx="12">
                  <c:v>77.63</c:v>
                </c:pt>
                <c:pt idx="13">
                  <c:v>74.31</c:v>
                </c:pt>
                <c:pt idx="14">
                  <c:v>77.62</c:v>
                </c:pt>
              </c:numCache>
            </c:numRef>
          </c:val>
        </c:ser>
        <c:ser>
          <c:idx val="2"/>
          <c:order val="2"/>
          <c:tx>
            <c:strRef>
              <c:f>Sheet1!$D$1</c:f>
              <c:strCache>
                <c:ptCount val="1"/>
                <c:pt idx="0">
                  <c:v>2020</c:v>
                </c:pt>
              </c:strCache>
            </c:strRef>
          </c:tx>
          <c:spPr>
            <a:solidFill>
              <a:schemeClr val="accent6">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北京市</c:v>
                </c:pt>
                <c:pt idx="2">
                  <c:v>山东省</c:v>
                </c:pt>
                <c:pt idx="3">
                  <c:v>浙江省</c:v>
                </c:pt>
                <c:pt idx="4">
                  <c:v>天津市</c:v>
                </c:pt>
                <c:pt idx="5">
                  <c:v>上海市</c:v>
                </c:pt>
                <c:pt idx="6">
                  <c:v>广东省</c:v>
                </c:pt>
                <c:pt idx="7">
                  <c:v>湖北省</c:v>
                </c:pt>
                <c:pt idx="8">
                  <c:v>福建省</c:v>
                </c:pt>
                <c:pt idx="9">
                  <c:v>四川省</c:v>
                </c:pt>
                <c:pt idx="10">
                  <c:v>贵州省</c:v>
                </c:pt>
                <c:pt idx="11">
                  <c:v>黑龙江省</c:v>
                </c:pt>
                <c:pt idx="12">
                  <c:v>宁夏回族自治区</c:v>
                </c:pt>
                <c:pt idx="13">
                  <c:v>西藏自治区</c:v>
                </c:pt>
                <c:pt idx="14">
                  <c:v>辽宁省</c:v>
                </c:pt>
              </c:strCache>
            </c:strRef>
          </c:cat>
          <c:val>
            <c:numRef>
              <c:f>Sheet1!$D$2:$D$16</c:f>
              <c:numCache>
                <c:formatCode>0.00_);[Red]\(0.00\)</c:formatCode>
                <c:ptCount val="15"/>
                <c:pt idx="0">
                  <c:v>82.5905912515352</c:v>
                </c:pt>
                <c:pt idx="1">
                  <c:v>82.6690731321377</c:v>
                </c:pt>
                <c:pt idx="2">
                  <c:v>82.558866286003</c:v>
                </c:pt>
                <c:pt idx="3">
                  <c:v>82.3885839181359</c:v>
                </c:pt>
                <c:pt idx="4">
                  <c:v>81.284315462638</c:v>
                </c:pt>
                <c:pt idx="5">
                  <c:v>83.6503452084643</c:v>
                </c:pt>
                <c:pt idx="6">
                  <c:v>77.5547549000551</c:v>
                </c:pt>
                <c:pt idx="7">
                  <c:v>79.3277031342303</c:v>
                </c:pt>
                <c:pt idx="8">
                  <c:v>81.1029000609594</c:v>
                </c:pt>
                <c:pt idx="9">
                  <c:v>79.7679238274184</c:v>
                </c:pt>
                <c:pt idx="10">
                  <c:v>73.6698999062768</c:v>
                </c:pt>
                <c:pt idx="11">
                  <c:v>77.6043683895579</c:v>
                </c:pt>
                <c:pt idx="12">
                  <c:v>81.8783667306718</c:v>
                </c:pt>
                <c:pt idx="13">
                  <c:v>82.0644197117008</c:v>
                </c:pt>
                <c:pt idx="14">
                  <c:v>79.8112607172813</c:v>
                </c:pt>
              </c:numCache>
            </c:numRef>
          </c:val>
        </c:ser>
        <c:ser>
          <c:idx val="3"/>
          <c:order val="3"/>
          <c:tx>
            <c:strRef>
              <c:f>Sheet1!$E$1</c:f>
              <c:strCache>
                <c:ptCount val="1"/>
                <c:pt idx="0">
                  <c:v>2021</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北京市</c:v>
                </c:pt>
                <c:pt idx="2">
                  <c:v>山东省</c:v>
                </c:pt>
                <c:pt idx="3">
                  <c:v>浙江省</c:v>
                </c:pt>
                <c:pt idx="4">
                  <c:v>天津市</c:v>
                </c:pt>
                <c:pt idx="5">
                  <c:v>上海市</c:v>
                </c:pt>
                <c:pt idx="6">
                  <c:v>广东省</c:v>
                </c:pt>
                <c:pt idx="7">
                  <c:v>湖北省</c:v>
                </c:pt>
                <c:pt idx="8">
                  <c:v>福建省</c:v>
                </c:pt>
                <c:pt idx="9">
                  <c:v>四川省</c:v>
                </c:pt>
                <c:pt idx="10">
                  <c:v>贵州省</c:v>
                </c:pt>
                <c:pt idx="11">
                  <c:v>黑龙江省</c:v>
                </c:pt>
                <c:pt idx="12">
                  <c:v>宁夏回族自治区</c:v>
                </c:pt>
                <c:pt idx="13">
                  <c:v>西藏自治区</c:v>
                </c:pt>
                <c:pt idx="14">
                  <c:v>辽宁省</c:v>
                </c:pt>
              </c:strCache>
            </c:strRef>
          </c:cat>
          <c:val>
            <c:numRef>
              <c:f>Sheet1!$E$2:$E$16</c:f>
              <c:numCache>
                <c:formatCode>0.00_);[Red]\(0.00\)</c:formatCode>
                <c:ptCount val="15"/>
                <c:pt idx="0">
                  <c:v>84.702733</c:v>
                </c:pt>
                <c:pt idx="1">
                  <c:v>83.485326</c:v>
                </c:pt>
                <c:pt idx="2">
                  <c:v>82.586256</c:v>
                </c:pt>
                <c:pt idx="3">
                  <c:v>82.595096</c:v>
                </c:pt>
                <c:pt idx="4">
                  <c:v>81.485</c:v>
                </c:pt>
                <c:pt idx="5">
                  <c:v>84.574184</c:v>
                </c:pt>
                <c:pt idx="6">
                  <c:v>80.554128</c:v>
                </c:pt>
                <c:pt idx="7">
                  <c:v>80.889827</c:v>
                </c:pt>
                <c:pt idx="8">
                  <c:v>81.556069</c:v>
                </c:pt>
                <c:pt idx="9">
                  <c:v>80.501623</c:v>
                </c:pt>
                <c:pt idx="10">
                  <c:v>79.117716</c:v>
                </c:pt>
                <c:pt idx="11">
                  <c:v>80.07691</c:v>
                </c:pt>
                <c:pt idx="12">
                  <c:v>80.403605</c:v>
                </c:pt>
                <c:pt idx="13">
                  <c:v>80.485712</c:v>
                </c:pt>
                <c:pt idx="14">
                  <c:v>79.787753</c:v>
                </c:pt>
              </c:numCache>
            </c:numRef>
          </c:val>
        </c:ser>
        <c:ser>
          <c:idx val="4"/>
          <c:order val="4"/>
          <c:tx>
            <c:strRef>
              <c:f>Sheet1!$F$1</c:f>
              <c:strCache>
                <c:ptCount val="1"/>
                <c:pt idx="0">
                  <c:v>2022</c:v>
                </c:pt>
              </c:strCache>
            </c:strRef>
          </c:tx>
          <c:spPr>
            <a:solidFill>
              <a:schemeClr val="accent6">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江苏省</c:v>
                </c:pt>
                <c:pt idx="1">
                  <c:v>北京市</c:v>
                </c:pt>
                <c:pt idx="2">
                  <c:v>山东省</c:v>
                </c:pt>
                <c:pt idx="3">
                  <c:v>浙江省</c:v>
                </c:pt>
                <c:pt idx="4">
                  <c:v>天津市</c:v>
                </c:pt>
                <c:pt idx="5">
                  <c:v>上海市</c:v>
                </c:pt>
                <c:pt idx="6">
                  <c:v>广东省</c:v>
                </c:pt>
                <c:pt idx="7">
                  <c:v>湖北省</c:v>
                </c:pt>
                <c:pt idx="8">
                  <c:v>福建省</c:v>
                </c:pt>
                <c:pt idx="9">
                  <c:v>四川省</c:v>
                </c:pt>
                <c:pt idx="10">
                  <c:v>贵州省</c:v>
                </c:pt>
                <c:pt idx="11">
                  <c:v>黑龙江省</c:v>
                </c:pt>
                <c:pt idx="12">
                  <c:v>宁夏回族自治区</c:v>
                </c:pt>
                <c:pt idx="13">
                  <c:v>西藏自治区</c:v>
                </c:pt>
                <c:pt idx="14">
                  <c:v>辽宁省</c:v>
                </c:pt>
              </c:strCache>
            </c:strRef>
          </c:cat>
          <c:val>
            <c:numRef>
              <c:f>Sheet1!$F$2:$F$16</c:f>
              <c:numCache>
                <c:formatCode>0.00_);[Red]\(0.00\)</c:formatCode>
                <c:ptCount val="15"/>
                <c:pt idx="0">
                  <c:v>85.6951135202136</c:v>
                </c:pt>
                <c:pt idx="1">
                  <c:v>84.4216006801719</c:v>
                </c:pt>
                <c:pt idx="2">
                  <c:v>83.3378430293782</c:v>
                </c:pt>
                <c:pt idx="3">
                  <c:v>83.0071583847916</c:v>
                </c:pt>
                <c:pt idx="4">
                  <c:v>82.7423110686649</c:v>
                </c:pt>
                <c:pt idx="5">
                  <c:v>82.1288111654877</c:v>
                </c:pt>
                <c:pt idx="6">
                  <c:v>82.044558068754</c:v>
                </c:pt>
                <c:pt idx="7">
                  <c:v>81.2780779758008</c:v>
                </c:pt>
                <c:pt idx="8">
                  <c:v>80.7717431488243</c:v>
                </c:pt>
                <c:pt idx="9">
                  <c:v>79.0122369949329</c:v>
                </c:pt>
                <c:pt idx="10">
                  <c:v>78.6731495184258</c:v>
                </c:pt>
                <c:pt idx="11">
                  <c:v>77.7483238152975</c:v>
                </c:pt>
                <c:pt idx="12">
                  <c:v>77.5732450500743</c:v>
                </c:pt>
                <c:pt idx="13">
                  <c:v>77.4795799636559</c:v>
                </c:pt>
                <c:pt idx="14">
                  <c:v>77.3260793943672</c:v>
                </c:pt>
              </c:numCache>
            </c:numRef>
          </c:val>
        </c:ser>
        <c:dLbls>
          <c:showLegendKey val="0"/>
          <c:showVal val="1"/>
          <c:showCatName val="0"/>
          <c:showSerName val="0"/>
          <c:showPercent val="0"/>
          <c:showBubbleSize val="0"/>
        </c:dLbls>
        <c:gapWidth val="182"/>
        <c:axId val="174881062"/>
        <c:axId val="709473472"/>
      </c:barChart>
      <c:catAx>
        <c:axId val="17488106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9473472"/>
        <c:crosses val="autoZero"/>
        <c:auto val="1"/>
        <c:lblAlgn val="ctr"/>
        <c:lblOffset val="100"/>
        <c:noMultiLvlLbl val="0"/>
      </c:catAx>
      <c:valAx>
        <c:axId val="709473472"/>
        <c:scaling>
          <c:orientation val="minMax"/>
          <c:min val="60"/>
        </c:scaling>
        <c:delete val="1"/>
        <c:axPos val="t"/>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88106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2018</c:v>
                </c:pt>
              </c:strCache>
            </c:strRef>
          </c:tx>
          <c:spPr>
            <a:solidFill>
              <a:schemeClr val="accent6">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江西省</c:v>
                </c:pt>
                <c:pt idx="1">
                  <c:v>广西壮族自治区</c:v>
                </c:pt>
                <c:pt idx="2">
                  <c:v>河南省</c:v>
                </c:pt>
                <c:pt idx="3">
                  <c:v>重庆市</c:v>
                </c:pt>
                <c:pt idx="4">
                  <c:v>青海省</c:v>
                </c:pt>
                <c:pt idx="5">
                  <c:v>山西省</c:v>
                </c:pt>
                <c:pt idx="6">
                  <c:v>云南省</c:v>
                </c:pt>
                <c:pt idx="7">
                  <c:v>安徽省</c:v>
                </c:pt>
                <c:pt idx="8">
                  <c:v>河北省</c:v>
                </c:pt>
                <c:pt idx="9">
                  <c:v>陕西省</c:v>
                </c:pt>
                <c:pt idx="10">
                  <c:v>新疆维吾尔自治区</c:v>
                </c:pt>
                <c:pt idx="11">
                  <c:v>湖南省</c:v>
                </c:pt>
                <c:pt idx="12">
                  <c:v>内蒙古自治区</c:v>
                </c:pt>
                <c:pt idx="13">
                  <c:v>吉林省</c:v>
                </c:pt>
                <c:pt idx="14">
                  <c:v>海南省</c:v>
                </c:pt>
                <c:pt idx="15">
                  <c:v>甘肃省</c:v>
                </c:pt>
              </c:strCache>
            </c:strRef>
          </c:cat>
          <c:val>
            <c:numRef>
              <c:f>Sheet1!$B$2:$B$17</c:f>
              <c:numCache>
                <c:formatCode>General</c:formatCode>
                <c:ptCount val="16"/>
                <c:pt idx="0">
                  <c:v>69.85</c:v>
                </c:pt>
                <c:pt idx="1">
                  <c:v>68.99</c:v>
                </c:pt>
                <c:pt idx="2">
                  <c:v>71.71</c:v>
                </c:pt>
                <c:pt idx="3">
                  <c:v>74.18</c:v>
                </c:pt>
                <c:pt idx="4">
                  <c:v>71.76</c:v>
                </c:pt>
                <c:pt idx="5">
                  <c:v>72.44</c:v>
                </c:pt>
                <c:pt idx="6">
                  <c:v>71.62</c:v>
                </c:pt>
                <c:pt idx="7">
                  <c:v>71.66</c:v>
                </c:pt>
                <c:pt idx="8">
                  <c:v>72.64</c:v>
                </c:pt>
                <c:pt idx="9">
                  <c:v>70.95</c:v>
                </c:pt>
                <c:pt idx="10">
                  <c:v>72.45</c:v>
                </c:pt>
                <c:pt idx="11">
                  <c:v>71.14</c:v>
                </c:pt>
                <c:pt idx="12">
                  <c:v>72.84</c:v>
                </c:pt>
                <c:pt idx="13">
                  <c:v>71.62</c:v>
                </c:pt>
                <c:pt idx="14">
                  <c:v>65.82</c:v>
                </c:pt>
                <c:pt idx="15">
                  <c:v>69.88</c:v>
                </c:pt>
              </c:numCache>
            </c:numRef>
          </c:val>
        </c:ser>
        <c:ser>
          <c:idx val="1"/>
          <c:order val="1"/>
          <c:tx>
            <c:strRef>
              <c:f>Sheet1!$C$1</c:f>
              <c:strCache>
                <c:ptCount val="1"/>
                <c:pt idx="0">
                  <c:v>2019</c:v>
                </c:pt>
              </c:strCache>
            </c:strRef>
          </c:tx>
          <c:spPr>
            <a:solidFill>
              <a:schemeClr val="accent6">
                <a:lumMod val="40000"/>
                <a:lumOff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江西省</c:v>
                </c:pt>
                <c:pt idx="1">
                  <c:v>广西壮族自治区</c:v>
                </c:pt>
                <c:pt idx="2">
                  <c:v>河南省</c:v>
                </c:pt>
                <c:pt idx="3">
                  <c:v>重庆市</c:v>
                </c:pt>
                <c:pt idx="4">
                  <c:v>青海省</c:v>
                </c:pt>
                <c:pt idx="5">
                  <c:v>山西省</c:v>
                </c:pt>
                <c:pt idx="6">
                  <c:v>云南省</c:v>
                </c:pt>
                <c:pt idx="7">
                  <c:v>安徽省</c:v>
                </c:pt>
                <c:pt idx="8">
                  <c:v>河北省</c:v>
                </c:pt>
                <c:pt idx="9">
                  <c:v>陕西省</c:v>
                </c:pt>
                <c:pt idx="10">
                  <c:v>新疆维吾尔自治区</c:v>
                </c:pt>
                <c:pt idx="11">
                  <c:v>湖南省</c:v>
                </c:pt>
                <c:pt idx="12">
                  <c:v>内蒙古自治区</c:v>
                </c:pt>
                <c:pt idx="13">
                  <c:v>吉林省</c:v>
                </c:pt>
                <c:pt idx="14">
                  <c:v>海南省</c:v>
                </c:pt>
                <c:pt idx="15">
                  <c:v>甘肃省</c:v>
                </c:pt>
              </c:strCache>
            </c:strRef>
          </c:cat>
          <c:val>
            <c:numRef>
              <c:f>Sheet1!$C$2:$C$17</c:f>
              <c:numCache>
                <c:formatCode>General</c:formatCode>
                <c:ptCount val="16"/>
                <c:pt idx="0">
                  <c:v>73.59</c:v>
                </c:pt>
                <c:pt idx="1">
                  <c:v>76.7</c:v>
                </c:pt>
                <c:pt idx="2">
                  <c:v>73.22</c:v>
                </c:pt>
                <c:pt idx="3">
                  <c:v>76.59</c:v>
                </c:pt>
                <c:pt idx="4">
                  <c:v>74.82</c:v>
                </c:pt>
                <c:pt idx="5">
                  <c:v>73.13</c:v>
                </c:pt>
                <c:pt idx="6">
                  <c:v>70.84</c:v>
                </c:pt>
                <c:pt idx="7">
                  <c:v>74.28</c:v>
                </c:pt>
                <c:pt idx="8">
                  <c:v>73.3</c:v>
                </c:pt>
                <c:pt idx="9">
                  <c:v>75.7</c:v>
                </c:pt>
                <c:pt idx="10">
                  <c:v>78.21</c:v>
                </c:pt>
                <c:pt idx="11">
                  <c:v>72.65</c:v>
                </c:pt>
                <c:pt idx="12">
                  <c:v>76.78</c:v>
                </c:pt>
                <c:pt idx="13">
                  <c:v>71.65</c:v>
                </c:pt>
                <c:pt idx="14">
                  <c:v>71.65</c:v>
                </c:pt>
                <c:pt idx="15">
                  <c:v>74.08</c:v>
                </c:pt>
              </c:numCache>
            </c:numRef>
          </c:val>
        </c:ser>
        <c:ser>
          <c:idx val="2"/>
          <c:order val="2"/>
          <c:tx>
            <c:strRef>
              <c:f>Sheet1!$D$1</c:f>
              <c:strCache>
                <c:ptCount val="1"/>
                <c:pt idx="0">
                  <c:v>2020</c:v>
                </c:pt>
              </c:strCache>
            </c:strRef>
          </c:tx>
          <c:spPr>
            <a:solidFill>
              <a:schemeClr val="accent6">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江西省</c:v>
                </c:pt>
                <c:pt idx="1">
                  <c:v>广西壮族自治区</c:v>
                </c:pt>
                <c:pt idx="2">
                  <c:v>河南省</c:v>
                </c:pt>
                <c:pt idx="3">
                  <c:v>重庆市</c:v>
                </c:pt>
                <c:pt idx="4">
                  <c:v>青海省</c:v>
                </c:pt>
                <c:pt idx="5">
                  <c:v>山西省</c:v>
                </c:pt>
                <c:pt idx="6">
                  <c:v>云南省</c:v>
                </c:pt>
                <c:pt idx="7">
                  <c:v>安徽省</c:v>
                </c:pt>
                <c:pt idx="8">
                  <c:v>河北省</c:v>
                </c:pt>
                <c:pt idx="9">
                  <c:v>陕西省</c:v>
                </c:pt>
                <c:pt idx="10">
                  <c:v>新疆维吾尔自治区</c:v>
                </c:pt>
                <c:pt idx="11">
                  <c:v>湖南省</c:v>
                </c:pt>
                <c:pt idx="12">
                  <c:v>内蒙古自治区</c:v>
                </c:pt>
                <c:pt idx="13">
                  <c:v>吉林省</c:v>
                </c:pt>
                <c:pt idx="14">
                  <c:v>海南省</c:v>
                </c:pt>
                <c:pt idx="15">
                  <c:v>甘肃省</c:v>
                </c:pt>
              </c:strCache>
            </c:strRef>
          </c:cat>
          <c:val>
            <c:numRef>
              <c:f>Sheet1!$D$2:$D$17</c:f>
              <c:numCache>
                <c:formatCode>General</c:formatCode>
                <c:ptCount val="16"/>
                <c:pt idx="0">
                  <c:v>79.59</c:v>
                </c:pt>
                <c:pt idx="1">
                  <c:v>79.11</c:v>
                </c:pt>
                <c:pt idx="2">
                  <c:v>78.87</c:v>
                </c:pt>
                <c:pt idx="3">
                  <c:v>77.92</c:v>
                </c:pt>
                <c:pt idx="4">
                  <c:v>79.38</c:v>
                </c:pt>
                <c:pt idx="5">
                  <c:v>77.38</c:v>
                </c:pt>
                <c:pt idx="6">
                  <c:v>73.69</c:v>
                </c:pt>
                <c:pt idx="7">
                  <c:v>78.14</c:v>
                </c:pt>
                <c:pt idx="8">
                  <c:v>74.93</c:v>
                </c:pt>
                <c:pt idx="9">
                  <c:v>77.69</c:v>
                </c:pt>
                <c:pt idx="10">
                  <c:v>79.44</c:v>
                </c:pt>
                <c:pt idx="11">
                  <c:v>75.52</c:v>
                </c:pt>
                <c:pt idx="12">
                  <c:v>78.14</c:v>
                </c:pt>
                <c:pt idx="13">
                  <c:v>74.47</c:v>
                </c:pt>
                <c:pt idx="14">
                  <c:v>78.82</c:v>
                </c:pt>
                <c:pt idx="15">
                  <c:v>76.83</c:v>
                </c:pt>
              </c:numCache>
            </c:numRef>
          </c:val>
        </c:ser>
        <c:ser>
          <c:idx val="3"/>
          <c:order val="3"/>
          <c:tx>
            <c:strRef>
              <c:f>Sheet1!$E$1</c:f>
              <c:strCache>
                <c:ptCount val="1"/>
                <c:pt idx="0">
                  <c:v>2021</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江西省</c:v>
                </c:pt>
                <c:pt idx="1">
                  <c:v>广西壮族自治区</c:v>
                </c:pt>
                <c:pt idx="2">
                  <c:v>河南省</c:v>
                </c:pt>
                <c:pt idx="3">
                  <c:v>重庆市</c:v>
                </c:pt>
                <c:pt idx="4">
                  <c:v>青海省</c:v>
                </c:pt>
                <c:pt idx="5">
                  <c:v>山西省</c:v>
                </c:pt>
                <c:pt idx="6">
                  <c:v>云南省</c:v>
                </c:pt>
                <c:pt idx="7">
                  <c:v>安徽省</c:v>
                </c:pt>
                <c:pt idx="8">
                  <c:v>河北省</c:v>
                </c:pt>
                <c:pt idx="9">
                  <c:v>陕西省</c:v>
                </c:pt>
                <c:pt idx="10">
                  <c:v>新疆维吾尔自治区</c:v>
                </c:pt>
                <c:pt idx="11">
                  <c:v>湖南省</c:v>
                </c:pt>
                <c:pt idx="12">
                  <c:v>内蒙古自治区</c:v>
                </c:pt>
                <c:pt idx="13">
                  <c:v>吉林省</c:v>
                </c:pt>
                <c:pt idx="14">
                  <c:v>海南省</c:v>
                </c:pt>
                <c:pt idx="15">
                  <c:v>甘肃省</c:v>
                </c:pt>
              </c:strCache>
            </c:strRef>
          </c:cat>
          <c:val>
            <c:numRef>
              <c:f>Sheet1!$E$2:$E$17</c:f>
              <c:numCache>
                <c:formatCode>General</c:formatCode>
                <c:ptCount val="16"/>
                <c:pt idx="0">
                  <c:v>79.42</c:v>
                </c:pt>
                <c:pt idx="1">
                  <c:v>79.87</c:v>
                </c:pt>
                <c:pt idx="2">
                  <c:v>79.71</c:v>
                </c:pt>
                <c:pt idx="3">
                  <c:v>78.79</c:v>
                </c:pt>
                <c:pt idx="4">
                  <c:v>79.83</c:v>
                </c:pt>
                <c:pt idx="5">
                  <c:v>79.32</c:v>
                </c:pt>
                <c:pt idx="6">
                  <c:v>78.87</c:v>
                </c:pt>
                <c:pt idx="7">
                  <c:v>79.21</c:v>
                </c:pt>
                <c:pt idx="8">
                  <c:v>78.84</c:v>
                </c:pt>
                <c:pt idx="9">
                  <c:v>77.78</c:v>
                </c:pt>
                <c:pt idx="10">
                  <c:v>79.46</c:v>
                </c:pt>
                <c:pt idx="11">
                  <c:v>78.9</c:v>
                </c:pt>
                <c:pt idx="12">
                  <c:v>78.94</c:v>
                </c:pt>
                <c:pt idx="13">
                  <c:v>78.51</c:v>
                </c:pt>
                <c:pt idx="14">
                  <c:v>77.75</c:v>
                </c:pt>
                <c:pt idx="15">
                  <c:v>78.07</c:v>
                </c:pt>
              </c:numCache>
            </c:numRef>
          </c:val>
        </c:ser>
        <c:ser>
          <c:idx val="4"/>
          <c:order val="4"/>
          <c:tx>
            <c:strRef>
              <c:f>Sheet1!$F$1</c:f>
              <c:strCache>
                <c:ptCount val="1"/>
                <c:pt idx="0">
                  <c:v>2022</c:v>
                </c:pt>
              </c:strCache>
            </c:strRef>
          </c:tx>
          <c:spPr>
            <a:solidFill>
              <a:schemeClr val="accent6">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江西省</c:v>
                </c:pt>
                <c:pt idx="1">
                  <c:v>广西壮族自治区</c:v>
                </c:pt>
                <c:pt idx="2">
                  <c:v>河南省</c:v>
                </c:pt>
                <c:pt idx="3">
                  <c:v>重庆市</c:v>
                </c:pt>
                <c:pt idx="4">
                  <c:v>青海省</c:v>
                </c:pt>
                <c:pt idx="5">
                  <c:v>山西省</c:v>
                </c:pt>
                <c:pt idx="6">
                  <c:v>云南省</c:v>
                </c:pt>
                <c:pt idx="7">
                  <c:v>安徽省</c:v>
                </c:pt>
                <c:pt idx="8">
                  <c:v>河北省</c:v>
                </c:pt>
                <c:pt idx="9">
                  <c:v>陕西省</c:v>
                </c:pt>
                <c:pt idx="10">
                  <c:v>新疆维吾尔自治区</c:v>
                </c:pt>
                <c:pt idx="11">
                  <c:v>湖南省</c:v>
                </c:pt>
                <c:pt idx="12">
                  <c:v>内蒙古自治区</c:v>
                </c:pt>
                <c:pt idx="13">
                  <c:v>吉林省</c:v>
                </c:pt>
                <c:pt idx="14">
                  <c:v>海南省</c:v>
                </c:pt>
                <c:pt idx="15">
                  <c:v>甘肃省</c:v>
                </c:pt>
              </c:strCache>
            </c:strRef>
          </c:cat>
          <c:val>
            <c:numRef>
              <c:f>Sheet1!$F$2:$F$17</c:f>
              <c:numCache>
                <c:formatCode>General</c:formatCode>
                <c:ptCount val="16"/>
                <c:pt idx="0">
                  <c:v>76.78</c:v>
                </c:pt>
                <c:pt idx="1">
                  <c:v>76.31</c:v>
                </c:pt>
                <c:pt idx="2">
                  <c:v>75.93</c:v>
                </c:pt>
                <c:pt idx="3">
                  <c:v>75.7</c:v>
                </c:pt>
                <c:pt idx="4">
                  <c:v>75.63</c:v>
                </c:pt>
                <c:pt idx="5">
                  <c:v>75.49</c:v>
                </c:pt>
                <c:pt idx="6">
                  <c:v>75.39</c:v>
                </c:pt>
                <c:pt idx="7">
                  <c:v>75.29</c:v>
                </c:pt>
                <c:pt idx="8">
                  <c:v>75.12</c:v>
                </c:pt>
                <c:pt idx="9">
                  <c:v>74.73</c:v>
                </c:pt>
                <c:pt idx="10">
                  <c:v>74.41</c:v>
                </c:pt>
                <c:pt idx="11">
                  <c:v>74.26</c:v>
                </c:pt>
                <c:pt idx="12">
                  <c:v>74.24</c:v>
                </c:pt>
                <c:pt idx="13">
                  <c:v>74.21</c:v>
                </c:pt>
                <c:pt idx="14">
                  <c:v>73.37</c:v>
                </c:pt>
                <c:pt idx="15">
                  <c:v>72.96</c:v>
                </c:pt>
              </c:numCache>
            </c:numRef>
          </c:val>
        </c:ser>
        <c:dLbls>
          <c:showLegendKey val="0"/>
          <c:showVal val="1"/>
          <c:showCatName val="0"/>
          <c:showSerName val="0"/>
          <c:showPercent val="0"/>
          <c:showBubbleSize val="0"/>
        </c:dLbls>
        <c:gapWidth val="182"/>
        <c:axId val="174881062"/>
        <c:axId val="709473472"/>
      </c:barChart>
      <c:catAx>
        <c:axId val="17488106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9473472"/>
        <c:crosses val="autoZero"/>
        <c:auto val="1"/>
        <c:lblAlgn val="ctr"/>
        <c:lblOffset val="100"/>
        <c:noMultiLvlLbl val="0"/>
      </c:catAx>
      <c:valAx>
        <c:axId val="709473472"/>
        <c:scaling>
          <c:orientation val="minMax"/>
          <c:max val="90"/>
          <c:min val="60"/>
        </c:scaling>
        <c:delete val="1"/>
        <c:axPos val="t"/>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88106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4">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Sheet1!$B$2:$B$3</c:f>
              <c:numCache>
                <c:formatCode>General</c:formatCode>
                <c:ptCount val="2"/>
                <c:pt idx="0">
                  <c:v>73.99</c:v>
                </c:pt>
                <c:pt idx="1">
                  <c:v>73.42</c:v>
                </c:pt>
              </c:numCache>
            </c:numRef>
          </c:val>
        </c:ser>
        <c:ser>
          <c:idx val="1"/>
          <c:order val="1"/>
          <c:tx>
            <c:strRef>
              <c:f>Sheet1!$C$1</c:f>
              <c:strCache>
                <c:ptCount val="1"/>
                <c:pt idx="0">
                  <c:v>2019</c:v>
                </c:pt>
              </c:strCache>
            </c:strRef>
          </c:tx>
          <c:spPr>
            <a:solidFill>
              <a:schemeClr val="accent4">
                <a:lumMod val="40000"/>
                <a:lumOff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Sheet1!$C$2:$C$3</c:f>
              <c:numCache>
                <c:formatCode>General</c:formatCode>
                <c:ptCount val="2"/>
                <c:pt idx="0">
                  <c:v>77.31</c:v>
                </c:pt>
                <c:pt idx="1">
                  <c:v>76.77</c:v>
                </c:pt>
              </c:numCache>
            </c:numRef>
          </c:val>
        </c:ser>
        <c:ser>
          <c:idx val="2"/>
          <c:order val="2"/>
          <c:tx>
            <c:strRef>
              <c:f>Sheet1!$D$1</c:f>
              <c:strCache>
                <c:ptCount val="1"/>
                <c:pt idx="0">
                  <c:v>2020</c:v>
                </c:pt>
              </c:strCache>
            </c:strRef>
          </c:tx>
          <c:spPr>
            <a:solidFill>
              <a:schemeClr val="accent4">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Sheet1!$D$2:$D$3</c:f>
              <c:numCache>
                <c:formatCode>0.00_);[Red]\(0.00\)</c:formatCode>
                <c:ptCount val="2"/>
                <c:pt idx="0">
                  <c:v>79.3981394676171</c:v>
                </c:pt>
                <c:pt idx="1">
                  <c:v>79.2554429096485</c:v>
                </c:pt>
              </c:numCache>
            </c:numRef>
          </c:val>
        </c:ser>
        <c:ser>
          <c:idx val="3"/>
          <c:order val="3"/>
          <c:tx>
            <c:strRef>
              <c:f>Sheet1!$E$1</c:f>
              <c:strCache>
                <c:ptCount val="1"/>
                <c:pt idx="0">
                  <c:v>2021</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Sheet1!$E$2:$E$3</c:f>
              <c:numCache>
                <c:formatCode>0.00_);[Red]\(0.00\)</c:formatCode>
                <c:ptCount val="2"/>
                <c:pt idx="0">
                  <c:v>80.876019</c:v>
                </c:pt>
                <c:pt idx="1">
                  <c:v>80.300004</c:v>
                </c:pt>
              </c:numCache>
            </c:numRef>
          </c:val>
        </c:ser>
        <c:ser>
          <c:idx val="4"/>
          <c:order val="4"/>
          <c:tx>
            <c:strRef>
              <c:f>Sheet1!$F$1</c:f>
              <c:strCache>
                <c:ptCount val="1"/>
                <c:pt idx="0">
                  <c:v>2022</c:v>
                </c:pt>
              </c:strCache>
            </c:strRef>
          </c:tx>
          <c:spPr>
            <a:solidFill>
              <a:schemeClr val="accent4">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Sheet1!$F$2:$F$3</c:f>
              <c:numCache>
                <c:formatCode>0.00_ </c:formatCode>
                <c:ptCount val="2"/>
                <c:pt idx="0">
                  <c:v>79.013498</c:v>
                </c:pt>
                <c:pt idx="1">
                  <c:v>78.615594</c:v>
                </c:pt>
              </c:numCache>
            </c:numRef>
          </c:val>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9557187"/>
        <c:crosses val="autoZero"/>
        <c:auto val="1"/>
        <c:lblAlgn val="ctr"/>
        <c:lblOffset val="100"/>
        <c:noMultiLvlLbl val="0"/>
      </c:catAx>
      <c:valAx>
        <c:axId val="609557187"/>
        <c:scaling>
          <c:orientation val="minMax"/>
          <c:min val="6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4228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4">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Sheet1!$B$2:$B$6</c:f>
              <c:numCache>
                <c:formatCode>General</c:formatCode>
                <c:ptCount val="5"/>
                <c:pt idx="0">
                  <c:v>75.56</c:v>
                </c:pt>
                <c:pt idx="1">
                  <c:v>73.35</c:v>
                </c:pt>
                <c:pt idx="2">
                  <c:v>73.07</c:v>
                </c:pt>
                <c:pt idx="3">
                  <c:v>72.86</c:v>
                </c:pt>
                <c:pt idx="4">
                  <c:v>73.41</c:v>
                </c:pt>
              </c:numCache>
            </c:numRef>
          </c:val>
        </c:ser>
        <c:ser>
          <c:idx val="1"/>
          <c:order val="1"/>
          <c:tx>
            <c:strRef>
              <c:f>Sheet1!$C$1</c:f>
              <c:strCache>
                <c:ptCount val="1"/>
                <c:pt idx="0">
                  <c:v>2019</c:v>
                </c:pt>
              </c:strCache>
            </c:strRef>
          </c:tx>
          <c:spPr>
            <a:solidFill>
              <a:schemeClr val="accent4">
                <a:lumMod val="40000"/>
                <a:lumOff val="60000"/>
              </a:schemeClr>
            </a:solidFill>
            <a:ln>
              <a:noFill/>
            </a:ln>
            <a:effectLst/>
          </c:spPr>
          <c:invertIfNegative val="0"/>
          <c:dLbls>
            <c:dLbl>
              <c:idx val="0"/>
              <c:layout>
                <c:manualLayout>
                  <c:x val="-0.0134843581445523"/>
                  <c:y val="0.0025445292620865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Sheet1!$C$2:$C$6</c:f>
              <c:numCache>
                <c:formatCode>General</c:formatCode>
                <c:ptCount val="5"/>
                <c:pt idx="0">
                  <c:v>79.58</c:v>
                </c:pt>
                <c:pt idx="1">
                  <c:v>75.68</c:v>
                </c:pt>
                <c:pt idx="2">
                  <c:v>76.54</c:v>
                </c:pt>
                <c:pt idx="3">
                  <c:v>76.89</c:v>
                </c:pt>
                <c:pt idx="4">
                  <c:v>76.26</c:v>
                </c:pt>
              </c:numCache>
            </c:numRef>
          </c:val>
        </c:ser>
        <c:ser>
          <c:idx val="2"/>
          <c:order val="2"/>
          <c:tx>
            <c:strRef>
              <c:f>Sheet1!$D$1</c:f>
              <c:strCache>
                <c:ptCount val="1"/>
                <c:pt idx="0">
                  <c:v>2020</c:v>
                </c:pt>
              </c:strCache>
            </c:strRef>
          </c:tx>
          <c:spPr>
            <a:solidFill>
              <a:schemeClr val="accent4">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Sheet1!$D$2:$D$6</c:f>
              <c:numCache>
                <c:formatCode>0.00_);[Red]\(0.00\)</c:formatCode>
                <c:ptCount val="5"/>
                <c:pt idx="0">
                  <c:v>80.5080880452635</c:v>
                </c:pt>
                <c:pt idx="1">
                  <c:v>78.8840040049735</c:v>
                </c:pt>
                <c:pt idx="2">
                  <c:v>79.5139598382343</c:v>
                </c:pt>
                <c:pt idx="3">
                  <c:v>79.1268422381777</c:v>
                </c:pt>
                <c:pt idx="4">
                  <c:v>79.0583081500868</c:v>
                </c:pt>
              </c:numCache>
            </c:numRef>
          </c:val>
        </c:ser>
        <c:ser>
          <c:idx val="3"/>
          <c:order val="3"/>
          <c:tx>
            <c:strRef>
              <c:f>Sheet1!$E$1</c:f>
              <c:strCache>
                <c:ptCount val="1"/>
                <c:pt idx="0">
                  <c:v>2021</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Sheet1!$E$2:$E$6</c:f>
              <c:numCache>
                <c:formatCode>0.00_);[Red]\(0.00\)</c:formatCode>
                <c:ptCount val="5"/>
                <c:pt idx="0">
                  <c:v>79.403799</c:v>
                </c:pt>
                <c:pt idx="1">
                  <c:v>80.026313</c:v>
                </c:pt>
                <c:pt idx="2">
                  <c:v>81.148288</c:v>
                </c:pt>
                <c:pt idx="3">
                  <c:v>81.634325</c:v>
                </c:pt>
                <c:pt idx="4">
                  <c:v>80.377113</c:v>
                </c:pt>
              </c:numCache>
            </c:numRef>
          </c:val>
        </c:ser>
        <c:ser>
          <c:idx val="4"/>
          <c:order val="4"/>
          <c:tx>
            <c:strRef>
              <c:f>Sheet1!$F$1</c:f>
              <c:strCache>
                <c:ptCount val="1"/>
                <c:pt idx="0">
                  <c:v>2022</c:v>
                </c:pt>
              </c:strCache>
            </c:strRef>
          </c:tx>
          <c:spPr>
            <a:solidFill>
              <a:schemeClr val="accent4">
                <a:lumMod val="75000"/>
              </a:schemeClr>
            </a:solidFill>
            <a:ln>
              <a:noFill/>
            </a:ln>
            <a:effectLst/>
          </c:spPr>
          <c:invertIfNegative val="0"/>
          <c:dLbls>
            <c:dLbl>
              <c:idx val="0"/>
              <c:layout>
                <c:manualLayout>
                  <c:x val="0.00809061488673139"/>
                  <c:y val="0.02035623409669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48327939590076"/>
                  <c:y val="0.01272264631043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15-24周岁</c:v>
                </c:pt>
                <c:pt idx="1">
                  <c:v>25-34周岁</c:v>
                </c:pt>
                <c:pt idx="2">
                  <c:v>35-44周岁</c:v>
                </c:pt>
                <c:pt idx="3">
                  <c:v>45-54周岁</c:v>
                </c:pt>
                <c:pt idx="4">
                  <c:v>55-70周岁</c:v>
                </c:pt>
              </c:strCache>
            </c:strRef>
          </c:cat>
          <c:val>
            <c:numRef>
              <c:f>Sheet1!$F$2:$F$6</c:f>
              <c:numCache>
                <c:formatCode>0.00_ </c:formatCode>
                <c:ptCount val="5"/>
                <c:pt idx="0">
                  <c:v>79.088212</c:v>
                </c:pt>
                <c:pt idx="1">
                  <c:v>78.805744</c:v>
                </c:pt>
                <c:pt idx="2">
                  <c:v>78.983673</c:v>
                </c:pt>
                <c:pt idx="3">
                  <c:v>78.752979</c:v>
                </c:pt>
                <c:pt idx="4">
                  <c:v>78.451087</c:v>
                </c:pt>
              </c:numCache>
            </c:numRef>
          </c:val>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9557187"/>
        <c:crosses val="autoZero"/>
        <c:auto val="1"/>
        <c:lblAlgn val="ctr"/>
        <c:lblOffset val="100"/>
        <c:noMultiLvlLbl val="0"/>
      </c:catAx>
      <c:valAx>
        <c:axId val="609557187"/>
        <c:scaling>
          <c:orientation val="minMax"/>
          <c:min val="68"/>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4228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4">
                <a:lumMod val="20000"/>
                <a:lumOff val="8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Sheet1!$B$2:$B$5</c:f>
              <c:numCache>
                <c:formatCode>General</c:formatCode>
                <c:ptCount val="4"/>
                <c:pt idx="0">
                  <c:v>73.4</c:v>
                </c:pt>
                <c:pt idx="1">
                  <c:v>74.09</c:v>
                </c:pt>
                <c:pt idx="2">
                  <c:v>73.66</c:v>
                </c:pt>
                <c:pt idx="3">
                  <c:v>72.67</c:v>
                </c:pt>
              </c:numCache>
            </c:numRef>
          </c:val>
        </c:ser>
        <c:ser>
          <c:idx val="1"/>
          <c:order val="1"/>
          <c:tx>
            <c:strRef>
              <c:f>Sheet1!$C$1</c:f>
              <c:strCache>
                <c:ptCount val="1"/>
                <c:pt idx="0">
                  <c:v>2019</c:v>
                </c:pt>
              </c:strCache>
            </c:strRef>
          </c:tx>
          <c:spPr>
            <a:solidFill>
              <a:schemeClr val="accent4">
                <a:lumMod val="40000"/>
                <a:lumOff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Sheet1!$C$2:$C$5</c:f>
              <c:numCache>
                <c:formatCode>General</c:formatCode>
                <c:ptCount val="4"/>
                <c:pt idx="0">
                  <c:v>76.27</c:v>
                </c:pt>
                <c:pt idx="1">
                  <c:v>76.67</c:v>
                </c:pt>
                <c:pt idx="2">
                  <c:v>77.2</c:v>
                </c:pt>
                <c:pt idx="3">
                  <c:v>78.35</c:v>
                </c:pt>
              </c:numCache>
            </c:numRef>
          </c:val>
        </c:ser>
        <c:ser>
          <c:idx val="2"/>
          <c:order val="2"/>
          <c:tx>
            <c:strRef>
              <c:f>Sheet1!$D$1</c:f>
              <c:strCache>
                <c:ptCount val="1"/>
                <c:pt idx="0">
                  <c:v>2020</c:v>
                </c:pt>
              </c:strCache>
            </c:strRef>
          </c:tx>
          <c:spPr>
            <a:solidFill>
              <a:schemeClr val="accent4">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Sheet1!$D$2:$D$5</c:f>
              <c:numCache>
                <c:formatCode>0.00_);[Red]\(0.00\)</c:formatCode>
                <c:ptCount val="4"/>
                <c:pt idx="0">
                  <c:v>78.0589569569634</c:v>
                </c:pt>
                <c:pt idx="1">
                  <c:v>79.6086752618831</c:v>
                </c:pt>
                <c:pt idx="2">
                  <c:v>80.1506868546908</c:v>
                </c:pt>
                <c:pt idx="3">
                  <c:v>80.6410938069547</c:v>
                </c:pt>
              </c:numCache>
            </c:numRef>
          </c:val>
        </c:ser>
        <c:ser>
          <c:idx val="3"/>
          <c:order val="3"/>
          <c:tx>
            <c:strRef>
              <c:f>Sheet1!$E$1</c:f>
              <c:strCache>
                <c:ptCount val="1"/>
                <c:pt idx="0">
                  <c:v>2021</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Sheet1!$E$2:$E$5</c:f>
              <c:numCache>
                <c:formatCode>0.00_);[Red]\(0.00\)</c:formatCode>
                <c:ptCount val="4"/>
                <c:pt idx="0">
                  <c:v>80.120408</c:v>
                </c:pt>
                <c:pt idx="1">
                  <c:v>79.938481</c:v>
                </c:pt>
                <c:pt idx="2">
                  <c:v>80.594547</c:v>
                </c:pt>
                <c:pt idx="3">
                  <c:v>82.546165</c:v>
                </c:pt>
              </c:numCache>
            </c:numRef>
          </c:val>
        </c:ser>
        <c:ser>
          <c:idx val="4"/>
          <c:order val="4"/>
          <c:tx>
            <c:strRef>
              <c:f>Sheet1!$F$1</c:f>
              <c:strCache>
                <c:ptCount val="1"/>
                <c:pt idx="0">
                  <c:v>2022</c:v>
                </c:pt>
              </c:strCache>
            </c:strRef>
          </c:tx>
          <c:spPr>
            <a:solidFill>
              <a:schemeClr val="accent4">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3000元以下（含）</c:v>
                </c:pt>
                <c:pt idx="1">
                  <c:v>3000-5000元（含）</c:v>
                </c:pt>
                <c:pt idx="2">
                  <c:v>5000-8000元（含）</c:v>
                </c:pt>
                <c:pt idx="3">
                  <c:v>8000元以上</c:v>
                </c:pt>
              </c:strCache>
            </c:strRef>
          </c:cat>
          <c:val>
            <c:numRef>
              <c:f>Sheet1!$F$2:$F$5</c:f>
              <c:numCache>
                <c:formatCode>0.00_ </c:formatCode>
                <c:ptCount val="4"/>
                <c:pt idx="0">
                  <c:v>77.786249</c:v>
                </c:pt>
                <c:pt idx="1">
                  <c:v>79.186949</c:v>
                </c:pt>
                <c:pt idx="2">
                  <c:v>79.218597</c:v>
                </c:pt>
                <c:pt idx="3">
                  <c:v>79.601335</c:v>
                </c:pt>
              </c:numCache>
            </c:numRef>
          </c:val>
        </c:ser>
        <c:dLbls>
          <c:showLegendKey val="0"/>
          <c:showVal val="1"/>
          <c:showCatName val="0"/>
          <c:showSerName val="0"/>
          <c:showPercent val="0"/>
          <c:showBubbleSize val="0"/>
        </c:dLbls>
        <c:gapWidth val="219"/>
        <c:overlap val="-27"/>
        <c:axId val="239422830"/>
        <c:axId val="609557187"/>
      </c:barChart>
      <c:catAx>
        <c:axId val="23942283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9557187"/>
        <c:crosses val="autoZero"/>
        <c:auto val="1"/>
        <c:lblAlgn val="ctr"/>
        <c:lblOffset val="100"/>
        <c:noMultiLvlLbl val="0"/>
      </c:catAx>
      <c:valAx>
        <c:axId val="609557187"/>
        <c:scaling>
          <c:orientation val="minMax"/>
          <c:min val="65"/>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4228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供给便利性</c:v>
                </c:pt>
                <c:pt idx="1">
                  <c:v>供给丰富性</c:v>
                </c:pt>
                <c:pt idx="2">
                  <c:v>消费自主选择权</c:v>
                </c:pt>
                <c:pt idx="3">
                  <c:v>消费知情权</c:v>
                </c:pt>
                <c:pt idx="4">
                  <c:v>质量水平</c:v>
                </c:pt>
                <c:pt idx="5">
                  <c:v>商家信任度</c:v>
                </c:pt>
                <c:pt idx="6">
                  <c:v>消费设施</c:v>
                </c:pt>
                <c:pt idx="7">
                  <c:v>售后保障</c:v>
                </c:pt>
                <c:pt idx="8">
                  <c:v>权益保护</c:v>
                </c:pt>
                <c:pt idx="9">
                  <c:v>服务水平</c:v>
                </c:pt>
                <c:pt idx="10">
                  <c:v>价格合理</c:v>
                </c:pt>
                <c:pt idx="11">
                  <c:v>信息真实</c:v>
                </c:pt>
                <c:pt idx="12">
                  <c:v>供给创新性</c:v>
                </c:pt>
                <c:pt idx="13">
                  <c:v>消费执法</c:v>
                </c:pt>
                <c:pt idx="14">
                  <c:v>消费宣传</c:v>
                </c:pt>
                <c:pt idx="15">
                  <c:v>交易安全</c:v>
                </c:pt>
              </c:strCache>
            </c:strRef>
          </c:cat>
          <c:val>
            <c:numRef>
              <c:f>Sheet1!$B$2:$B$17</c:f>
              <c:numCache>
                <c:formatCode>General</c:formatCode>
                <c:ptCount val="16"/>
                <c:pt idx="0">
                  <c:v>82.29</c:v>
                </c:pt>
                <c:pt idx="1">
                  <c:v>81.24</c:v>
                </c:pt>
                <c:pt idx="2">
                  <c:v>81.22</c:v>
                </c:pt>
                <c:pt idx="3">
                  <c:v>80.04</c:v>
                </c:pt>
                <c:pt idx="4">
                  <c:v>79.93</c:v>
                </c:pt>
                <c:pt idx="5">
                  <c:v>79.83</c:v>
                </c:pt>
                <c:pt idx="6">
                  <c:v>79.38</c:v>
                </c:pt>
                <c:pt idx="7">
                  <c:v>79.27</c:v>
                </c:pt>
                <c:pt idx="8">
                  <c:v>79.03</c:v>
                </c:pt>
                <c:pt idx="9">
                  <c:v>78.46</c:v>
                </c:pt>
                <c:pt idx="10">
                  <c:v>77.95</c:v>
                </c:pt>
                <c:pt idx="11">
                  <c:v>77.87</c:v>
                </c:pt>
                <c:pt idx="12">
                  <c:v>77.12</c:v>
                </c:pt>
                <c:pt idx="13">
                  <c:v>76.91</c:v>
                </c:pt>
                <c:pt idx="14">
                  <c:v>76.84</c:v>
                </c:pt>
                <c:pt idx="15">
                  <c:v>75.89</c:v>
                </c:pt>
              </c:numCache>
            </c:numRef>
          </c:val>
        </c:ser>
        <c:dLbls>
          <c:showLegendKey val="0"/>
          <c:showVal val="1"/>
          <c:showCatName val="0"/>
          <c:showSerName val="0"/>
          <c:showPercent val="0"/>
          <c:showBubbleSize val="0"/>
        </c:dLbls>
        <c:gapWidth val="41"/>
        <c:overlap val="-27"/>
        <c:axId val="741187983"/>
        <c:axId val="741192143"/>
      </c:barChart>
      <c:catAx>
        <c:axId val="741187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192143"/>
        <c:crosses val="autoZero"/>
        <c:auto val="1"/>
        <c:lblAlgn val="ctr"/>
        <c:lblOffset val="100"/>
        <c:noMultiLvlLbl val="0"/>
      </c:catAx>
      <c:valAx>
        <c:axId val="741192143"/>
        <c:scaling>
          <c:orientation val="minMax"/>
          <c:min val="70"/>
        </c:scaling>
        <c:delete val="0"/>
        <c:axPos val="l"/>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1879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2022</c:v>
                </c:pt>
              </c:strCache>
            </c:strRef>
          </c:tx>
          <c:spPr>
            <a:solidFill>
              <a:schemeClr val="accent5"/>
            </a:solidFill>
            <a:ln>
              <a:noFill/>
            </a:ln>
            <a:effectLst/>
          </c:spPr>
          <c:invertIfNegative val="0"/>
          <c:dPt>
            <c:idx val="0"/>
            <c:invertIfNegative val="0"/>
            <c:bubble3D val="0"/>
            <c:spPr>
              <a:solidFill>
                <a:schemeClr val="accent5">
                  <a:lumMod val="75000"/>
                </a:schemeClr>
              </a:solidFill>
              <a:ln>
                <a:noFill/>
              </a:ln>
              <a:effectLst/>
            </c:spPr>
          </c:dPt>
          <c:dPt>
            <c:idx val="1"/>
            <c:invertIfNegative val="0"/>
            <c:bubble3D val="0"/>
            <c:spPr>
              <a:solidFill>
                <a:schemeClr val="accent5">
                  <a:lumMod val="75000"/>
                </a:schemeClr>
              </a:solidFill>
              <a:ln>
                <a:noFill/>
              </a:ln>
              <a:effectLst/>
            </c:spPr>
          </c:dPt>
          <c:dPt>
            <c:idx val="2"/>
            <c:invertIfNegative val="0"/>
            <c:bubble3D val="0"/>
            <c:spPr>
              <a:solidFill>
                <a:schemeClr val="accent5">
                  <a:lumMod val="75000"/>
                </a:schemeClr>
              </a:solidFill>
              <a:ln>
                <a:noFill/>
              </a:ln>
              <a:effectLst/>
            </c:spPr>
          </c:dPt>
          <c:dPt>
            <c:idx val="5"/>
            <c:invertIfNegative val="0"/>
            <c:bubble3D val="0"/>
            <c:spPr>
              <a:solidFill>
                <a:schemeClr val="accent5">
                  <a:lumMod val="60000"/>
                  <a:lumOff val="40000"/>
                </a:schemeClr>
              </a:solidFill>
              <a:ln>
                <a:noFill/>
              </a:ln>
              <a:effectLst/>
            </c:spPr>
          </c:dPt>
          <c:dPt>
            <c:idx val="6"/>
            <c:invertIfNegative val="0"/>
            <c:bubble3D val="0"/>
            <c:spPr>
              <a:solidFill>
                <a:schemeClr val="accent5">
                  <a:lumMod val="60000"/>
                  <a:lumOff val="40000"/>
                </a:schemeClr>
              </a:solidFill>
              <a:ln>
                <a:noFill/>
              </a:ln>
              <a:effectLst/>
            </c:spPr>
          </c:dPt>
          <c:dPt>
            <c:idx val="7"/>
            <c:invertIfNegative val="0"/>
            <c:bubble3D val="0"/>
            <c:spPr>
              <a:solidFill>
                <a:schemeClr val="accent5">
                  <a:lumMod val="60000"/>
                  <a:lumOff val="40000"/>
                </a:schemeClr>
              </a:solidFill>
              <a:ln>
                <a:noFill/>
              </a:ln>
              <a:effectLst/>
            </c:spPr>
          </c:dPt>
          <c:dPt>
            <c:idx val="8"/>
            <c:invertIfNegative val="0"/>
            <c:bubble3D val="0"/>
            <c:spPr>
              <a:solidFill>
                <a:schemeClr val="accent5">
                  <a:lumMod val="60000"/>
                  <a:lumOff val="40000"/>
                </a:schemeClr>
              </a:solidFill>
              <a:ln>
                <a:noFill/>
              </a:ln>
              <a:effectLst/>
            </c:spPr>
          </c:dPt>
          <c:dPt>
            <c:idx val="9"/>
            <c:invertIfNegative val="0"/>
            <c:bubble3D val="0"/>
            <c:spPr>
              <a:solidFill>
                <a:schemeClr val="accent5">
                  <a:lumMod val="60000"/>
                  <a:lumOff val="40000"/>
                </a:schemeClr>
              </a:solidFill>
              <a:ln>
                <a:noFill/>
              </a:ln>
              <a:effectLst/>
            </c:spPr>
          </c:dPt>
          <c:dPt>
            <c:idx val="10"/>
            <c:invertIfNegative val="0"/>
            <c:bubble3D val="0"/>
            <c:spPr>
              <a:solidFill>
                <a:schemeClr val="accent5">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节省时间</c:v>
                </c:pt>
                <c:pt idx="1">
                  <c:v>价格实惠</c:v>
                </c:pt>
                <c:pt idx="2">
                  <c:v>产品多样</c:v>
                </c:pt>
                <c:pt idx="3">
                  <c:v>物流便捷</c:v>
                </c:pt>
                <c:pt idx="4">
                  <c:v>方便比价</c:v>
                </c:pt>
                <c:pt idx="5">
                  <c:v>退换货方便</c:v>
                </c:pt>
                <c:pt idx="6">
                  <c:v>促销优惠多</c:v>
                </c:pt>
                <c:pt idx="7">
                  <c:v>方便记账</c:v>
                </c:pt>
                <c:pt idx="8">
                  <c:v>线下实体店购物不方便</c:v>
                </c:pt>
                <c:pt idx="9">
                  <c:v>积累信用积分等</c:v>
                </c:pt>
                <c:pt idx="10">
                  <c:v>其他</c:v>
                </c:pt>
                <c:pt idx="11">
                  <c:v>不清楚</c:v>
                </c:pt>
              </c:strCache>
            </c:strRef>
          </c:cat>
          <c:val>
            <c:numRef>
              <c:f>Sheet1!$B$2:$B$13</c:f>
              <c:numCache>
                <c:formatCode>0.0%</c:formatCode>
                <c:ptCount val="12"/>
                <c:pt idx="0">
                  <c:v>0.671905155776124</c:v>
                </c:pt>
                <c:pt idx="1">
                  <c:v>0.614488558036945</c:v>
                </c:pt>
                <c:pt idx="2">
                  <c:v>0.607412002573293</c:v>
                </c:pt>
                <c:pt idx="3">
                  <c:v>0.437161106515945</c:v>
                </c:pt>
                <c:pt idx="4">
                  <c:v>0.43523113684404</c:v>
                </c:pt>
                <c:pt idx="5">
                  <c:v>0.294159544159544</c:v>
                </c:pt>
                <c:pt idx="6">
                  <c:v>0.251056888153662</c:v>
                </c:pt>
                <c:pt idx="7">
                  <c:v>0.0880663541953865</c:v>
                </c:pt>
                <c:pt idx="8">
                  <c:v>0.0760729712342616</c:v>
                </c:pt>
                <c:pt idx="9">
                  <c:v>0.0609548754710045</c:v>
                </c:pt>
                <c:pt idx="10">
                  <c:v>0.00342339858468891</c:v>
                </c:pt>
                <c:pt idx="11">
                  <c:v>0.0017921146953405</c:v>
                </c:pt>
              </c:numCache>
            </c:numRef>
          </c:val>
        </c:ser>
        <c:dLbls>
          <c:showLegendKey val="0"/>
          <c:showVal val="1"/>
          <c:showCatName val="0"/>
          <c:showSerName val="0"/>
          <c:showPercent val="0"/>
          <c:showBubbleSize val="0"/>
        </c:dLbls>
        <c:gapWidth val="41"/>
        <c:overlap val="-27"/>
        <c:axId val="809927087"/>
        <c:axId val="809927503"/>
      </c:barChart>
      <c:catAx>
        <c:axId val="80992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27503"/>
        <c:crosses val="autoZero"/>
        <c:auto val="1"/>
        <c:lblAlgn val="ctr"/>
        <c:lblOffset val="100"/>
        <c:noMultiLvlLbl val="0"/>
      </c:catAx>
      <c:valAx>
        <c:axId val="809927503"/>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270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2022</c:v>
                </c:pt>
              </c:strCache>
            </c:strRef>
          </c:tx>
          <c:spPr>
            <a:solidFill>
              <a:schemeClr val="accent5"/>
            </a:solidFill>
            <a:ln>
              <a:noFill/>
            </a:ln>
            <a:effectLst/>
          </c:spPr>
          <c:invertIfNegative val="0"/>
          <c:dPt>
            <c:idx val="0"/>
            <c:invertIfNegative val="0"/>
            <c:bubble3D val="0"/>
            <c:spPr>
              <a:solidFill>
                <a:schemeClr val="accent5">
                  <a:lumMod val="75000"/>
                </a:schemeClr>
              </a:solidFill>
              <a:ln>
                <a:noFill/>
              </a:ln>
              <a:effectLst/>
            </c:spPr>
          </c:dPt>
          <c:dPt>
            <c:idx val="1"/>
            <c:invertIfNegative val="0"/>
            <c:bubble3D val="0"/>
            <c:spPr>
              <a:solidFill>
                <a:schemeClr val="accent5">
                  <a:lumMod val="75000"/>
                </a:schemeClr>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5">
                  <a:lumMod val="60000"/>
                  <a:lumOff val="40000"/>
                </a:schemeClr>
              </a:solidFill>
              <a:ln>
                <a:noFill/>
              </a:ln>
              <a:effectLst/>
            </c:spPr>
          </c:dPt>
          <c:dPt>
            <c:idx val="6"/>
            <c:invertIfNegative val="0"/>
            <c:bubble3D val="0"/>
            <c:spPr>
              <a:solidFill>
                <a:schemeClr val="accent5">
                  <a:lumMod val="60000"/>
                  <a:lumOff val="40000"/>
                </a:schemeClr>
              </a:solidFill>
              <a:ln>
                <a:noFill/>
              </a:ln>
              <a:effectLst/>
            </c:spPr>
          </c:dPt>
          <c:dPt>
            <c:idx val="7"/>
            <c:invertIfNegative val="0"/>
            <c:bubble3D val="0"/>
            <c:spPr>
              <a:solidFill>
                <a:schemeClr val="accent5">
                  <a:lumMod val="60000"/>
                  <a:lumOff val="40000"/>
                </a:schemeClr>
              </a:solidFill>
              <a:ln>
                <a:noFill/>
              </a:ln>
              <a:effectLst/>
            </c:spPr>
          </c:dPt>
          <c:dPt>
            <c:idx val="8"/>
            <c:invertIfNegative val="0"/>
            <c:bubble3D val="0"/>
            <c:spPr>
              <a:solidFill>
                <a:schemeClr val="accent5">
                  <a:lumMod val="60000"/>
                  <a:lumOff val="40000"/>
                </a:schemeClr>
              </a:solidFill>
              <a:ln>
                <a:noFill/>
              </a:ln>
              <a:effectLst/>
            </c:spPr>
          </c:dPt>
          <c:dPt>
            <c:idx val="9"/>
            <c:invertIfNegative val="0"/>
            <c:bubble3D val="0"/>
            <c:spPr>
              <a:solidFill>
                <a:schemeClr val="accent5">
                  <a:lumMod val="60000"/>
                  <a:lumOff val="40000"/>
                </a:schemeClr>
              </a:solidFill>
              <a:ln>
                <a:noFill/>
              </a:ln>
              <a:effectLst/>
            </c:spPr>
          </c:dPt>
          <c:dPt>
            <c:idx val="10"/>
            <c:invertIfNegative val="0"/>
            <c:bubble3D val="0"/>
            <c:spPr>
              <a:solidFill>
                <a:schemeClr val="accent5">
                  <a:lumMod val="60000"/>
                  <a:lumOff val="40000"/>
                </a:schemeClr>
              </a:solidFill>
              <a:ln>
                <a:noFill/>
              </a:ln>
              <a:effectLst/>
            </c:spPr>
          </c:dPt>
          <c:dPt>
            <c:idx val="11"/>
            <c:invertIfNegative val="0"/>
            <c:bubble3D val="0"/>
            <c:spPr>
              <a:solidFill>
                <a:schemeClr val="accent5">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假冒仿冒太多</c:v>
                </c:pt>
                <c:pt idx="1">
                  <c:v>商品质量不佳</c:v>
                </c:pt>
                <c:pt idx="2">
                  <c:v>评论信息不可靠</c:v>
                </c:pt>
                <c:pt idx="3">
                  <c:v>销量造假或刷单</c:v>
                </c:pt>
                <c:pt idx="4">
                  <c:v>支持实体店</c:v>
                </c:pt>
                <c:pt idx="5">
                  <c:v>促销活动太多</c:v>
                </c:pt>
                <c:pt idx="6">
                  <c:v>担心支付不安全</c:v>
                </c:pt>
                <c:pt idx="7">
                  <c:v>价格波动大</c:v>
                </c:pt>
                <c:pt idx="8">
                  <c:v>异地维权困难</c:v>
                </c:pt>
                <c:pt idx="9">
                  <c:v>折扣情况有水分</c:v>
                </c:pt>
                <c:pt idx="10">
                  <c:v>其他</c:v>
                </c:pt>
                <c:pt idx="11">
                  <c:v>不清楚</c:v>
                </c:pt>
              </c:strCache>
            </c:strRef>
          </c:cat>
          <c:val>
            <c:numRef>
              <c:f>Sheet1!$B$2:$B$13</c:f>
              <c:numCache>
                <c:formatCode>0.0%</c:formatCode>
                <c:ptCount val="12"/>
                <c:pt idx="0">
                  <c:v>0.374877757253069</c:v>
                </c:pt>
                <c:pt idx="1">
                  <c:v>0.37042268825383</c:v>
                </c:pt>
                <c:pt idx="2">
                  <c:v>0.272791481038791</c:v>
                </c:pt>
                <c:pt idx="3">
                  <c:v>0.231989568618928</c:v>
                </c:pt>
                <c:pt idx="4">
                  <c:v>0.204987504074758</c:v>
                </c:pt>
                <c:pt idx="5">
                  <c:v>0.183146799956536</c:v>
                </c:pt>
                <c:pt idx="6">
                  <c:v>0.181408236444637</c:v>
                </c:pt>
                <c:pt idx="7">
                  <c:v>0.150114093230468</c:v>
                </c:pt>
                <c:pt idx="8">
                  <c:v>0.138107138976421</c:v>
                </c:pt>
                <c:pt idx="9">
                  <c:v>0.12631750516136</c:v>
                </c:pt>
                <c:pt idx="10">
                  <c:v>0.0767141149625121</c:v>
                </c:pt>
                <c:pt idx="11">
                  <c:v>0.0457459524068238</c:v>
                </c:pt>
              </c:numCache>
            </c:numRef>
          </c:val>
        </c:ser>
        <c:dLbls>
          <c:showLegendKey val="0"/>
          <c:showVal val="1"/>
          <c:showCatName val="0"/>
          <c:showSerName val="0"/>
          <c:showPercent val="0"/>
          <c:showBubbleSize val="0"/>
        </c:dLbls>
        <c:gapWidth val="41"/>
        <c:overlap val="-27"/>
        <c:axId val="809927087"/>
        <c:axId val="809927503"/>
      </c:barChart>
      <c:catAx>
        <c:axId val="80992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27503"/>
        <c:crosses val="autoZero"/>
        <c:auto val="1"/>
        <c:lblAlgn val="ctr"/>
        <c:lblOffset val="100"/>
        <c:noMultiLvlLbl val="0"/>
      </c:catAx>
      <c:valAx>
        <c:axId val="809927503"/>
        <c:scaling>
          <c:orientation val="minMax"/>
          <c:max val="0.5"/>
        </c:scaling>
        <c:delete val="1"/>
        <c:axPos val="l"/>
        <c:numFmt formatCode="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270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满意度</c:v>
                </c:pt>
              </c:strCache>
            </c:strRef>
          </c:tx>
          <c:spPr>
            <a:solidFill>
              <a:schemeClr val="accent6"/>
            </a:solidFill>
            <a:ln>
              <a:noFill/>
            </a:ln>
            <a:effectLst/>
          </c:spPr>
          <c:invertIfNegative val="0"/>
          <c:dPt>
            <c:idx val="37"/>
            <c:invertIfNegative val="0"/>
            <c:bubble3D val="0"/>
            <c:spPr>
              <a:solidFill>
                <a:schemeClr val="accent6"/>
              </a:solidFill>
              <a:ln>
                <a:noFill/>
              </a:ln>
              <a:effectLst/>
            </c:spPr>
          </c:dPt>
          <c:dPt>
            <c:idx val="39"/>
            <c:invertIfNegative val="0"/>
            <c:bubble3D val="0"/>
            <c:spPr>
              <a:solidFill>
                <a:srgbClr val="C00000"/>
              </a:solidFill>
              <a:ln>
                <a:noFill/>
              </a:ln>
              <a:effectLst/>
            </c:spPr>
          </c:dPt>
          <c:dLbls>
            <c:dLbl>
              <c:idx val="39"/>
              <c:layout/>
              <c:numFmt formatCode="General" sourceLinked="1"/>
              <c:spPr>
                <a:noFill/>
                <a:ln>
                  <a:noFill/>
                </a:ln>
                <a:effectLst/>
              </c:spPr>
              <c:txPr>
                <a:bodyPr rot="-5400000" spcFirstLastPara="0" vertOverflow="ellipsis" vert="horz" wrap="square" lIns="38100" tIns="19050" rIns="38100" bIns="19050" anchor="ctr" anchorCtr="1"/>
                <a:lstStyle/>
                <a:p>
                  <a:pPr>
                    <a:defRPr lang="zh-CN" sz="700" b="1" i="0" u="none" strike="noStrike" kern="1200" baseline="0">
                      <a:solidFill>
                        <a:srgbClr val="C0000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0" vertOverflow="ellipsis" vert="horz" wrap="square" lIns="38100" tIns="19050" rIns="38100" bIns="19050" anchor="ctr" anchorCtr="1"/>
              <a:lstStyle/>
              <a:p>
                <a:pPr>
                  <a:defRPr lang="zh-CN" sz="7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Sheet1!$A$2:$A$102</c:f>
              <c:strCache>
                <c:ptCount val="101"/>
                <c:pt idx="0">
                  <c:v>苏州市(1)</c:v>
                </c:pt>
                <c:pt idx="1">
                  <c:v>青岛市(2)</c:v>
                </c:pt>
                <c:pt idx="2">
                  <c:v>杭州市(3)</c:v>
                </c:pt>
                <c:pt idx="3">
                  <c:v>烟台市(4)</c:v>
                </c:pt>
                <c:pt idx="4">
                  <c:v>南京市(5)</c:v>
                </c:pt>
                <c:pt idx="5">
                  <c:v>佛山市(6)</c:v>
                </c:pt>
                <c:pt idx="6">
                  <c:v>无锡市(7)</c:v>
                </c:pt>
                <c:pt idx="7">
                  <c:v>厦门市(8)</c:v>
                </c:pt>
                <c:pt idx="8">
                  <c:v>北京市(9)</c:v>
                </c:pt>
                <c:pt idx="9">
                  <c:v>宜昌市(10)</c:v>
                </c:pt>
                <c:pt idx="10">
                  <c:v>宁波市(11)</c:v>
                </c:pt>
                <c:pt idx="11">
                  <c:v>深圳市(12)</c:v>
                </c:pt>
                <c:pt idx="12">
                  <c:v>潍坊市(13)</c:v>
                </c:pt>
                <c:pt idx="13">
                  <c:v>天津市(14)</c:v>
                </c:pt>
                <c:pt idx="14">
                  <c:v>南宁市(15)</c:v>
                </c:pt>
                <c:pt idx="15">
                  <c:v>常州市(16)</c:v>
                </c:pt>
                <c:pt idx="16">
                  <c:v>上海市(17)</c:v>
                </c:pt>
                <c:pt idx="17">
                  <c:v>成都市(18)</c:v>
                </c:pt>
                <c:pt idx="18">
                  <c:v>盐城市(19)</c:v>
                </c:pt>
                <c:pt idx="19">
                  <c:v>广州市(20)</c:v>
                </c:pt>
                <c:pt idx="20">
                  <c:v>泉州市(21)</c:v>
                </c:pt>
                <c:pt idx="21">
                  <c:v>金华市(22)</c:v>
                </c:pt>
                <c:pt idx="22">
                  <c:v>南通市(23)</c:v>
                </c:pt>
                <c:pt idx="23">
                  <c:v>洛阳市(24)</c:v>
                </c:pt>
                <c:pt idx="24">
                  <c:v>襄阳市(25)</c:v>
                </c:pt>
                <c:pt idx="25">
                  <c:v>嘉兴市(26)</c:v>
                </c:pt>
                <c:pt idx="26">
                  <c:v>吴忠市(27)</c:v>
                </c:pt>
                <c:pt idx="27">
                  <c:v>济宁市(28)</c:v>
                </c:pt>
                <c:pt idx="28">
                  <c:v>绍兴市(29)</c:v>
                </c:pt>
                <c:pt idx="29">
                  <c:v>温州市(30)</c:v>
                </c:pt>
                <c:pt idx="30">
                  <c:v>台州市(31)</c:v>
                </c:pt>
                <c:pt idx="31">
                  <c:v>武汉市(32)</c:v>
                </c:pt>
                <c:pt idx="32">
                  <c:v>沈阳市(33)</c:v>
                </c:pt>
                <c:pt idx="33">
                  <c:v>徐州市(34)</c:v>
                </c:pt>
                <c:pt idx="34">
                  <c:v>淄博市(35)</c:v>
                </c:pt>
                <c:pt idx="35">
                  <c:v>济南市(36)</c:v>
                </c:pt>
                <c:pt idx="36">
                  <c:v>哈尔滨市(37)</c:v>
                </c:pt>
                <c:pt idx="37">
                  <c:v>东莞市(38)</c:v>
                </c:pt>
                <c:pt idx="38">
                  <c:v>贵阳市(39)</c:v>
                </c:pt>
                <c:pt idx="39">
                  <c:v>全国综合得分</c:v>
                </c:pt>
                <c:pt idx="40">
                  <c:v>临沂市(40)</c:v>
                </c:pt>
                <c:pt idx="41">
                  <c:v>岳阳市(41)</c:v>
                </c:pt>
                <c:pt idx="42">
                  <c:v>长春市(42)</c:v>
                </c:pt>
                <c:pt idx="43">
                  <c:v>遵义市(43)</c:v>
                </c:pt>
                <c:pt idx="44">
                  <c:v>芜湖市(44)</c:v>
                </c:pt>
                <c:pt idx="45">
                  <c:v>银川市(45)</c:v>
                </c:pt>
                <c:pt idx="46">
                  <c:v>毕节市(46)</c:v>
                </c:pt>
                <c:pt idx="47">
                  <c:v>克拉玛依市(47)</c:v>
                </c:pt>
                <c:pt idx="48">
                  <c:v>日喀则市(48)</c:v>
                </c:pt>
                <c:pt idx="49">
                  <c:v>山南市(49)</c:v>
                </c:pt>
                <c:pt idx="50">
                  <c:v>渭南市(50)</c:v>
                </c:pt>
                <c:pt idx="51">
                  <c:v>太原市(51)</c:v>
                </c:pt>
                <c:pt idx="52">
                  <c:v>昆明市(52)</c:v>
                </c:pt>
                <c:pt idx="53">
                  <c:v>西宁市(53)</c:v>
                </c:pt>
                <c:pt idx="54">
                  <c:v>大同市(54)</c:v>
                </c:pt>
                <c:pt idx="55">
                  <c:v>南昌市(55)</c:v>
                </c:pt>
                <c:pt idx="56">
                  <c:v>拉萨市(56)</c:v>
                </c:pt>
                <c:pt idx="57">
                  <c:v>齐齐哈尔市(57)</c:v>
                </c:pt>
                <c:pt idx="58">
                  <c:v>上饶市(58)</c:v>
                </c:pt>
                <c:pt idx="59">
                  <c:v>赣州市(59)</c:v>
                </c:pt>
                <c:pt idx="60">
                  <c:v>南充市(60)</c:v>
                </c:pt>
                <c:pt idx="61">
                  <c:v>天水市(61)</c:v>
                </c:pt>
                <c:pt idx="62">
                  <c:v>石家庄市(62)</c:v>
                </c:pt>
                <c:pt idx="63">
                  <c:v>大庆市(63)</c:v>
                </c:pt>
                <c:pt idx="64">
                  <c:v>包头市(64)</c:v>
                </c:pt>
                <c:pt idx="65">
                  <c:v>海西蒙古族藏族自治州(65)</c:v>
                </c:pt>
                <c:pt idx="66">
                  <c:v>福州市(66)</c:v>
                </c:pt>
                <c:pt idx="67">
                  <c:v>邯郸市(67)</c:v>
                </c:pt>
                <c:pt idx="68">
                  <c:v>重庆市(68)</c:v>
                </c:pt>
                <c:pt idx="69">
                  <c:v>儋州市(69)</c:v>
                </c:pt>
                <c:pt idx="70">
                  <c:v>大连市(70)</c:v>
                </c:pt>
                <c:pt idx="71">
                  <c:v>鄂尔多斯市(71)</c:v>
                </c:pt>
                <c:pt idx="72">
                  <c:v>汕头市(72)</c:v>
                </c:pt>
                <c:pt idx="73">
                  <c:v>鞍山市(73)</c:v>
                </c:pt>
                <c:pt idx="74">
                  <c:v>玉溪市(74)</c:v>
                </c:pt>
                <c:pt idx="75">
                  <c:v>西安市(75)</c:v>
                </c:pt>
                <c:pt idx="76">
                  <c:v>保定市(76)</c:v>
                </c:pt>
                <c:pt idx="77">
                  <c:v>合肥市(77)</c:v>
                </c:pt>
                <c:pt idx="78">
                  <c:v>南阳市(78)</c:v>
                </c:pt>
                <c:pt idx="79">
                  <c:v>长沙市(79)</c:v>
                </c:pt>
                <c:pt idx="80">
                  <c:v>石嘴山市(80)</c:v>
                </c:pt>
                <c:pt idx="81">
                  <c:v>唐山市(81)</c:v>
                </c:pt>
                <c:pt idx="82">
                  <c:v>海东市(82)</c:v>
                </c:pt>
                <c:pt idx="83">
                  <c:v>阜阳市(83)</c:v>
                </c:pt>
                <c:pt idx="84">
                  <c:v>曲靖市(84)</c:v>
                </c:pt>
                <c:pt idx="85">
                  <c:v>郑州市(85)</c:v>
                </c:pt>
                <c:pt idx="86">
                  <c:v>海口市(86)</c:v>
                </c:pt>
                <c:pt idx="87">
                  <c:v>绵阳市(87)</c:v>
                </c:pt>
                <c:pt idx="88">
                  <c:v>桂林市(88)</c:v>
                </c:pt>
                <c:pt idx="89">
                  <c:v>乌鲁木齐市(89)</c:v>
                </c:pt>
                <c:pt idx="90">
                  <c:v>松原市(90)</c:v>
                </c:pt>
                <c:pt idx="91">
                  <c:v>哈密市(91)</c:v>
                </c:pt>
                <c:pt idx="92">
                  <c:v>柳州市(92)</c:v>
                </c:pt>
                <c:pt idx="93">
                  <c:v>运城市(93)</c:v>
                </c:pt>
                <c:pt idx="94">
                  <c:v>兰州市(94)</c:v>
                </c:pt>
                <c:pt idx="95">
                  <c:v>宝鸡市(95)</c:v>
                </c:pt>
                <c:pt idx="96">
                  <c:v>三亚市(96)</c:v>
                </c:pt>
                <c:pt idx="97">
                  <c:v>呼和浩特市(97)</c:v>
                </c:pt>
                <c:pt idx="98">
                  <c:v>庆阳市(98)</c:v>
                </c:pt>
                <c:pt idx="99">
                  <c:v>吉林市(99)</c:v>
                </c:pt>
                <c:pt idx="100">
                  <c:v>衡阳市(100)</c:v>
                </c:pt>
              </c:strCache>
            </c:strRef>
          </c:cat>
          <c:val>
            <c:numRef>
              <c:f>Sheet1!$B$2:$B$102</c:f>
              <c:numCache>
                <c:formatCode>0.00_);[Red]\(0.00\)</c:formatCode>
                <c:ptCount val="101"/>
                <c:pt idx="0">
                  <c:v>91.81</c:v>
                </c:pt>
                <c:pt idx="1">
                  <c:v>90.4</c:v>
                </c:pt>
                <c:pt idx="2">
                  <c:v>89.74</c:v>
                </c:pt>
                <c:pt idx="3">
                  <c:v>89.17</c:v>
                </c:pt>
                <c:pt idx="4">
                  <c:v>88.85</c:v>
                </c:pt>
                <c:pt idx="5">
                  <c:v>88.15</c:v>
                </c:pt>
                <c:pt idx="6">
                  <c:v>88.13</c:v>
                </c:pt>
                <c:pt idx="7">
                  <c:v>84.45</c:v>
                </c:pt>
                <c:pt idx="8">
                  <c:v>84.42</c:v>
                </c:pt>
                <c:pt idx="9">
                  <c:v>83.54</c:v>
                </c:pt>
                <c:pt idx="10">
                  <c:v>83.02</c:v>
                </c:pt>
                <c:pt idx="11">
                  <c:v>82.86</c:v>
                </c:pt>
                <c:pt idx="12">
                  <c:v>82.78</c:v>
                </c:pt>
                <c:pt idx="13">
                  <c:v>82.74</c:v>
                </c:pt>
                <c:pt idx="14">
                  <c:v>82.73</c:v>
                </c:pt>
                <c:pt idx="15">
                  <c:v>82.71</c:v>
                </c:pt>
                <c:pt idx="16">
                  <c:v>82.13</c:v>
                </c:pt>
                <c:pt idx="17">
                  <c:v>82.11</c:v>
                </c:pt>
                <c:pt idx="18">
                  <c:v>81.97</c:v>
                </c:pt>
                <c:pt idx="19">
                  <c:v>81.89</c:v>
                </c:pt>
                <c:pt idx="20">
                  <c:v>81.69</c:v>
                </c:pt>
                <c:pt idx="21">
                  <c:v>81.61</c:v>
                </c:pt>
                <c:pt idx="22">
                  <c:v>81.57</c:v>
                </c:pt>
                <c:pt idx="23">
                  <c:v>81.41</c:v>
                </c:pt>
                <c:pt idx="24">
                  <c:v>81.4</c:v>
                </c:pt>
                <c:pt idx="25">
                  <c:v>80.95</c:v>
                </c:pt>
                <c:pt idx="26">
                  <c:v>80.64</c:v>
                </c:pt>
                <c:pt idx="27">
                  <c:v>80.4</c:v>
                </c:pt>
                <c:pt idx="28">
                  <c:v>80.39</c:v>
                </c:pt>
                <c:pt idx="29">
                  <c:v>80.27</c:v>
                </c:pt>
                <c:pt idx="30">
                  <c:v>80.16</c:v>
                </c:pt>
                <c:pt idx="31">
                  <c:v>80.03</c:v>
                </c:pt>
                <c:pt idx="32">
                  <c:v>80.02</c:v>
                </c:pt>
                <c:pt idx="33">
                  <c:v>79.85</c:v>
                </c:pt>
                <c:pt idx="34">
                  <c:v>79.67</c:v>
                </c:pt>
                <c:pt idx="35">
                  <c:v>79.67</c:v>
                </c:pt>
                <c:pt idx="36">
                  <c:v>79.6</c:v>
                </c:pt>
                <c:pt idx="37">
                  <c:v>78.89</c:v>
                </c:pt>
                <c:pt idx="38">
                  <c:v>78.82</c:v>
                </c:pt>
                <c:pt idx="39">
                  <c:v>78.81</c:v>
                </c:pt>
                <c:pt idx="40">
                  <c:v>78.6</c:v>
                </c:pt>
                <c:pt idx="41">
                  <c:v>78.46</c:v>
                </c:pt>
                <c:pt idx="42">
                  <c:v>78.43</c:v>
                </c:pt>
                <c:pt idx="43">
                  <c:v>78.36</c:v>
                </c:pt>
                <c:pt idx="44">
                  <c:v>78.22</c:v>
                </c:pt>
                <c:pt idx="45">
                  <c:v>78.19</c:v>
                </c:pt>
                <c:pt idx="46">
                  <c:v>78.13</c:v>
                </c:pt>
                <c:pt idx="47">
                  <c:v>77.89</c:v>
                </c:pt>
                <c:pt idx="48">
                  <c:v>77.82</c:v>
                </c:pt>
                <c:pt idx="49">
                  <c:v>77.72</c:v>
                </c:pt>
                <c:pt idx="50">
                  <c:v>77.41</c:v>
                </c:pt>
                <c:pt idx="51">
                  <c:v>77.38</c:v>
                </c:pt>
                <c:pt idx="52">
                  <c:v>77.37</c:v>
                </c:pt>
                <c:pt idx="53">
                  <c:v>77.02</c:v>
                </c:pt>
                <c:pt idx="54">
                  <c:v>76.95</c:v>
                </c:pt>
                <c:pt idx="55">
                  <c:v>76.92</c:v>
                </c:pt>
                <c:pt idx="56">
                  <c:v>76.88</c:v>
                </c:pt>
                <c:pt idx="57">
                  <c:v>76.76</c:v>
                </c:pt>
                <c:pt idx="58">
                  <c:v>76.67</c:v>
                </c:pt>
                <c:pt idx="59">
                  <c:v>76.63</c:v>
                </c:pt>
                <c:pt idx="60">
                  <c:v>76.59</c:v>
                </c:pt>
                <c:pt idx="61">
                  <c:v>76.38</c:v>
                </c:pt>
                <c:pt idx="62">
                  <c:v>76.25</c:v>
                </c:pt>
                <c:pt idx="63">
                  <c:v>76.24</c:v>
                </c:pt>
                <c:pt idx="64">
                  <c:v>76.24</c:v>
                </c:pt>
                <c:pt idx="65">
                  <c:v>76.18</c:v>
                </c:pt>
                <c:pt idx="66">
                  <c:v>75.99</c:v>
                </c:pt>
                <c:pt idx="67">
                  <c:v>75.74</c:v>
                </c:pt>
                <c:pt idx="68">
                  <c:v>75.7</c:v>
                </c:pt>
                <c:pt idx="69">
                  <c:v>75.48</c:v>
                </c:pt>
                <c:pt idx="70">
                  <c:v>75.47</c:v>
                </c:pt>
                <c:pt idx="71">
                  <c:v>75.23</c:v>
                </c:pt>
                <c:pt idx="72">
                  <c:v>75.16</c:v>
                </c:pt>
                <c:pt idx="73">
                  <c:v>75.13</c:v>
                </c:pt>
                <c:pt idx="74">
                  <c:v>75.01</c:v>
                </c:pt>
                <c:pt idx="75">
                  <c:v>74.64</c:v>
                </c:pt>
                <c:pt idx="76">
                  <c:v>74.34</c:v>
                </c:pt>
                <c:pt idx="77">
                  <c:v>74.28</c:v>
                </c:pt>
                <c:pt idx="78">
                  <c:v>74.2</c:v>
                </c:pt>
                <c:pt idx="79">
                  <c:v>74.18</c:v>
                </c:pt>
                <c:pt idx="80">
                  <c:v>74</c:v>
                </c:pt>
                <c:pt idx="81">
                  <c:v>73.9</c:v>
                </c:pt>
                <c:pt idx="82">
                  <c:v>73.83</c:v>
                </c:pt>
                <c:pt idx="83">
                  <c:v>73.62</c:v>
                </c:pt>
                <c:pt idx="84">
                  <c:v>73.5</c:v>
                </c:pt>
                <c:pt idx="85">
                  <c:v>73.4</c:v>
                </c:pt>
                <c:pt idx="86">
                  <c:v>73.35</c:v>
                </c:pt>
                <c:pt idx="87">
                  <c:v>73.34</c:v>
                </c:pt>
                <c:pt idx="88">
                  <c:v>73.07</c:v>
                </c:pt>
                <c:pt idx="89">
                  <c:v>72.91</c:v>
                </c:pt>
                <c:pt idx="90">
                  <c:v>72.74</c:v>
                </c:pt>
                <c:pt idx="91">
                  <c:v>72.48</c:v>
                </c:pt>
                <c:pt idx="92">
                  <c:v>72.1</c:v>
                </c:pt>
                <c:pt idx="93">
                  <c:v>71.96</c:v>
                </c:pt>
                <c:pt idx="94">
                  <c:v>71.79</c:v>
                </c:pt>
                <c:pt idx="95">
                  <c:v>71.66</c:v>
                </c:pt>
                <c:pt idx="96">
                  <c:v>71.52</c:v>
                </c:pt>
                <c:pt idx="97">
                  <c:v>71.35</c:v>
                </c:pt>
                <c:pt idx="98">
                  <c:v>70.81</c:v>
                </c:pt>
                <c:pt idx="99">
                  <c:v>70.67</c:v>
                </c:pt>
                <c:pt idx="100">
                  <c:v>70.19</c:v>
                </c:pt>
              </c:numCache>
            </c:numRef>
          </c:val>
        </c:ser>
        <c:dLbls>
          <c:showLegendKey val="0"/>
          <c:showVal val="1"/>
          <c:showCatName val="0"/>
          <c:showSerName val="0"/>
          <c:showPercent val="0"/>
          <c:showBubbleSize val="0"/>
        </c:dLbls>
        <c:gapWidth val="219"/>
        <c:overlap val="-27"/>
        <c:axId val="327735243"/>
        <c:axId val="424484931"/>
      </c:barChart>
      <c:catAx>
        <c:axId val="32773524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500" b="0" i="0" u="none" strike="noStrike" kern="1200" baseline="0">
                <a:solidFill>
                  <a:schemeClr val="tx1">
                    <a:lumMod val="65000"/>
                    <a:lumOff val="35000"/>
                  </a:schemeClr>
                </a:solidFill>
                <a:latin typeface="+mn-lt"/>
                <a:ea typeface="+mn-ea"/>
                <a:cs typeface="+mn-cs"/>
              </a:defRPr>
            </a:pPr>
          </a:p>
        </c:txPr>
        <c:crossAx val="424484931"/>
        <c:crosses val="autoZero"/>
        <c:auto val="1"/>
        <c:lblAlgn val="ctr"/>
        <c:lblOffset val="100"/>
        <c:noMultiLvlLbl val="0"/>
      </c:catAx>
      <c:valAx>
        <c:axId val="424484931"/>
        <c:scaling>
          <c:orientation val="minMax"/>
          <c:max val="100"/>
          <c:min val="60"/>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77352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65900007540909"/>
          <c:y val="0.0221023549532955"/>
          <c:w val="0.944783515085468"/>
          <c:h val="0.689646099197474"/>
        </c:manualLayout>
      </c:layout>
      <c:lineChart>
        <c:grouping val="standard"/>
        <c:varyColors val="0"/>
        <c:ser>
          <c:idx val="0"/>
          <c:order val="0"/>
          <c:tx>
            <c:strRef>
              <c:f>Sheet1!$B$1</c:f>
              <c:strCache>
                <c:ptCount val="1"/>
                <c:pt idx="0">
                  <c:v>2022</c:v>
                </c:pt>
              </c:strCache>
            </c:strRef>
          </c:tx>
          <c:spPr>
            <a:ln w="28575" cap="rnd">
              <a:solidFill>
                <a:srgbClr val="C00000"/>
              </a:solidFill>
              <a:round/>
            </a:ln>
            <a:effectLst/>
          </c:spPr>
          <c:marker>
            <c:symbol val="triangle"/>
            <c:size val="5"/>
            <c:spPr>
              <a:solidFill>
                <a:srgbClr val="C00000"/>
              </a:solidFill>
              <a:ln w="9525">
                <a:solidFill>
                  <a:srgbClr val="C00000"/>
                </a:solidFill>
              </a:ln>
              <a:effectLst/>
            </c:spPr>
          </c:marker>
          <c:dLbls>
            <c:dLbl>
              <c:idx val="0"/>
              <c:layout>
                <c:manualLayout>
                  <c:x val="-0.0344205107986417"/>
                  <c:y val="-0.01182086484683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98959651384351"/>
                  <c:y val="0.01975392794358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1" i="0" u="none" strike="noStrike" kern="1200" baseline="0">
                      <a:solidFill>
                        <a:srgbClr val="C00000"/>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manualLayout>
                      <c:w val="0.0401855657493081"/>
                      <c:h val="0.0578477552166261"/>
                    </c:manualLayout>
                  </c15:layout>
                </c:ext>
              </c:extLst>
            </c:dLbl>
            <c:dLbl>
              <c:idx val="2"/>
              <c:layout>
                <c:manualLayout>
                  <c:x val="-0.026879601364964"/>
                  <c:y val="-0.02234579577697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98959651384351"/>
                  <c:y val="0.027647626141193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83877832516996"/>
                  <c:y val="0.0197539279435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83877832516996"/>
                  <c:y val="-0.051289355834862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83877832516996"/>
                  <c:y val="-0.024977028509510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83877832516996"/>
                  <c:y val="-0.02234579577697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6879601364964"/>
                  <c:y val="-0.024977028509510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329123289119063"/>
                  <c:y val="-0.01182086484683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283877832516995"/>
                  <c:y val="-0.019714563044439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83877832516995"/>
                  <c:y val="-0.019714563044439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53714194782286"/>
                  <c:y val="-0.0091896321142990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246173285348607"/>
                  <c:y val="-0.022740480686855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283877832516996"/>
                  <c:y val="-0.01708333031190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C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供给便利性</c:v>
                </c:pt>
                <c:pt idx="1">
                  <c:v>供给丰富性</c:v>
                </c:pt>
                <c:pt idx="2">
                  <c:v>消费自主选择权</c:v>
                </c:pt>
                <c:pt idx="3">
                  <c:v>消费知情权</c:v>
                </c:pt>
                <c:pt idx="4">
                  <c:v>质量水平</c:v>
                </c:pt>
                <c:pt idx="5">
                  <c:v>商家信任度</c:v>
                </c:pt>
                <c:pt idx="6">
                  <c:v>消费设施</c:v>
                </c:pt>
                <c:pt idx="7">
                  <c:v>售后保障</c:v>
                </c:pt>
                <c:pt idx="8">
                  <c:v>权益保护</c:v>
                </c:pt>
                <c:pt idx="9">
                  <c:v>服务水平</c:v>
                </c:pt>
                <c:pt idx="10">
                  <c:v>价格合理</c:v>
                </c:pt>
                <c:pt idx="11">
                  <c:v>信息真实</c:v>
                </c:pt>
                <c:pt idx="12">
                  <c:v>供给创新性</c:v>
                </c:pt>
                <c:pt idx="13">
                  <c:v>消费执法</c:v>
                </c:pt>
                <c:pt idx="14">
                  <c:v>消费宣传</c:v>
                </c:pt>
                <c:pt idx="15">
                  <c:v>交易安全</c:v>
                </c:pt>
              </c:strCache>
            </c:strRef>
          </c:cat>
          <c:val>
            <c:numRef>
              <c:f>Sheet1!$B$2:$B$17</c:f>
              <c:numCache>
                <c:formatCode>0.00_);[Red]\(0.00\)</c:formatCode>
                <c:ptCount val="16"/>
                <c:pt idx="0">
                  <c:v>82.29</c:v>
                </c:pt>
                <c:pt idx="1">
                  <c:v>81.24</c:v>
                </c:pt>
                <c:pt idx="2">
                  <c:v>81.22</c:v>
                </c:pt>
                <c:pt idx="3">
                  <c:v>80.04</c:v>
                </c:pt>
                <c:pt idx="4">
                  <c:v>79.93</c:v>
                </c:pt>
                <c:pt idx="5">
                  <c:v>79.83</c:v>
                </c:pt>
                <c:pt idx="6">
                  <c:v>79.38</c:v>
                </c:pt>
                <c:pt idx="7">
                  <c:v>79.27</c:v>
                </c:pt>
                <c:pt idx="8">
                  <c:v>79.03</c:v>
                </c:pt>
                <c:pt idx="9">
                  <c:v>78.46</c:v>
                </c:pt>
                <c:pt idx="10">
                  <c:v>77.95</c:v>
                </c:pt>
                <c:pt idx="11">
                  <c:v>77.87</c:v>
                </c:pt>
                <c:pt idx="12">
                  <c:v>77.12</c:v>
                </c:pt>
                <c:pt idx="13">
                  <c:v>76.91</c:v>
                </c:pt>
                <c:pt idx="14">
                  <c:v>76.84</c:v>
                </c:pt>
                <c:pt idx="15">
                  <c:v>75.89</c:v>
                </c:pt>
              </c:numCache>
            </c:numRef>
          </c:val>
          <c:smooth val="1"/>
        </c:ser>
        <c:ser>
          <c:idx val="1"/>
          <c:order val="1"/>
          <c:tx>
            <c:strRef>
              <c:f>Sheet1!$C$1</c:f>
              <c:strCache>
                <c:ptCount val="1"/>
                <c:pt idx="0">
                  <c:v>2021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0.0344205107986417"/>
                  <c:y val="-0.040764424904721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94736742101491"/>
                  <c:y val="-0.01708333031190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38632375914929"/>
                  <c:y val="0.03027885887372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3714194782284"/>
                  <c:y val="-0.030239493974580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38632375914929"/>
                  <c:y val="-0.01708333031190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53714194782284"/>
                  <c:y val="-0.07760168316021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53714194782284"/>
                  <c:y val="-0.027608261242045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83877832516996"/>
                  <c:y val="-0.056551821299932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83877832516996"/>
                  <c:y val="-0.02234579577697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329123289119061"/>
                  <c:y val="-0.07233921769514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83877832516995"/>
                  <c:y val="-0.01708333031190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83877832516996"/>
                  <c:y val="-0.030239493974580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0377045471683885"/>
                  <c:y val="0.00657808183133798"/>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298959651384351"/>
                  <c:y val="-0.01445209757936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6"/>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供给便利性</c:v>
                </c:pt>
                <c:pt idx="1">
                  <c:v>供给丰富性</c:v>
                </c:pt>
                <c:pt idx="2">
                  <c:v>消费自主选择权</c:v>
                </c:pt>
                <c:pt idx="3">
                  <c:v>消费知情权</c:v>
                </c:pt>
                <c:pt idx="4">
                  <c:v>质量水平</c:v>
                </c:pt>
                <c:pt idx="5">
                  <c:v>商家信任度</c:v>
                </c:pt>
                <c:pt idx="6">
                  <c:v>消费设施</c:v>
                </c:pt>
                <c:pt idx="7">
                  <c:v>售后保障</c:v>
                </c:pt>
                <c:pt idx="8">
                  <c:v>权益保护</c:v>
                </c:pt>
                <c:pt idx="9">
                  <c:v>服务水平</c:v>
                </c:pt>
                <c:pt idx="10">
                  <c:v>价格合理</c:v>
                </c:pt>
                <c:pt idx="11">
                  <c:v>信息真实</c:v>
                </c:pt>
                <c:pt idx="12">
                  <c:v>供给创新性</c:v>
                </c:pt>
                <c:pt idx="13">
                  <c:v>消费执法</c:v>
                </c:pt>
                <c:pt idx="14">
                  <c:v>消费宣传</c:v>
                </c:pt>
                <c:pt idx="15">
                  <c:v>交易安全</c:v>
                </c:pt>
              </c:strCache>
            </c:strRef>
          </c:cat>
          <c:val>
            <c:numRef>
              <c:f>Sheet1!$C$2:$C$17</c:f>
              <c:numCache>
                <c:formatCode>0.00_);[Red]\(0.00\)</c:formatCode>
                <c:ptCount val="16"/>
                <c:pt idx="0">
                  <c:v>82.45</c:v>
                </c:pt>
                <c:pt idx="1">
                  <c:v>82.9</c:v>
                </c:pt>
                <c:pt idx="2">
                  <c:v>86.97</c:v>
                </c:pt>
                <c:pt idx="3">
                  <c:v>83.49</c:v>
                </c:pt>
                <c:pt idx="4">
                  <c:v>81.2</c:v>
                </c:pt>
                <c:pt idx="5">
                  <c:v>80.54</c:v>
                </c:pt>
                <c:pt idx="6">
                  <c:v>81.44</c:v>
                </c:pt>
                <c:pt idx="7">
                  <c:v>79.25</c:v>
                </c:pt>
                <c:pt idx="8">
                  <c:v>82.94</c:v>
                </c:pt>
                <c:pt idx="9">
                  <c:v>78</c:v>
                </c:pt>
                <c:pt idx="10">
                  <c:v>82.02</c:v>
                </c:pt>
                <c:pt idx="11">
                  <c:v>74.93</c:v>
                </c:pt>
                <c:pt idx="12">
                  <c:v>79.93</c:v>
                </c:pt>
                <c:pt idx="13">
                  <c:v>78.03</c:v>
                </c:pt>
                <c:pt idx="14">
                  <c:v>79.7</c:v>
                </c:pt>
                <c:pt idx="15">
                  <c:v>79.08</c:v>
                </c:pt>
              </c:numCache>
            </c:numRef>
          </c:val>
          <c:smooth val="1"/>
        </c:ser>
        <c:ser>
          <c:idx val="2"/>
          <c:order val="2"/>
          <c:tx>
            <c:strRef>
              <c:f>Sheet1!$D$1</c:f>
              <c:strCache>
                <c:ptCount val="1"/>
                <c:pt idx="0">
                  <c:v>2020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0.0298959651384351"/>
                  <c:y val="-0.080232915892749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14041470251706"/>
                  <c:y val="-0.01445209757936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83877832516996"/>
                  <c:y val="-0.0355019594396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3059643843441"/>
                  <c:y val="-0.02234579577697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83877832516996"/>
                  <c:y val="0.0171226952110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878141872413756"/>
                  <c:y val="0.0171226952110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576505495066653"/>
                  <c:y val="0.009228997013447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49491285499425"/>
                  <c:y val="-0.019714563044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449777840057905"/>
                  <c:y val="0.0171226952110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249491285499426"/>
                  <c:y val="-0.019714563044439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534276402238047"/>
                  <c:y val="0.011860229745982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23550557047575"/>
                  <c:y val="0.0171226952110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38632375914929"/>
                  <c:y val="0.0197539279435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0663600030163638"/>
                  <c:y val="0.054334955926851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344205107986418"/>
                  <c:y val="0.0197539279435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5"/>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供给便利性</c:v>
                </c:pt>
                <c:pt idx="1">
                  <c:v>供给丰富性</c:v>
                </c:pt>
                <c:pt idx="2">
                  <c:v>消费自主选择权</c:v>
                </c:pt>
                <c:pt idx="3">
                  <c:v>消费知情权</c:v>
                </c:pt>
                <c:pt idx="4">
                  <c:v>质量水平</c:v>
                </c:pt>
                <c:pt idx="5">
                  <c:v>商家信任度</c:v>
                </c:pt>
                <c:pt idx="6">
                  <c:v>消费设施</c:v>
                </c:pt>
                <c:pt idx="7">
                  <c:v>售后保障</c:v>
                </c:pt>
                <c:pt idx="8">
                  <c:v>权益保护</c:v>
                </c:pt>
                <c:pt idx="9">
                  <c:v>服务水平</c:v>
                </c:pt>
                <c:pt idx="10">
                  <c:v>价格合理</c:v>
                </c:pt>
                <c:pt idx="11">
                  <c:v>信息真实</c:v>
                </c:pt>
                <c:pt idx="12">
                  <c:v>供给创新性</c:v>
                </c:pt>
                <c:pt idx="13">
                  <c:v>消费执法</c:v>
                </c:pt>
                <c:pt idx="14">
                  <c:v>消费宣传</c:v>
                </c:pt>
                <c:pt idx="15">
                  <c:v>交易安全</c:v>
                </c:pt>
              </c:strCache>
            </c:strRef>
          </c:cat>
          <c:val>
            <c:numRef>
              <c:f>Sheet1!$D$2:$D$17</c:f>
              <c:numCache>
                <c:formatCode>0.00_);[Red]\(0.00\)</c:formatCode>
                <c:ptCount val="16"/>
                <c:pt idx="0">
                  <c:v>84.46</c:v>
                </c:pt>
                <c:pt idx="1">
                  <c:v>81.63</c:v>
                </c:pt>
                <c:pt idx="2">
                  <c:v>92.05</c:v>
                </c:pt>
                <c:pt idx="3">
                  <c:v>88.78</c:v>
                </c:pt>
                <c:pt idx="4">
                  <c:v>83.42</c:v>
                </c:pt>
                <c:pt idx="5">
                  <c:v>79.48</c:v>
                </c:pt>
                <c:pt idx="6">
                  <c:v>79.95</c:v>
                </c:pt>
                <c:pt idx="7">
                  <c:v>78.77</c:v>
                </c:pt>
                <c:pt idx="8">
                  <c:v>73.3</c:v>
                </c:pt>
                <c:pt idx="9">
                  <c:v>78.08</c:v>
                </c:pt>
                <c:pt idx="10">
                  <c:v>81.4</c:v>
                </c:pt>
                <c:pt idx="11">
                  <c:v>74.54</c:v>
                </c:pt>
                <c:pt idx="12">
                  <c:v>76.49</c:v>
                </c:pt>
                <c:pt idx="13">
                  <c:v>75.7</c:v>
                </c:pt>
                <c:pt idx="14">
                  <c:v>74.62</c:v>
                </c:pt>
                <c:pt idx="15">
                  <c:v>74.03</c:v>
                </c:pt>
              </c:numCache>
            </c:numRef>
          </c:val>
          <c:smooth val="1"/>
        </c:ser>
        <c:ser>
          <c:idx val="3"/>
          <c:order val="3"/>
          <c:tx>
            <c:strRef>
              <c:f>Sheet1!$E$1</c:f>
              <c:strCache>
                <c:ptCount val="1"/>
                <c:pt idx="0">
                  <c:v>2019</c:v>
                </c:pt>
              </c:strCache>
            </c:strRef>
          </c:tx>
          <c:spPr>
            <a:ln w="28575" cap="rnd">
              <a:solidFill>
                <a:schemeClr val="accent2"/>
              </a:solidFill>
              <a:round/>
            </a:ln>
            <a:effectLst/>
          </c:spPr>
          <c:marker>
            <c:symbol val="circle"/>
            <c:size val="5"/>
            <c:spPr>
              <a:solidFill>
                <a:schemeClr val="accent2">
                  <a:alpha val="92000"/>
                </a:schemeClr>
              </a:solidFill>
              <a:ln w="9525">
                <a:solidFill>
                  <a:schemeClr val="accent2"/>
                </a:solidFill>
              </a:ln>
              <a:effectLst/>
            </c:spPr>
          </c:marker>
          <c:dLbls>
            <c:dLbl>
              <c:idx val="0"/>
              <c:layout>
                <c:manualLayout>
                  <c:x val="-0.0329123289119061"/>
                  <c:y val="-0.03813319217218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14041470251706"/>
                  <c:y val="0.0197539279435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23550557047574"/>
                  <c:y val="0.01449146247851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8141462710797"/>
                  <c:y val="-0.01182086484683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19614202323194"/>
                  <c:y val="-0.01182086484683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434696021190549"/>
                  <c:y val="0.02501639340865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6879601364964"/>
                  <c:y val="-0.01708333031190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385227655305624"/>
                  <c:y val="0.02238516067612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98959651384351"/>
                  <c:y val="0.0171226952110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298959651384351"/>
                  <c:y val="0.0197539279435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279654923234137"/>
                  <c:y val="-0.02497702850951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434696021190549"/>
                  <c:y val="0.01449146247851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68796013649641"/>
                  <c:y val="0.0092289970134472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49491285499426"/>
                  <c:y val="0.017122695211052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104064550184752"/>
                  <c:y val="0.0690698592290488"/>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189616464596025"/>
                  <c:y val="-0.02076705613745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2">
                        <a:lumMod val="7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供给便利性</c:v>
                </c:pt>
                <c:pt idx="1">
                  <c:v>供给丰富性</c:v>
                </c:pt>
                <c:pt idx="2">
                  <c:v>消费自主选择权</c:v>
                </c:pt>
                <c:pt idx="3">
                  <c:v>消费知情权</c:v>
                </c:pt>
                <c:pt idx="4">
                  <c:v>质量水平</c:v>
                </c:pt>
                <c:pt idx="5">
                  <c:v>商家信任度</c:v>
                </c:pt>
                <c:pt idx="6">
                  <c:v>消费设施</c:v>
                </c:pt>
                <c:pt idx="7">
                  <c:v>售后保障</c:v>
                </c:pt>
                <c:pt idx="8">
                  <c:v>权益保护</c:v>
                </c:pt>
                <c:pt idx="9">
                  <c:v>服务水平</c:v>
                </c:pt>
                <c:pt idx="10">
                  <c:v>价格合理</c:v>
                </c:pt>
                <c:pt idx="11">
                  <c:v>信息真实</c:v>
                </c:pt>
                <c:pt idx="12">
                  <c:v>供给创新性</c:v>
                </c:pt>
                <c:pt idx="13">
                  <c:v>消费执法</c:v>
                </c:pt>
                <c:pt idx="14">
                  <c:v>消费宣传</c:v>
                </c:pt>
                <c:pt idx="15">
                  <c:v>交易安全</c:v>
                </c:pt>
              </c:strCache>
            </c:strRef>
          </c:cat>
          <c:val>
            <c:numRef>
              <c:f>Sheet1!$E$2:$E$17</c:f>
              <c:numCache>
                <c:formatCode>0.00_);[Red]\(0.00\)</c:formatCode>
                <c:ptCount val="16"/>
                <c:pt idx="0">
                  <c:v>84.34</c:v>
                </c:pt>
                <c:pt idx="1">
                  <c:v>74.98</c:v>
                </c:pt>
                <c:pt idx="2">
                  <c:v>91.47</c:v>
                </c:pt>
                <c:pt idx="3">
                  <c:v>86.97</c:v>
                </c:pt>
                <c:pt idx="4">
                  <c:v>82.85</c:v>
                </c:pt>
                <c:pt idx="5">
                  <c:v>78.85</c:v>
                </c:pt>
                <c:pt idx="6">
                  <c:v>77.19</c:v>
                </c:pt>
                <c:pt idx="7">
                  <c:v>77.85</c:v>
                </c:pt>
                <c:pt idx="8">
                  <c:v>66.92</c:v>
                </c:pt>
                <c:pt idx="9">
                  <c:v>77.08</c:v>
                </c:pt>
                <c:pt idx="10">
                  <c:v>79.14</c:v>
                </c:pt>
                <c:pt idx="11">
                  <c:v>74.75</c:v>
                </c:pt>
                <c:pt idx="12">
                  <c:v>74.25</c:v>
                </c:pt>
                <c:pt idx="13">
                  <c:v>73.7</c:v>
                </c:pt>
                <c:pt idx="14">
                  <c:v>71.24</c:v>
                </c:pt>
                <c:pt idx="15">
                  <c:v>69.31</c:v>
                </c:pt>
              </c:numCache>
            </c:numRef>
          </c:val>
          <c:smooth val="1"/>
        </c:ser>
        <c:ser>
          <c:idx val="4"/>
          <c:order val="4"/>
          <c:tx>
            <c:strRef>
              <c:f>Sheet1!$F$1</c:f>
              <c:strCache>
                <c:ptCount val="1"/>
                <c:pt idx="0">
                  <c:v>2018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0344205107986417"/>
                  <c:y val="0.027647626141193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2405092904598"/>
                  <c:y val="-0.019714563044439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63223281578152"/>
                  <c:y val="0.02501639340865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4368745721128"/>
                  <c:y val="0.0171226952110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10105115527327"/>
                  <c:y val="0.0065977642809120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53714194782284"/>
                  <c:y val="0.022385160676123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53714194782284"/>
                  <c:y val="0.027647626141193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96968554407662"/>
                  <c:y val="0.02501639340865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83877832516996"/>
                  <c:y val="0.022385160676123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163223281578152"/>
                  <c:y val="0.02501639340865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298959651384352"/>
                  <c:y val="0.022385160676123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404532383455838"/>
                  <c:y val="0.022385160676123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6457310436678"/>
                  <c:y val="0.02501639340865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83877832516996"/>
                  <c:y val="0.011860229745982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283877832516995"/>
                  <c:y val="0.027647626141193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270304195536376"/>
                  <c:y val="0.024753270135404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lumMod val="50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供给便利性</c:v>
                </c:pt>
                <c:pt idx="1">
                  <c:v>供给丰富性</c:v>
                </c:pt>
                <c:pt idx="2">
                  <c:v>消费自主选择权</c:v>
                </c:pt>
                <c:pt idx="3">
                  <c:v>消费知情权</c:v>
                </c:pt>
                <c:pt idx="4">
                  <c:v>质量水平</c:v>
                </c:pt>
                <c:pt idx="5">
                  <c:v>商家信任度</c:v>
                </c:pt>
                <c:pt idx="6">
                  <c:v>消费设施</c:v>
                </c:pt>
                <c:pt idx="7">
                  <c:v>售后保障</c:v>
                </c:pt>
                <c:pt idx="8">
                  <c:v>权益保护</c:v>
                </c:pt>
                <c:pt idx="9">
                  <c:v>服务水平</c:v>
                </c:pt>
                <c:pt idx="10">
                  <c:v>价格合理</c:v>
                </c:pt>
                <c:pt idx="11">
                  <c:v>信息真实</c:v>
                </c:pt>
                <c:pt idx="12">
                  <c:v>供给创新性</c:v>
                </c:pt>
                <c:pt idx="13">
                  <c:v>消费执法</c:v>
                </c:pt>
                <c:pt idx="14">
                  <c:v>消费宣传</c:v>
                </c:pt>
                <c:pt idx="15">
                  <c:v>交易安全</c:v>
                </c:pt>
              </c:strCache>
            </c:strRef>
          </c:cat>
          <c:val>
            <c:numRef>
              <c:f>Sheet1!$F$2:$F$17</c:f>
              <c:numCache>
                <c:formatCode>0.00_);[Red]\(0.00\)</c:formatCode>
                <c:ptCount val="16"/>
                <c:pt idx="0">
                  <c:v>82.02</c:v>
                </c:pt>
                <c:pt idx="1">
                  <c:v>71.76</c:v>
                </c:pt>
                <c:pt idx="2">
                  <c:v>90.13</c:v>
                </c:pt>
                <c:pt idx="3">
                  <c:v>82.78</c:v>
                </c:pt>
                <c:pt idx="4">
                  <c:v>80.89</c:v>
                </c:pt>
                <c:pt idx="5">
                  <c:v>76.8</c:v>
                </c:pt>
                <c:pt idx="6">
                  <c:v>72.93</c:v>
                </c:pt>
                <c:pt idx="7">
                  <c:v>75.61</c:v>
                </c:pt>
                <c:pt idx="8">
                  <c:v>63.65</c:v>
                </c:pt>
                <c:pt idx="9">
                  <c:v>74.25</c:v>
                </c:pt>
                <c:pt idx="10">
                  <c:v>76.95</c:v>
                </c:pt>
                <c:pt idx="11">
                  <c:v>71.76</c:v>
                </c:pt>
                <c:pt idx="12">
                  <c:v>71.5</c:v>
                </c:pt>
                <c:pt idx="13">
                  <c:v>68.13</c:v>
                </c:pt>
                <c:pt idx="14">
                  <c:v>66.73</c:v>
                </c:pt>
                <c:pt idx="15">
                  <c:v>63.62</c:v>
                </c:pt>
              </c:numCache>
            </c:numRef>
          </c:val>
          <c:smooth val="1"/>
        </c:ser>
        <c:ser>
          <c:idx val="5"/>
          <c:order val="5"/>
          <c:tx>
            <c:strRef>
              <c:f>Sheet1!$G$1</c:f>
              <c:strCache>
                <c:ptCount val="1"/>
                <c:pt idx="0">
                  <c:v>2017</c:v>
                </c:pt>
              </c:strCache>
            </c:strRef>
          </c:tx>
          <c:spPr>
            <a:ln w="28575" cap="rnd">
              <a:solidFill>
                <a:schemeClr val="accent3">
                  <a:lumMod val="40000"/>
                  <a:lumOff val="60000"/>
                </a:schemeClr>
              </a:solidFill>
              <a:round/>
            </a:ln>
            <a:effectLst/>
          </c:spPr>
          <c:marker>
            <c:symbol val="circle"/>
            <c:size val="5"/>
            <c:spPr>
              <a:solidFill>
                <a:schemeClr val="accent3">
                  <a:lumMod val="40000"/>
                  <a:lumOff val="60000"/>
                </a:schemeClr>
              </a:solidFill>
              <a:ln w="9525">
                <a:solidFill>
                  <a:schemeClr val="accent3">
                    <a:lumMod val="40000"/>
                    <a:lumOff val="60000"/>
                  </a:schemeClr>
                </a:solidFill>
              </a:ln>
              <a:effectLst/>
            </c:spPr>
          </c:marker>
          <c:dLbls>
            <c:dLbl>
              <c:idx val="0"/>
              <c:layout>
                <c:manualLayout>
                  <c:x val="-0.0346881833949174"/>
                  <c:y val="0.042099723720563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6554558479753"/>
                  <c:y val="0.02894356005788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71472739612397"/>
                  <c:y val="0.02368109459281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1472739612398"/>
                  <c:y val="0.02631232732535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6390920745042"/>
                  <c:y val="0.02631232732535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11145464142976"/>
                  <c:y val="0.02104986186028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41309101877686"/>
                  <c:y val="0.0118406508882483"/>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0399819018173592"/>
                      <c:h val="0.0446915915539501"/>
                    </c:manualLayout>
                  </c15:layout>
                </c:ext>
              </c:extLst>
            </c:dLbl>
            <c:dLbl>
              <c:idx val="7"/>
              <c:layout>
                <c:manualLayout>
                  <c:x val="-0.0316718196214465"/>
                  <c:y val="0.0131561636626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26227283010331"/>
                  <c:y val="-0.02631232732535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346881833949175"/>
                  <c:y val="0.02368109459281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256390920745042"/>
                  <c:y val="0.031574792790422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41309101877686"/>
                  <c:y val="0.02104986186028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86554558479753"/>
                  <c:y val="0.02104986186028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271472739612398"/>
                  <c:y val="-0.007893698197605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316718196214465"/>
                  <c:y val="0.015787396395211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accent3"/>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Sheet1!$A$2:$A$17</c:f>
              <c:strCache>
                <c:ptCount val="16"/>
                <c:pt idx="0">
                  <c:v>供给便利性</c:v>
                </c:pt>
                <c:pt idx="1">
                  <c:v>供给丰富性</c:v>
                </c:pt>
                <c:pt idx="2">
                  <c:v>消费自主选择权</c:v>
                </c:pt>
                <c:pt idx="3">
                  <c:v>消费知情权</c:v>
                </c:pt>
                <c:pt idx="4">
                  <c:v>质量水平</c:v>
                </c:pt>
                <c:pt idx="5">
                  <c:v>商家信任度</c:v>
                </c:pt>
                <c:pt idx="6">
                  <c:v>消费设施</c:v>
                </c:pt>
                <c:pt idx="7">
                  <c:v>售后保障</c:v>
                </c:pt>
                <c:pt idx="8">
                  <c:v>权益保护</c:v>
                </c:pt>
                <c:pt idx="9">
                  <c:v>服务水平</c:v>
                </c:pt>
                <c:pt idx="10">
                  <c:v>价格合理</c:v>
                </c:pt>
                <c:pt idx="11">
                  <c:v>信息真实</c:v>
                </c:pt>
                <c:pt idx="12">
                  <c:v>供给创新性</c:v>
                </c:pt>
                <c:pt idx="13">
                  <c:v>消费执法</c:v>
                </c:pt>
                <c:pt idx="14">
                  <c:v>消费宣传</c:v>
                </c:pt>
                <c:pt idx="15">
                  <c:v>交易安全</c:v>
                </c:pt>
              </c:strCache>
            </c:strRef>
          </c:cat>
          <c:val>
            <c:numRef>
              <c:f>Sheet1!$G$2:$G$17</c:f>
              <c:numCache>
                <c:formatCode>0.00_);[Red]\(0.00\)</c:formatCode>
                <c:ptCount val="16"/>
                <c:pt idx="0">
                  <c:v>79.98</c:v>
                </c:pt>
                <c:pt idx="1">
                  <c:v>71.07</c:v>
                </c:pt>
                <c:pt idx="2">
                  <c:v>80.11</c:v>
                </c:pt>
                <c:pt idx="3">
                  <c:v>64.68</c:v>
                </c:pt>
                <c:pt idx="4">
                  <c:v>75.84</c:v>
                </c:pt>
                <c:pt idx="5">
                  <c:v>74</c:v>
                </c:pt>
                <c:pt idx="6">
                  <c:v>77.17</c:v>
                </c:pt>
                <c:pt idx="7">
                  <c:v>73.14</c:v>
                </c:pt>
                <c:pt idx="8">
                  <c:v>67.74</c:v>
                </c:pt>
                <c:pt idx="9">
                  <c:v>75.04</c:v>
                </c:pt>
                <c:pt idx="10">
                  <c:v>71.77</c:v>
                </c:pt>
                <c:pt idx="11">
                  <c:v>66.32</c:v>
                </c:pt>
                <c:pt idx="12">
                  <c:v>72.76</c:v>
                </c:pt>
                <c:pt idx="13">
                  <c:v>65.66</c:v>
                </c:pt>
                <c:pt idx="14">
                  <c:v>67.62</c:v>
                </c:pt>
                <c:pt idx="15">
                  <c:v>68.33</c:v>
                </c:pt>
              </c:numCache>
            </c:numRef>
          </c:val>
          <c:smooth val="1"/>
        </c:ser>
        <c:dLbls>
          <c:showLegendKey val="0"/>
          <c:showVal val="1"/>
          <c:showCatName val="0"/>
          <c:showSerName val="0"/>
          <c:showPercent val="0"/>
          <c:showBubbleSize val="0"/>
        </c:dLbls>
        <c:marker val="1"/>
        <c:smooth val="1"/>
        <c:axId val="749695455"/>
        <c:axId val="749678815"/>
      </c:lineChart>
      <c:catAx>
        <c:axId val="74969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49678815"/>
        <c:crosses val="autoZero"/>
        <c:auto val="1"/>
        <c:lblAlgn val="ctr"/>
        <c:lblOffset val="100"/>
        <c:noMultiLvlLbl val="0"/>
      </c:catAx>
      <c:valAx>
        <c:axId val="749678815"/>
        <c:scaling>
          <c:orientation val="minMax"/>
          <c:min val="60"/>
        </c:scaling>
        <c:delete val="0"/>
        <c:axPos val="l"/>
        <c:numFmt formatCode="0.00_);[Red]\(0.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6954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6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物流便利</c:v>
                </c:pt>
                <c:pt idx="1">
                  <c:v>公共基础设施完善</c:v>
                </c:pt>
                <c:pt idx="2">
                  <c:v>种类丰富性</c:v>
                </c:pt>
                <c:pt idx="3">
                  <c:v>消费自主选择权</c:v>
                </c:pt>
                <c:pt idx="4">
                  <c:v>分布合理</c:v>
                </c:pt>
                <c:pt idx="5">
                  <c:v>货品真实</c:v>
                </c:pt>
                <c:pt idx="6">
                  <c:v>替代产品丰富性</c:v>
                </c:pt>
                <c:pt idx="7">
                  <c:v>消费知情权</c:v>
                </c:pt>
                <c:pt idx="8">
                  <c:v>商家信任度</c:v>
                </c:pt>
                <c:pt idx="9">
                  <c:v>舒适性</c:v>
                </c:pt>
                <c:pt idx="10">
                  <c:v>维权渠道</c:v>
                </c:pt>
                <c:pt idx="11">
                  <c:v>商品或服务质量</c:v>
                </c:pt>
                <c:pt idx="12">
                  <c:v>售后保障</c:v>
                </c:pt>
                <c:pt idx="13">
                  <c:v>安全性</c:v>
                </c:pt>
                <c:pt idx="14">
                  <c:v>维权结果</c:v>
                </c:pt>
                <c:pt idx="15">
                  <c:v>服务水平</c:v>
                </c:pt>
                <c:pt idx="16">
                  <c:v>维权效率</c:v>
                </c:pt>
                <c:pt idx="17">
                  <c:v>价格公道</c:v>
                </c:pt>
                <c:pt idx="18">
                  <c:v>明码标价</c:v>
                </c:pt>
                <c:pt idx="19">
                  <c:v>信息真实</c:v>
                </c:pt>
                <c:pt idx="20">
                  <c:v>消费知识法制宣传</c:v>
                </c:pt>
                <c:pt idx="21">
                  <c:v>供给创新性</c:v>
                </c:pt>
                <c:pt idx="22">
                  <c:v>消费执法</c:v>
                </c:pt>
                <c:pt idx="23">
                  <c:v>消费警示提示</c:v>
                </c:pt>
                <c:pt idx="24">
                  <c:v>交易安全</c:v>
                </c:pt>
              </c:strCache>
            </c:strRef>
          </c:cat>
          <c:val>
            <c:numRef>
              <c:f>Sheet1!$B$2:$B$26</c:f>
              <c:numCache>
                <c:formatCode>0.00</c:formatCode>
                <c:ptCount val="25"/>
                <c:pt idx="0">
                  <c:v>83.3707390746546</c:v>
                </c:pt>
                <c:pt idx="1">
                  <c:v>82.8625867915388</c:v>
                </c:pt>
                <c:pt idx="2">
                  <c:v>82.2886958776252</c:v>
                </c:pt>
                <c:pt idx="3">
                  <c:v>81.2195244222382</c:v>
                </c:pt>
                <c:pt idx="4">
                  <c:v>80.802468133474</c:v>
                </c:pt>
                <c:pt idx="5">
                  <c:v>80.4583590479208</c:v>
                </c:pt>
                <c:pt idx="6">
                  <c:v>80.1994014703012</c:v>
                </c:pt>
                <c:pt idx="7">
                  <c:v>80.0366478944272</c:v>
                </c:pt>
                <c:pt idx="8">
                  <c:v>79.8343290812208</c:v>
                </c:pt>
                <c:pt idx="9">
                  <c:v>79.6806071370902</c:v>
                </c:pt>
                <c:pt idx="10">
                  <c:v>79.6606786427146</c:v>
                </c:pt>
                <c:pt idx="11">
                  <c:v>79.4196673663814</c:v>
                </c:pt>
                <c:pt idx="12">
                  <c:v>79.270143710641</c:v>
                </c:pt>
                <c:pt idx="13">
                  <c:v>79.1138702826336</c:v>
                </c:pt>
                <c:pt idx="14">
                  <c:v>79.0530051009092</c:v>
                </c:pt>
                <c:pt idx="15">
                  <c:v>78.46471823026</c:v>
                </c:pt>
                <c:pt idx="16">
                  <c:v>78.414282546019</c:v>
                </c:pt>
                <c:pt idx="17">
                  <c:v>77.9983852736962</c:v>
                </c:pt>
                <c:pt idx="18">
                  <c:v>77.8942344092038</c:v>
                </c:pt>
                <c:pt idx="19">
                  <c:v>77.870498788537</c:v>
                </c:pt>
                <c:pt idx="20">
                  <c:v>77.5130214917826</c:v>
                </c:pt>
                <c:pt idx="21">
                  <c:v>77.1160648735234</c:v>
                </c:pt>
                <c:pt idx="22">
                  <c:v>76.9093842710664</c:v>
                </c:pt>
                <c:pt idx="23">
                  <c:v>76.1942070275404</c:v>
                </c:pt>
                <c:pt idx="24">
                  <c:v>75.8911674471178</c:v>
                </c:pt>
              </c:numCache>
            </c:numRef>
          </c:val>
        </c:ser>
        <c:dLbls>
          <c:showLegendKey val="0"/>
          <c:showVal val="1"/>
          <c:showCatName val="0"/>
          <c:showSerName val="0"/>
          <c:showPercent val="0"/>
          <c:showBubbleSize val="0"/>
        </c:dLbls>
        <c:gapWidth val="41"/>
        <c:overlap val="-27"/>
        <c:axId val="809934159"/>
        <c:axId val="809928751"/>
      </c:barChart>
      <c:catAx>
        <c:axId val="80993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28751"/>
        <c:crosses val="autoZero"/>
        <c:auto val="1"/>
        <c:lblAlgn val="ctr"/>
        <c:lblOffset val="100"/>
        <c:noMultiLvlLbl val="0"/>
      </c:catAx>
      <c:valAx>
        <c:axId val="809928751"/>
        <c:scaling>
          <c:orientation val="minMax"/>
          <c:min val="70"/>
        </c:scaling>
        <c:delete val="0"/>
        <c:axPos val="l"/>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341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68234304504091"/>
          <c:y val="0.0247441378416893"/>
          <c:w val="0.939068905837169"/>
          <c:h val="0.691592175152222"/>
        </c:manualLayout>
      </c:layout>
      <c:lineChart>
        <c:grouping val="standard"/>
        <c:varyColors val="0"/>
        <c:ser>
          <c:idx val="0"/>
          <c:order val="0"/>
          <c:tx>
            <c:strRef>
              <c:f>Sheet1!$B$1</c:f>
              <c:strCache>
                <c:ptCount val="1"/>
                <c:pt idx="0">
                  <c:v>2022</c:v>
                </c:pt>
              </c:strCache>
            </c:strRef>
          </c:tx>
          <c:spPr>
            <a:ln w="28575" cap="rnd">
              <a:solidFill>
                <a:srgbClr val="C00000"/>
              </a:solidFill>
              <a:round/>
            </a:ln>
            <a:effectLst/>
          </c:spPr>
          <c:marker>
            <c:symbol val="triangle"/>
            <c:size val="5"/>
            <c:spPr>
              <a:solidFill>
                <a:srgbClr val="C00000"/>
              </a:solidFill>
              <a:ln w="9525">
                <a:solidFill>
                  <a:srgbClr val="C00000"/>
                </a:solidFill>
              </a:ln>
              <a:effectLst/>
            </c:spPr>
          </c:marker>
          <c:dLbls>
            <c:dLbl>
              <c:idx val="0"/>
              <c:layout>
                <c:manualLayout>
                  <c:x val="-0.0425518386251271"/>
                  <c:y val="-0.01423116902458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18460192475941"/>
                  <c:y val="-0.019413187420752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14705207616426"/>
                  <c:y val="0.048063220624433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87872137111561"/>
                  <c:y val="0.016860941352404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0535290968876654"/>
                  <c:y val="0.018525715766291"/>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5728408174718"/>
                  <c:y val="-0.016822178222669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97813255104984"/>
                  <c:y val="-0.014749370864203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8787213711156"/>
                  <c:y val="0.0246339689466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303166164793751"/>
                  <c:y val="-0.03236823341116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30316616479375"/>
                  <c:y val="-0.016822178222669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0.01761886254696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986464785501262"/>
                  <c:y val="0.050006477522995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0107058193775331"/>
                  <c:y val="0.012955045990413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54989977594852"/>
                  <c:y val="-0.023299701217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0.012955045990413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0107058193775331"/>
                  <c:y val="0.012955045990413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
                  <c:y val="0.0137323487498381"/>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0"/>
                  <c:y val="0.05272703718098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000611761107287604"/>
                  <c:y val="0.05272703718098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0.00107058193775331"/>
                  <c:y val="0.0111413395517554"/>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0.025728408174718"/>
                  <c:y val="-0.023299701217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0"/>
                  <c:y val="0.012955045990413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0.00221763401391757"/>
                  <c:y val="0.0194325689856199"/>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0"/>
                  <c:y val="0.013861899209742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4"/>
              <c:layout>
                <c:manualLayout>
                  <c:x val="0.000535290968876654"/>
                  <c:y val="0.016582458867729"/>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C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物流便利</c:v>
                </c:pt>
                <c:pt idx="1">
                  <c:v>公共基础设施完善</c:v>
                </c:pt>
                <c:pt idx="2">
                  <c:v>种类丰富性</c:v>
                </c:pt>
                <c:pt idx="3">
                  <c:v>消费自主选择权</c:v>
                </c:pt>
                <c:pt idx="4">
                  <c:v>分布合理</c:v>
                </c:pt>
                <c:pt idx="5">
                  <c:v>货品真实</c:v>
                </c:pt>
                <c:pt idx="6">
                  <c:v>替代产品丰富性</c:v>
                </c:pt>
                <c:pt idx="7">
                  <c:v>消费知情权</c:v>
                </c:pt>
                <c:pt idx="8">
                  <c:v>商家信任度</c:v>
                </c:pt>
                <c:pt idx="9">
                  <c:v>舒适性</c:v>
                </c:pt>
                <c:pt idx="10">
                  <c:v>维权渠道</c:v>
                </c:pt>
                <c:pt idx="11">
                  <c:v>商品或服务质量</c:v>
                </c:pt>
                <c:pt idx="12">
                  <c:v>售后保障</c:v>
                </c:pt>
                <c:pt idx="13">
                  <c:v>安全性</c:v>
                </c:pt>
                <c:pt idx="14">
                  <c:v>维权结果</c:v>
                </c:pt>
                <c:pt idx="15">
                  <c:v>服务水平</c:v>
                </c:pt>
                <c:pt idx="16">
                  <c:v>维权效率</c:v>
                </c:pt>
                <c:pt idx="17">
                  <c:v>价格公道</c:v>
                </c:pt>
                <c:pt idx="18">
                  <c:v>明码标价</c:v>
                </c:pt>
                <c:pt idx="19">
                  <c:v>信息真实</c:v>
                </c:pt>
                <c:pt idx="20">
                  <c:v>消费知识法制宣传</c:v>
                </c:pt>
                <c:pt idx="21">
                  <c:v>供给创新性</c:v>
                </c:pt>
                <c:pt idx="22">
                  <c:v>消费执法</c:v>
                </c:pt>
                <c:pt idx="23">
                  <c:v>消费警示提示</c:v>
                </c:pt>
                <c:pt idx="24">
                  <c:v>交易安全</c:v>
                </c:pt>
              </c:strCache>
            </c:strRef>
          </c:cat>
          <c:val>
            <c:numRef>
              <c:f>Sheet1!$B$2:$B$26</c:f>
              <c:numCache>
                <c:formatCode>0.00_);[Red]\(0.00\)</c:formatCode>
                <c:ptCount val="25"/>
                <c:pt idx="0">
                  <c:v>83.3707390746546</c:v>
                </c:pt>
                <c:pt idx="1">
                  <c:v>82.8625867915388</c:v>
                </c:pt>
                <c:pt idx="2">
                  <c:v>82.2886958776252</c:v>
                </c:pt>
                <c:pt idx="3">
                  <c:v>81.2195244222382</c:v>
                </c:pt>
                <c:pt idx="4">
                  <c:v>80.802468133474</c:v>
                </c:pt>
                <c:pt idx="5">
                  <c:v>80.4583590479208</c:v>
                </c:pt>
                <c:pt idx="6">
                  <c:v>80.1994014703012</c:v>
                </c:pt>
                <c:pt idx="7">
                  <c:v>80.0366478944272</c:v>
                </c:pt>
                <c:pt idx="8">
                  <c:v>79.8343290812208</c:v>
                </c:pt>
                <c:pt idx="9">
                  <c:v>79.6806071370902</c:v>
                </c:pt>
                <c:pt idx="10">
                  <c:v>79.6606786427146</c:v>
                </c:pt>
                <c:pt idx="11">
                  <c:v>79.4196673663814</c:v>
                </c:pt>
                <c:pt idx="12">
                  <c:v>79.270143710641</c:v>
                </c:pt>
                <c:pt idx="13">
                  <c:v>79.1138702826336</c:v>
                </c:pt>
                <c:pt idx="14">
                  <c:v>79.0530051009092</c:v>
                </c:pt>
                <c:pt idx="15">
                  <c:v>78.46471823026</c:v>
                </c:pt>
                <c:pt idx="16">
                  <c:v>78.414282546019</c:v>
                </c:pt>
                <c:pt idx="17">
                  <c:v>77.9983852736962</c:v>
                </c:pt>
                <c:pt idx="18">
                  <c:v>77.8942344092038</c:v>
                </c:pt>
                <c:pt idx="19">
                  <c:v>77.870498788537</c:v>
                </c:pt>
                <c:pt idx="20">
                  <c:v>77.5130214917826</c:v>
                </c:pt>
                <c:pt idx="21">
                  <c:v>77.1160648735234</c:v>
                </c:pt>
                <c:pt idx="22">
                  <c:v>76.9093842710664</c:v>
                </c:pt>
                <c:pt idx="23">
                  <c:v>76.1942070275404</c:v>
                </c:pt>
                <c:pt idx="24">
                  <c:v>75.8911674471178</c:v>
                </c:pt>
              </c:numCache>
            </c:numRef>
          </c:val>
          <c:smooth val="1"/>
        </c:ser>
        <c:ser>
          <c:idx val="1"/>
          <c:order val="1"/>
          <c:tx>
            <c:strRef>
              <c:f>Sheet1!$C$1</c:f>
              <c:strCache>
                <c:ptCount val="1"/>
                <c:pt idx="0">
                  <c:v>2021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0.0425518386251271"/>
                  <c:y val="-0.009049150628421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65695796972384"/>
                  <c:y val="-0.03133182973193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03166164793751"/>
                  <c:y val="0.0246339689466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76401616349918"/>
                  <c:y val="0.01465858353403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7257810942937"/>
                  <c:y val="-0.016822178222669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8787213711156"/>
                  <c:y val="-0.045323279401578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76401616349918"/>
                  <c:y val="-0.016303976383053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318460192475941"/>
                  <c:y val="-0.07382438058048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30316616479375"/>
                  <c:y val="-0.016822178222669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28787213711156"/>
                  <c:y val="-0.02200419661883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382350692054753"/>
                  <c:y val="-0.01761886254696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0374703678213658"/>
                  <c:y val="-0.015805156108304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0435879788942418"/>
                  <c:y val="0.020209871745044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30316616479375"/>
                  <c:y val="-0.01423116902458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290166241263889"/>
                  <c:y val="-0.06216483918911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
                  <c:y val="0.012048192771084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0.0276401616349919"/>
                  <c:y val="-0.03003632513289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0"/>
                  <c:y val="0.0111413395517554"/>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0.00275292498279422"/>
                  <c:y val="0.00362741287731571"/>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0.00221763401391757"/>
                  <c:y val="0.011918642311180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4"/>
              <c:layout>
                <c:manualLayout>
                  <c:x val="0.00321174581325992"/>
                  <c:y val="0.012955045990413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6"/>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物流便利</c:v>
                </c:pt>
                <c:pt idx="1">
                  <c:v>公共基础设施完善</c:v>
                </c:pt>
                <c:pt idx="2">
                  <c:v>种类丰富性</c:v>
                </c:pt>
                <c:pt idx="3">
                  <c:v>消费自主选择权</c:v>
                </c:pt>
                <c:pt idx="4">
                  <c:v>分布合理</c:v>
                </c:pt>
                <c:pt idx="5">
                  <c:v>货品真实</c:v>
                </c:pt>
                <c:pt idx="6">
                  <c:v>替代产品丰富性</c:v>
                </c:pt>
                <c:pt idx="7">
                  <c:v>消费知情权</c:v>
                </c:pt>
                <c:pt idx="8">
                  <c:v>商家信任度</c:v>
                </c:pt>
                <c:pt idx="9">
                  <c:v>舒适性</c:v>
                </c:pt>
                <c:pt idx="10">
                  <c:v>维权渠道</c:v>
                </c:pt>
                <c:pt idx="11">
                  <c:v>商品或服务质量</c:v>
                </c:pt>
                <c:pt idx="12">
                  <c:v>售后保障</c:v>
                </c:pt>
                <c:pt idx="13">
                  <c:v>安全性</c:v>
                </c:pt>
                <c:pt idx="14">
                  <c:v>维权结果</c:v>
                </c:pt>
                <c:pt idx="15">
                  <c:v>服务水平</c:v>
                </c:pt>
                <c:pt idx="16">
                  <c:v>维权效率</c:v>
                </c:pt>
                <c:pt idx="17">
                  <c:v>价格公道</c:v>
                </c:pt>
                <c:pt idx="18">
                  <c:v>明码标价</c:v>
                </c:pt>
                <c:pt idx="19">
                  <c:v>信息真实</c:v>
                </c:pt>
                <c:pt idx="20">
                  <c:v>消费知识法制宣传</c:v>
                </c:pt>
                <c:pt idx="21">
                  <c:v>供给创新性</c:v>
                </c:pt>
                <c:pt idx="22">
                  <c:v>消费执法</c:v>
                </c:pt>
                <c:pt idx="23">
                  <c:v>消费警示提示</c:v>
                </c:pt>
                <c:pt idx="24">
                  <c:v>交易安全</c:v>
                </c:pt>
              </c:strCache>
            </c:strRef>
          </c:cat>
          <c:val>
            <c:numRef>
              <c:f>Sheet1!$C$2:$C$26</c:f>
              <c:numCache>
                <c:formatCode>0.00_);[Red]\(0.00\)</c:formatCode>
                <c:ptCount val="25"/>
                <c:pt idx="0">
                  <c:v>82.56</c:v>
                </c:pt>
                <c:pt idx="1">
                  <c:v>84.68</c:v>
                </c:pt>
                <c:pt idx="2">
                  <c:v>82.29</c:v>
                </c:pt>
                <c:pt idx="3">
                  <c:v>86.97</c:v>
                </c:pt>
                <c:pt idx="4">
                  <c:v>80.17</c:v>
                </c:pt>
                <c:pt idx="5">
                  <c:v>82.42</c:v>
                </c:pt>
                <c:pt idx="6">
                  <c:v>83.52</c:v>
                </c:pt>
                <c:pt idx="7">
                  <c:v>83.49</c:v>
                </c:pt>
                <c:pt idx="8">
                  <c:v>80.54</c:v>
                </c:pt>
                <c:pt idx="9">
                  <c:v>82.08</c:v>
                </c:pt>
                <c:pt idx="10">
                  <c:v>82.82</c:v>
                </c:pt>
                <c:pt idx="11">
                  <c:v>80</c:v>
                </c:pt>
                <c:pt idx="12">
                  <c:v>79.25</c:v>
                </c:pt>
                <c:pt idx="13">
                  <c:v>80.87</c:v>
                </c:pt>
                <c:pt idx="14">
                  <c:v>83.02</c:v>
                </c:pt>
                <c:pt idx="15">
                  <c:v>78</c:v>
                </c:pt>
                <c:pt idx="16">
                  <c:v>82.97</c:v>
                </c:pt>
                <c:pt idx="17">
                  <c:v>80.39</c:v>
                </c:pt>
                <c:pt idx="18">
                  <c:v>83.65</c:v>
                </c:pt>
                <c:pt idx="19">
                  <c:v>74.93</c:v>
                </c:pt>
                <c:pt idx="20">
                  <c:v>80.26</c:v>
                </c:pt>
                <c:pt idx="21">
                  <c:v>79.93</c:v>
                </c:pt>
                <c:pt idx="22">
                  <c:v>78.03</c:v>
                </c:pt>
                <c:pt idx="23">
                  <c:v>79.15</c:v>
                </c:pt>
                <c:pt idx="24">
                  <c:v>79.08</c:v>
                </c:pt>
              </c:numCache>
            </c:numRef>
          </c:val>
          <c:smooth val="1"/>
        </c:ser>
        <c:ser>
          <c:idx val="2"/>
          <c:order val="2"/>
          <c:tx>
            <c:strRef>
              <c:f>Sheet1!$D$1</c:f>
              <c:strCache>
                <c:ptCount val="1"/>
                <c:pt idx="0">
                  <c:v>2020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0.0425518386251271"/>
                  <c:y val="-0.016822178222669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787213711156"/>
                  <c:y val="-0.058278325391992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5728408174718"/>
                  <c:y val="0.01945195055048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4199005406499"/>
                  <c:y val="-0.04791428859966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32048936071567"/>
                  <c:y val="-0.062294389649020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8787213711156"/>
                  <c:y val="-0.050505297797744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61107588667727"/>
                  <c:y val="-0.079913252195982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5728408174718"/>
                  <c:y val="-0.02459520581691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5728408174718"/>
                  <c:y val="-0.06864236218432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27257810942937"/>
                  <c:y val="0.022042959748570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604114093446509"/>
                  <c:y val="0.051042881202228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241225352680881"/>
                  <c:y val="-0.074860784259721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0489408885830083"/>
                  <c:y val="-0.0509133307423241"/>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0542937982717749"/>
                  <c:y val="-0.022153128643606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261107588667727"/>
                  <c:y val="0.013622179854801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224057505544085"/>
                  <c:y val="0.0427516517683638"/>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00160587290662996"/>
                  <c:y val="0.05272703718098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0.00489408885830083"/>
                  <c:y val="0.01761886254696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0.0328401310469365"/>
                  <c:y val="-0.021874646158930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0.0284813331575122"/>
                  <c:y val="0.020229253309912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0.00114705207616426"/>
                  <c:y val="0.054670294079544"/>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0.00114705207616426"/>
                  <c:y val="0.05272703718098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0.000535290968876654"/>
                  <c:y val="0.0462495141857754"/>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4"/>
              <c:layout>
                <c:manualLayout>
                  <c:x val="-0.0226696026382802"/>
                  <c:y val="0.02113610652924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5"/>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物流便利</c:v>
                </c:pt>
                <c:pt idx="1">
                  <c:v>公共基础设施完善</c:v>
                </c:pt>
                <c:pt idx="2">
                  <c:v>种类丰富性</c:v>
                </c:pt>
                <c:pt idx="3">
                  <c:v>消费自主选择权</c:v>
                </c:pt>
                <c:pt idx="4">
                  <c:v>分布合理</c:v>
                </c:pt>
                <c:pt idx="5">
                  <c:v>货品真实</c:v>
                </c:pt>
                <c:pt idx="6">
                  <c:v>替代产品丰富性</c:v>
                </c:pt>
                <c:pt idx="7">
                  <c:v>消费知情权</c:v>
                </c:pt>
                <c:pt idx="8">
                  <c:v>商家信任度</c:v>
                </c:pt>
                <c:pt idx="9">
                  <c:v>舒适性</c:v>
                </c:pt>
                <c:pt idx="10">
                  <c:v>维权渠道</c:v>
                </c:pt>
                <c:pt idx="11">
                  <c:v>商品或服务质量</c:v>
                </c:pt>
                <c:pt idx="12">
                  <c:v>售后保障</c:v>
                </c:pt>
                <c:pt idx="13">
                  <c:v>安全性</c:v>
                </c:pt>
                <c:pt idx="14">
                  <c:v>维权结果</c:v>
                </c:pt>
                <c:pt idx="15">
                  <c:v>服务水平</c:v>
                </c:pt>
                <c:pt idx="16">
                  <c:v>维权效率</c:v>
                </c:pt>
                <c:pt idx="17">
                  <c:v>价格公道</c:v>
                </c:pt>
                <c:pt idx="18">
                  <c:v>明码标价</c:v>
                </c:pt>
                <c:pt idx="19">
                  <c:v>信息真实</c:v>
                </c:pt>
                <c:pt idx="20">
                  <c:v>消费知识法制宣传</c:v>
                </c:pt>
                <c:pt idx="21">
                  <c:v>供给创新性</c:v>
                </c:pt>
                <c:pt idx="22">
                  <c:v>消费执法</c:v>
                </c:pt>
                <c:pt idx="23">
                  <c:v>消费警示提示</c:v>
                </c:pt>
                <c:pt idx="24">
                  <c:v>交易安全</c:v>
                </c:pt>
              </c:strCache>
            </c:strRef>
          </c:cat>
          <c:val>
            <c:numRef>
              <c:f>Sheet1!$D$2:$D$26</c:f>
              <c:numCache>
                <c:formatCode>0.00_);[Red]\(0.00\)</c:formatCode>
                <c:ptCount val="25"/>
                <c:pt idx="0">
                  <c:v>87.26</c:v>
                </c:pt>
                <c:pt idx="1">
                  <c:v>84.19</c:v>
                </c:pt>
                <c:pt idx="2">
                  <c:v>79.95</c:v>
                </c:pt>
                <c:pt idx="3">
                  <c:v>92.05</c:v>
                </c:pt>
                <c:pt idx="4">
                  <c:v>82.32</c:v>
                </c:pt>
                <c:pt idx="5">
                  <c:v>86.5</c:v>
                </c:pt>
                <c:pt idx="6">
                  <c:v>83.29</c:v>
                </c:pt>
                <c:pt idx="7">
                  <c:v>88.78</c:v>
                </c:pt>
                <c:pt idx="8">
                  <c:v>79.48</c:v>
                </c:pt>
                <c:pt idx="9">
                  <c:v>80.08</c:v>
                </c:pt>
                <c:pt idx="10">
                  <c:v>75.07</c:v>
                </c:pt>
                <c:pt idx="11">
                  <c:v>80.37</c:v>
                </c:pt>
                <c:pt idx="12">
                  <c:v>78.77</c:v>
                </c:pt>
                <c:pt idx="13">
                  <c:v>79.81</c:v>
                </c:pt>
                <c:pt idx="14">
                  <c:v>73.7</c:v>
                </c:pt>
                <c:pt idx="15">
                  <c:v>78.08</c:v>
                </c:pt>
                <c:pt idx="16">
                  <c:v>71.17</c:v>
                </c:pt>
                <c:pt idx="17">
                  <c:v>78.57</c:v>
                </c:pt>
                <c:pt idx="18">
                  <c:v>84.22</c:v>
                </c:pt>
                <c:pt idx="19">
                  <c:v>74.54</c:v>
                </c:pt>
                <c:pt idx="20">
                  <c:v>76.09</c:v>
                </c:pt>
                <c:pt idx="21">
                  <c:v>76.49</c:v>
                </c:pt>
                <c:pt idx="22">
                  <c:v>75.7</c:v>
                </c:pt>
                <c:pt idx="23">
                  <c:v>73.16</c:v>
                </c:pt>
                <c:pt idx="24">
                  <c:v>74.03</c:v>
                </c:pt>
              </c:numCache>
            </c:numRef>
          </c:val>
          <c:smooth val="1"/>
        </c:ser>
        <c:ser>
          <c:idx val="3"/>
          <c:order val="3"/>
          <c:tx>
            <c:strRef>
              <c:f>Sheet1!$E$1</c:f>
              <c:strCache>
                <c:ptCount val="1"/>
                <c:pt idx="0">
                  <c:v>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425518386251271"/>
                  <c:y val="-0.01164015982650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787213711156"/>
                  <c:y val="-0.08159740817473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18460192475941"/>
                  <c:y val="0.016860941352404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257810942937"/>
                  <c:y val="-0.02459520581691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728408174718"/>
                  <c:y val="-0.05750102263256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7257810942937"/>
                  <c:y val="-0.034959242609248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107058193775331"/>
                  <c:y val="0.00362741287731571"/>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74107512197589"/>
                  <c:y val="-0.01487892132410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72578109429371"/>
                  <c:y val="0.01426993215432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27257810942937"/>
                  <c:y val="0.01349262939489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435879788942418"/>
                  <c:y val="0.00829122943386449"/>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871759577884836"/>
                  <c:y val="0.00272055965798679"/>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81754526038685"/>
                  <c:y val="0.01129027157652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0214116387550661"/>
                  <c:y val="0.0555771472988729"/>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28787213711156"/>
                  <c:y val="0.01491768445384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276401616349917"/>
                  <c:y val="0.0317592442413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0280989824654574"/>
                  <c:y val="0.016342739512788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0.0196528255716143"/>
                  <c:y val="0.0462495141857754"/>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
                  <c:y val="0.0194325689856199"/>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0.0253460574826632"/>
                  <c:y val="0.02981598734281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0.0282519227422793"/>
                  <c:y val="0.0189337487108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0.00107058193775331"/>
                  <c:y val="0.0481927710843374"/>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0.00489408885830083"/>
                  <c:y val="0.0553180463790646"/>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0.00114705207616426"/>
                  <c:y val="0.0453426609664464"/>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4"/>
              <c:layout>
                <c:manualLayout>
                  <c:x val="0.0103234686854783"/>
                  <c:y val="0.05272703718098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2"/>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物流便利</c:v>
                </c:pt>
                <c:pt idx="1">
                  <c:v>公共基础设施完善</c:v>
                </c:pt>
                <c:pt idx="2">
                  <c:v>种类丰富性</c:v>
                </c:pt>
                <c:pt idx="3">
                  <c:v>消费自主选择权</c:v>
                </c:pt>
                <c:pt idx="4">
                  <c:v>分布合理</c:v>
                </c:pt>
                <c:pt idx="5">
                  <c:v>货品真实</c:v>
                </c:pt>
                <c:pt idx="6">
                  <c:v>替代产品丰富性</c:v>
                </c:pt>
                <c:pt idx="7">
                  <c:v>消费知情权</c:v>
                </c:pt>
                <c:pt idx="8">
                  <c:v>商家信任度</c:v>
                </c:pt>
                <c:pt idx="9">
                  <c:v>舒适性</c:v>
                </c:pt>
                <c:pt idx="10">
                  <c:v>维权渠道</c:v>
                </c:pt>
                <c:pt idx="11">
                  <c:v>商品或服务质量</c:v>
                </c:pt>
                <c:pt idx="12">
                  <c:v>售后保障</c:v>
                </c:pt>
                <c:pt idx="13">
                  <c:v>安全性</c:v>
                </c:pt>
                <c:pt idx="14">
                  <c:v>维权结果</c:v>
                </c:pt>
                <c:pt idx="15">
                  <c:v>服务水平</c:v>
                </c:pt>
                <c:pt idx="16">
                  <c:v>维权效率</c:v>
                </c:pt>
                <c:pt idx="17">
                  <c:v>价格公道</c:v>
                </c:pt>
                <c:pt idx="18">
                  <c:v>明码标价</c:v>
                </c:pt>
                <c:pt idx="19">
                  <c:v>信息真实</c:v>
                </c:pt>
                <c:pt idx="20">
                  <c:v>消费知识法制宣传</c:v>
                </c:pt>
                <c:pt idx="21">
                  <c:v>供给创新性</c:v>
                </c:pt>
                <c:pt idx="22">
                  <c:v>消费执法</c:v>
                </c:pt>
                <c:pt idx="23">
                  <c:v>消费警示提示</c:v>
                </c:pt>
                <c:pt idx="24">
                  <c:v>交易安全</c:v>
                </c:pt>
              </c:strCache>
            </c:strRef>
          </c:cat>
          <c:val>
            <c:numRef>
              <c:f>Sheet1!$E$2:$E$26</c:f>
              <c:numCache>
                <c:formatCode>0.00_);[Red]\(0.00\)</c:formatCode>
                <c:ptCount val="25"/>
                <c:pt idx="0">
                  <c:v>88.71</c:v>
                </c:pt>
                <c:pt idx="1">
                  <c:v>84.35</c:v>
                </c:pt>
                <c:pt idx="2">
                  <c:v>74.98</c:v>
                </c:pt>
                <c:pt idx="3">
                  <c:v>91.47</c:v>
                </c:pt>
                <c:pt idx="4">
                  <c:v>80.57</c:v>
                </c:pt>
                <c:pt idx="5">
                  <c:v>85.96</c:v>
                </c:pt>
                <c:pt idx="6">
                  <c:v>82.46</c:v>
                </c:pt>
                <c:pt idx="7">
                  <c:v>86.97</c:v>
                </c:pt>
                <c:pt idx="8">
                  <c:v>78.85</c:v>
                </c:pt>
                <c:pt idx="9">
                  <c:v>77.67</c:v>
                </c:pt>
                <c:pt idx="10">
                  <c:v>70.05</c:v>
                </c:pt>
                <c:pt idx="11">
                  <c:v>79.79</c:v>
                </c:pt>
                <c:pt idx="12">
                  <c:v>77.85</c:v>
                </c:pt>
                <c:pt idx="13">
                  <c:v>76.75</c:v>
                </c:pt>
                <c:pt idx="14">
                  <c:v>66.1</c:v>
                </c:pt>
                <c:pt idx="15">
                  <c:v>77.08</c:v>
                </c:pt>
                <c:pt idx="16">
                  <c:v>64.84</c:v>
                </c:pt>
                <c:pt idx="17">
                  <c:v>76.4</c:v>
                </c:pt>
                <c:pt idx="18">
                  <c:v>81.89</c:v>
                </c:pt>
                <c:pt idx="19">
                  <c:v>74.75</c:v>
                </c:pt>
                <c:pt idx="20">
                  <c:v>73.79</c:v>
                </c:pt>
                <c:pt idx="21">
                  <c:v>74.25</c:v>
                </c:pt>
                <c:pt idx="22">
                  <c:v>73.7</c:v>
                </c:pt>
                <c:pt idx="23">
                  <c:v>68.76</c:v>
                </c:pt>
                <c:pt idx="24">
                  <c:v>69.31</c:v>
                </c:pt>
              </c:numCache>
            </c:numRef>
          </c:val>
          <c:smooth val="1"/>
        </c:ser>
        <c:ser>
          <c:idx val="4"/>
          <c:order val="4"/>
          <c:tx>
            <c:strRef>
              <c:f>Sheet1!$F$1</c:f>
              <c:strCache>
                <c:ptCount val="1"/>
                <c:pt idx="0">
                  <c:v>2018</c:v>
                </c:pt>
              </c:strCache>
            </c:strRef>
          </c:tx>
          <c:spPr>
            <a:ln w="28575" cap="rnd">
              <a:solidFill>
                <a:schemeClr val="bg2">
                  <a:lumMod val="75000"/>
                </a:schemeClr>
              </a:solidFill>
              <a:round/>
            </a:ln>
            <a:effectLst/>
          </c:spPr>
          <c:marker>
            <c:symbol val="circle"/>
            <c:size val="5"/>
            <c:spPr>
              <a:solidFill>
                <a:schemeClr val="bg2">
                  <a:lumMod val="75000"/>
                </a:schemeClr>
              </a:solidFill>
              <a:ln w="9525">
                <a:solidFill>
                  <a:schemeClr val="bg2">
                    <a:lumMod val="75000"/>
                  </a:schemeClr>
                </a:solidFill>
              </a:ln>
              <a:effectLst/>
            </c:spPr>
          </c:marker>
          <c:dLbls>
            <c:dLbl>
              <c:idx val="0"/>
              <c:layout>
                <c:manualLayout>
                  <c:x val="-0.0425518386251271"/>
                  <c:y val="0.01426993215432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33754220158131"/>
                  <c:y val="0.02981598734281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78736665143285"/>
                  <c:y val="0.0039058953619914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0493262499104314"/>
                  <c:y val="-0.00205342579359854"/>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0406821136346257"/>
                      <c:h val="0.0443062572872134"/>
                    </c:manualLayout>
                  </c15:layout>
                </c:ext>
              </c:extLst>
            </c:dLbl>
            <c:dLbl>
              <c:idx val="4"/>
              <c:layout>
                <c:manualLayout>
                  <c:x val="0.00657643190334174"/>
                  <c:y val="0.050006477522995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9610797101842"/>
                  <c:y val="-0.01164015982650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114705207616426"/>
                  <c:y val="0.05272703718098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25728408174718"/>
                  <c:y val="0.022042959748570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5728408174718"/>
                  <c:y val="0.0246339689466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19610797101842"/>
                  <c:y val="0.01945195055048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28787213711156"/>
                  <c:y val="0.022042959748570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27181340804526"/>
                  <c:y val="0.0199701523901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72578109429371"/>
                  <c:y val="0.018933748710870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57284081747181"/>
                  <c:y val="0.01945195055048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24199005406499"/>
                  <c:y val="0.022042959748570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266460498356494"/>
                  <c:y val="0.04549159299121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00275292498279422"/>
                  <c:y val="0.0592045601761886"/>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0.0255754678978962"/>
                  <c:y val="0.02761362952444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028787213711156"/>
                  <c:y val="-0.01863588466132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0.0270284005277044"/>
                  <c:y val="0.02385666618722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0.024046065129677"/>
                  <c:y val="0.01737914319202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0.000611761107287604"/>
                  <c:y val="0.0601114133955176"/>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0.000535290968876654"/>
                  <c:y val="0.0562248995983936"/>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0.00328821595167087"/>
                  <c:y val="0.0601114133955176"/>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4"/>
              <c:layout>
                <c:manualLayout>
                  <c:x val="0.00435879788942418"/>
                  <c:y val="0.058297706956859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lumMod val="50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物流便利</c:v>
                </c:pt>
                <c:pt idx="1">
                  <c:v>公共基础设施完善</c:v>
                </c:pt>
                <c:pt idx="2">
                  <c:v>种类丰富性</c:v>
                </c:pt>
                <c:pt idx="3">
                  <c:v>消费自主选择权</c:v>
                </c:pt>
                <c:pt idx="4">
                  <c:v>分布合理</c:v>
                </c:pt>
                <c:pt idx="5">
                  <c:v>货品真实</c:v>
                </c:pt>
                <c:pt idx="6">
                  <c:v>替代产品丰富性</c:v>
                </c:pt>
                <c:pt idx="7">
                  <c:v>消费知情权</c:v>
                </c:pt>
                <c:pt idx="8">
                  <c:v>商家信任度</c:v>
                </c:pt>
                <c:pt idx="9">
                  <c:v>舒适性</c:v>
                </c:pt>
                <c:pt idx="10">
                  <c:v>维权渠道</c:v>
                </c:pt>
                <c:pt idx="11">
                  <c:v>商品或服务质量</c:v>
                </c:pt>
                <c:pt idx="12">
                  <c:v>售后保障</c:v>
                </c:pt>
                <c:pt idx="13">
                  <c:v>安全性</c:v>
                </c:pt>
                <c:pt idx="14">
                  <c:v>维权结果</c:v>
                </c:pt>
                <c:pt idx="15">
                  <c:v>服务水平</c:v>
                </c:pt>
                <c:pt idx="16">
                  <c:v>维权效率</c:v>
                </c:pt>
                <c:pt idx="17">
                  <c:v>价格公道</c:v>
                </c:pt>
                <c:pt idx="18">
                  <c:v>明码标价</c:v>
                </c:pt>
                <c:pt idx="19">
                  <c:v>信息真实</c:v>
                </c:pt>
                <c:pt idx="20">
                  <c:v>消费知识法制宣传</c:v>
                </c:pt>
                <c:pt idx="21">
                  <c:v>供给创新性</c:v>
                </c:pt>
                <c:pt idx="22">
                  <c:v>消费执法</c:v>
                </c:pt>
                <c:pt idx="23">
                  <c:v>消费警示提示</c:v>
                </c:pt>
                <c:pt idx="24">
                  <c:v>交易安全</c:v>
                </c:pt>
              </c:strCache>
            </c:strRef>
          </c:cat>
          <c:val>
            <c:numRef>
              <c:f>Sheet1!$F$2:$F$26</c:f>
              <c:numCache>
                <c:formatCode>0.00_);[Red]\(0.00\)</c:formatCode>
                <c:ptCount val="25"/>
                <c:pt idx="0">
                  <c:v>87.1</c:v>
                </c:pt>
                <c:pt idx="1">
                  <c:v>81.61</c:v>
                </c:pt>
                <c:pt idx="2">
                  <c:v>71.76</c:v>
                </c:pt>
                <c:pt idx="3">
                  <c:v>90.13</c:v>
                </c:pt>
                <c:pt idx="4">
                  <c:v>78.07</c:v>
                </c:pt>
                <c:pt idx="5">
                  <c:v>84.33</c:v>
                </c:pt>
                <c:pt idx="6">
                  <c:v>79.84</c:v>
                </c:pt>
                <c:pt idx="7">
                  <c:v>82.78</c:v>
                </c:pt>
                <c:pt idx="8">
                  <c:v>76.8</c:v>
                </c:pt>
                <c:pt idx="9">
                  <c:v>74.74</c:v>
                </c:pt>
                <c:pt idx="10">
                  <c:v>68.42</c:v>
                </c:pt>
                <c:pt idx="11">
                  <c:v>77.51</c:v>
                </c:pt>
                <c:pt idx="12">
                  <c:v>75.61</c:v>
                </c:pt>
                <c:pt idx="13">
                  <c:v>71.29</c:v>
                </c:pt>
                <c:pt idx="14">
                  <c:v>62.22</c:v>
                </c:pt>
                <c:pt idx="15">
                  <c:v>74.25</c:v>
                </c:pt>
                <c:pt idx="16">
                  <c:v>60.69</c:v>
                </c:pt>
                <c:pt idx="17">
                  <c:v>74.86</c:v>
                </c:pt>
                <c:pt idx="18">
                  <c:v>79.04</c:v>
                </c:pt>
                <c:pt idx="19">
                  <c:v>71.76</c:v>
                </c:pt>
                <c:pt idx="20">
                  <c:v>69.86</c:v>
                </c:pt>
                <c:pt idx="21">
                  <c:v>71.5</c:v>
                </c:pt>
                <c:pt idx="22">
                  <c:v>68.13</c:v>
                </c:pt>
                <c:pt idx="23">
                  <c:v>63.68</c:v>
                </c:pt>
                <c:pt idx="24">
                  <c:v>63.62</c:v>
                </c:pt>
              </c:numCache>
            </c:numRef>
          </c:val>
          <c:smooth val="1"/>
        </c:ser>
        <c:ser>
          <c:idx val="5"/>
          <c:order val="5"/>
          <c:tx>
            <c:strRef>
              <c:f>Sheet1!$G$1</c:f>
              <c:strCache>
                <c:ptCount val="1"/>
                <c:pt idx="0">
                  <c:v>2017</c:v>
                </c:pt>
              </c:strCache>
            </c:strRef>
          </c:tx>
          <c:spPr>
            <a:ln w="28575" cap="rnd">
              <a:solidFill>
                <a:schemeClr val="accent3">
                  <a:lumMod val="40000"/>
                  <a:lumOff val="60000"/>
                </a:schemeClr>
              </a:solidFill>
              <a:round/>
            </a:ln>
            <a:effectLst/>
          </c:spPr>
          <c:marker>
            <c:symbol val="circle"/>
            <c:size val="5"/>
            <c:spPr>
              <a:solidFill>
                <a:schemeClr val="accent3">
                  <a:lumMod val="40000"/>
                  <a:lumOff val="60000"/>
                </a:schemeClr>
              </a:solidFill>
              <a:ln w="9525">
                <a:solidFill>
                  <a:schemeClr val="accent3">
                    <a:lumMod val="40000"/>
                    <a:lumOff val="60000"/>
                  </a:schemeClr>
                </a:solidFill>
              </a:ln>
              <a:effectLst/>
            </c:spPr>
          </c:marker>
          <c:dLbls>
            <c:dLbl>
              <c:idx val="0"/>
              <c:layout>
                <c:manualLayout>
                  <c:x val="-0.0259998470597232"/>
                  <c:y val="0.025910091980826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36468609008182"/>
                  <c:y val="0.04663816556548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97644719736943"/>
                  <c:y val="0.038865137971239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14116387550661"/>
                  <c:y val="0.031092110376991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30350997935306"/>
                  <c:y val="0.03756963337219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98998241186817"/>
                  <c:y val="0.022671432491459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1" i="0" u="none" strike="noStrike" kern="1200" baseline="0">
                      <a:solidFill>
                        <a:schemeClr val="accent3"/>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manualLayout>
                      <c:w val="0.0471056052611455"/>
                      <c:h val="0.0459904132659671"/>
                    </c:manualLayout>
                  </c15:layout>
                </c:ext>
              </c:extLst>
            </c:dLbl>
            <c:dLbl>
              <c:idx val="6"/>
              <c:layout>
                <c:manualLayout>
                  <c:x val="-0.0336468609008182"/>
                  <c:y val="0.018137064386578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321174581325993"/>
                  <c:y val="0.01813706438657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229410415232852"/>
                  <c:y val="0.02331908278274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360174351915577"/>
                  <c:y val="0.08602150537634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26229257474956"/>
                  <c:y val="0.007384376214535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272998394127093"/>
                  <c:y val="0.025910091980826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311233463332569"/>
                  <c:y val="0.02046897266485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72998394127093"/>
                  <c:y val="0.009327633113097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26229257474956"/>
                  <c:y val="-0.02772379841948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295174734266269"/>
                  <c:y val="0.04897007384376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0245469144299151"/>
                  <c:y val="0.0018137064386578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0.0245469144299151"/>
                  <c:y val="0.038865137971239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026229257474956"/>
                  <c:y val="0.02681694520015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0.0295174734266269"/>
                  <c:y val="0.025910091980826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0.0250822053987918"/>
                  <c:y val="0.029537504858142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0.0272233692742984"/>
                  <c:y val="0.009327633113097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0.0273763095511203"/>
                  <c:y val="0.02124627542427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0.0217939894471209"/>
                  <c:y val="0.02500323876149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4"/>
              <c:layout>
                <c:manualLayout>
                  <c:x val="-0.0234763324921618"/>
                  <c:y val="0.02500323876149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3"/>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物流便利</c:v>
                </c:pt>
                <c:pt idx="1">
                  <c:v>公共基础设施完善</c:v>
                </c:pt>
                <c:pt idx="2">
                  <c:v>种类丰富性</c:v>
                </c:pt>
                <c:pt idx="3">
                  <c:v>消费自主选择权</c:v>
                </c:pt>
                <c:pt idx="4">
                  <c:v>分布合理</c:v>
                </c:pt>
                <c:pt idx="5">
                  <c:v>货品真实</c:v>
                </c:pt>
                <c:pt idx="6">
                  <c:v>替代产品丰富性</c:v>
                </c:pt>
                <c:pt idx="7">
                  <c:v>消费知情权</c:v>
                </c:pt>
                <c:pt idx="8">
                  <c:v>商家信任度</c:v>
                </c:pt>
                <c:pt idx="9">
                  <c:v>舒适性</c:v>
                </c:pt>
                <c:pt idx="10">
                  <c:v>维权渠道</c:v>
                </c:pt>
                <c:pt idx="11">
                  <c:v>商品或服务质量</c:v>
                </c:pt>
                <c:pt idx="12">
                  <c:v>售后保障</c:v>
                </c:pt>
                <c:pt idx="13">
                  <c:v>安全性</c:v>
                </c:pt>
                <c:pt idx="14">
                  <c:v>维权结果</c:v>
                </c:pt>
                <c:pt idx="15">
                  <c:v>服务水平</c:v>
                </c:pt>
                <c:pt idx="16">
                  <c:v>维权效率</c:v>
                </c:pt>
                <c:pt idx="17">
                  <c:v>价格公道</c:v>
                </c:pt>
                <c:pt idx="18">
                  <c:v>明码标价</c:v>
                </c:pt>
                <c:pt idx="19">
                  <c:v>信息真实</c:v>
                </c:pt>
                <c:pt idx="20">
                  <c:v>消费知识法制宣传</c:v>
                </c:pt>
                <c:pt idx="21">
                  <c:v>供给创新性</c:v>
                </c:pt>
                <c:pt idx="22">
                  <c:v>消费执法</c:v>
                </c:pt>
                <c:pt idx="23">
                  <c:v>消费警示提示</c:v>
                </c:pt>
                <c:pt idx="24">
                  <c:v>交易安全</c:v>
                </c:pt>
              </c:strCache>
            </c:strRef>
          </c:cat>
          <c:val>
            <c:numRef>
              <c:f>Sheet1!$G$2:$G$26</c:f>
              <c:numCache>
                <c:formatCode>0.00_);[Red]\(0.00\)</c:formatCode>
                <c:ptCount val="25"/>
                <c:pt idx="0">
                  <c:v>82.68</c:v>
                </c:pt>
                <c:pt idx="1">
                  <c:v>79.83</c:v>
                </c:pt>
                <c:pt idx="2">
                  <c:v>71.07</c:v>
                </c:pt>
                <c:pt idx="3">
                  <c:v>80.11</c:v>
                </c:pt>
                <c:pt idx="4">
                  <c:v>77.82</c:v>
                </c:pt>
                <c:pt idx="5">
                  <c:v>76.16</c:v>
                </c:pt>
                <c:pt idx="6">
                  <c:v>78.83</c:v>
                </c:pt>
                <c:pt idx="7">
                  <c:v>64.68</c:v>
                </c:pt>
                <c:pt idx="8">
                  <c:v>74</c:v>
                </c:pt>
                <c:pt idx="9">
                  <c:v>76.34</c:v>
                </c:pt>
                <c:pt idx="10">
                  <c:v>69.91</c:v>
                </c:pt>
                <c:pt idx="11">
                  <c:v>75.53</c:v>
                </c:pt>
                <c:pt idx="12">
                  <c:v>73.14</c:v>
                </c:pt>
                <c:pt idx="13">
                  <c:v>77.93</c:v>
                </c:pt>
                <c:pt idx="14">
                  <c:v>67.02</c:v>
                </c:pt>
                <c:pt idx="15">
                  <c:v>73.04</c:v>
                </c:pt>
                <c:pt idx="16">
                  <c:v>66.47</c:v>
                </c:pt>
                <c:pt idx="17">
                  <c:v>73.33</c:v>
                </c:pt>
                <c:pt idx="18">
                  <c:v>70.21</c:v>
                </c:pt>
                <c:pt idx="19">
                  <c:v>66.32</c:v>
                </c:pt>
                <c:pt idx="20">
                  <c:v>68.75</c:v>
                </c:pt>
                <c:pt idx="21">
                  <c:v>72.76</c:v>
                </c:pt>
                <c:pt idx="22">
                  <c:v>65.66</c:v>
                </c:pt>
                <c:pt idx="23">
                  <c:v>66.52</c:v>
                </c:pt>
                <c:pt idx="24">
                  <c:v>66.67</c:v>
                </c:pt>
              </c:numCache>
            </c:numRef>
          </c:val>
          <c:smooth val="1"/>
        </c:ser>
        <c:dLbls>
          <c:showLegendKey val="0"/>
          <c:showVal val="1"/>
          <c:showCatName val="0"/>
          <c:showSerName val="0"/>
          <c:showPercent val="0"/>
          <c:showBubbleSize val="0"/>
        </c:dLbls>
        <c:marker val="1"/>
        <c:smooth val="1"/>
        <c:axId val="809975759"/>
        <c:axId val="809952879"/>
      </c:lineChart>
      <c:catAx>
        <c:axId val="80997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52879"/>
        <c:crosses val="autoZero"/>
        <c:auto val="1"/>
        <c:lblAlgn val="ctr"/>
        <c:lblOffset val="100"/>
        <c:noMultiLvlLbl val="0"/>
      </c:catAx>
      <c:valAx>
        <c:axId val="809952879"/>
        <c:scaling>
          <c:orientation val="minMax"/>
          <c:min val="55"/>
        </c:scaling>
        <c:delete val="0"/>
        <c:axPos val="l"/>
        <c:numFmt formatCode="0.00_);[Red]\(0.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7575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Pt>
            <c:idx val="5"/>
            <c:invertIfNegative val="0"/>
            <c:bubble3D val="0"/>
            <c:spPr>
              <a:solidFill>
                <a:schemeClr val="accent5">
                  <a:lumMod val="60000"/>
                  <a:lumOff val="40000"/>
                </a:schemeClr>
              </a:solidFill>
              <a:ln>
                <a:noFill/>
              </a:ln>
              <a:effectLst/>
            </c:spPr>
          </c:dPt>
          <c:dPt>
            <c:idx val="6"/>
            <c:invertIfNegative val="0"/>
            <c:bubble3D val="0"/>
            <c:spPr>
              <a:solidFill>
                <a:schemeClr val="accent5">
                  <a:lumMod val="60000"/>
                  <a:lumOff val="40000"/>
                </a:schemeClr>
              </a:solidFill>
              <a:ln>
                <a:noFill/>
              </a:ln>
              <a:effectLst/>
            </c:spPr>
          </c:dPt>
          <c:dPt>
            <c:idx val="7"/>
            <c:invertIfNegative val="0"/>
            <c:bubble3D val="0"/>
            <c:spPr>
              <a:solidFill>
                <a:schemeClr val="accent5">
                  <a:lumMod val="60000"/>
                  <a:lumOff val="40000"/>
                </a:schemeClr>
              </a:solidFill>
              <a:ln>
                <a:noFill/>
              </a:ln>
              <a:effectLst/>
            </c:spPr>
          </c:dPt>
          <c:dPt>
            <c:idx val="8"/>
            <c:invertIfNegative val="0"/>
            <c:bubble3D val="0"/>
            <c:spPr>
              <a:solidFill>
                <a:schemeClr val="accent5">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投资、理财、贷款类</c:v>
                </c:pt>
                <c:pt idx="1">
                  <c:v>电信诈骗类</c:v>
                </c:pt>
                <c:pt idx="2">
                  <c:v>寿险、车险、医疗险类</c:v>
                </c:pt>
                <c:pt idx="3">
                  <c:v>教育培训机构</c:v>
                </c:pt>
                <c:pt idx="4">
                  <c:v>房产中介</c:v>
                </c:pt>
                <c:pt idx="5">
                  <c:v>装修公司</c:v>
                </c:pt>
                <c:pt idx="6">
                  <c:v>美容医疗类</c:v>
                </c:pt>
                <c:pt idx="7">
                  <c:v>赌博彩票类</c:v>
                </c:pt>
                <c:pt idx="8">
                  <c:v>健身机构</c:v>
                </c:pt>
              </c:strCache>
            </c:strRef>
          </c:cat>
          <c:val>
            <c:numRef>
              <c:f>Sheet1!$B$2:$B$10</c:f>
              <c:numCache>
                <c:formatCode>0.0_ </c:formatCode>
                <c:ptCount val="9"/>
                <c:pt idx="0">
                  <c:v>52.9</c:v>
                </c:pt>
                <c:pt idx="1" c:formatCode="0.0_);[Red]\(0.0\)">
                  <c:v>43.9</c:v>
                </c:pt>
                <c:pt idx="2" c:formatCode="0.0_);[Red]\(0.0\)">
                  <c:v>39.3</c:v>
                </c:pt>
                <c:pt idx="3" c:formatCode="0.0_);[Red]\(0.0\)">
                  <c:v>36.6</c:v>
                </c:pt>
                <c:pt idx="4" c:formatCode="0.0_);[Red]\(0.0\)">
                  <c:v>30.6</c:v>
                </c:pt>
                <c:pt idx="5" c:formatCode="0.0_);[Red]\(0.0\)">
                  <c:v>12.8</c:v>
                </c:pt>
                <c:pt idx="6" c:formatCode="0.0_);[Red]\(0.0\)">
                  <c:v>8.8</c:v>
                </c:pt>
                <c:pt idx="7" c:formatCode="0.0_);[Red]\(0.0\)">
                  <c:v>5.8</c:v>
                </c:pt>
                <c:pt idx="8" c:formatCode="0.0_);[Red]\(0.0\)">
                  <c:v>5.2</c:v>
                </c:pt>
              </c:numCache>
            </c:numRef>
          </c:val>
        </c:ser>
        <c:dLbls>
          <c:showLegendKey val="0"/>
          <c:showVal val="1"/>
          <c:showCatName val="0"/>
          <c:showSerName val="0"/>
          <c:showPercent val="0"/>
          <c:showBubbleSize val="0"/>
        </c:dLbls>
        <c:gapWidth val="41"/>
        <c:overlap val="-27"/>
        <c:axId val="809927087"/>
        <c:axId val="809927503"/>
      </c:barChart>
      <c:catAx>
        <c:axId val="80992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27503"/>
        <c:crosses val="autoZero"/>
        <c:auto val="1"/>
        <c:lblAlgn val="ctr"/>
        <c:lblOffset val="100"/>
        <c:noMultiLvlLbl val="0"/>
      </c:catAx>
      <c:valAx>
        <c:axId val="809927503"/>
        <c:scaling>
          <c:orientation val="minMax"/>
        </c:scaling>
        <c:delete val="0"/>
        <c:axPos val="l"/>
        <c:numFmt formatCode="0.0_ "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9270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Pt>
            <c:idx val="11"/>
            <c:invertIfNegative val="0"/>
            <c:bubble3D val="0"/>
            <c:spPr>
              <a:solidFill>
                <a:schemeClr val="accent5">
                  <a:lumMod val="60000"/>
                  <a:lumOff val="40000"/>
                </a:schemeClr>
              </a:solidFill>
              <a:ln>
                <a:noFill/>
              </a:ln>
              <a:effectLst/>
            </c:spPr>
          </c:dPt>
          <c:dPt>
            <c:idx val="12"/>
            <c:invertIfNegative val="0"/>
            <c:bubble3D val="0"/>
            <c:spPr>
              <a:solidFill>
                <a:schemeClr val="accent5">
                  <a:lumMod val="60000"/>
                  <a:lumOff val="40000"/>
                </a:schemeClr>
              </a:solidFill>
              <a:ln>
                <a:noFill/>
              </a:ln>
              <a:effectLst/>
            </c:spPr>
          </c:dPt>
          <c:dPt>
            <c:idx val="13"/>
            <c:invertIfNegative val="0"/>
            <c:bubble3D val="0"/>
            <c:spPr>
              <a:solidFill>
                <a:schemeClr val="accent5">
                  <a:lumMod val="60000"/>
                  <a:lumOff val="40000"/>
                </a:schemeClr>
              </a:solidFill>
              <a:ln>
                <a:noFill/>
              </a:ln>
              <a:effectLst/>
            </c:spPr>
          </c:dPt>
          <c:dPt>
            <c:idx val="14"/>
            <c:invertIfNegative val="0"/>
            <c:bubble3D val="0"/>
            <c:spPr>
              <a:solidFill>
                <a:schemeClr val="accent5">
                  <a:lumMod val="60000"/>
                  <a:lumOff val="40000"/>
                </a:schemeClr>
              </a:solidFill>
              <a:ln>
                <a:noFill/>
              </a:ln>
              <a:effectLst/>
            </c:spPr>
          </c:dPt>
          <c:dPt>
            <c:idx val="15"/>
            <c:invertIfNegative val="0"/>
            <c:bubble3D val="0"/>
            <c:spPr>
              <a:solidFill>
                <a:schemeClr val="accent5">
                  <a:lumMod val="60000"/>
                  <a:lumOff val="40000"/>
                </a:schemeClr>
              </a:solidFill>
              <a:ln>
                <a:noFill/>
              </a:ln>
              <a:effectLst/>
            </c:spPr>
          </c:dPt>
          <c:dPt>
            <c:idx val="16"/>
            <c:invertIfNegative val="0"/>
            <c:bubble3D val="0"/>
            <c:spPr>
              <a:solidFill>
                <a:schemeClr val="accent5">
                  <a:lumMod val="60000"/>
                  <a:lumOff val="40000"/>
                </a:schemeClr>
              </a:solidFill>
              <a:ln>
                <a:noFill/>
              </a:ln>
              <a:effectLst/>
            </c:spPr>
          </c:dPt>
          <c:dPt>
            <c:idx val="17"/>
            <c:invertIfNegative val="0"/>
            <c:bubble3D val="0"/>
            <c:spPr>
              <a:solidFill>
                <a:schemeClr val="accent5">
                  <a:lumMod val="60000"/>
                  <a:lumOff val="40000"/>
                </a:schemeClr>
              </a:solidFill>
              <a:ln>
                <a:noFill/>
              </a:ln>
              <a:effectLst/>
            </c:spPr>
          </c:dPt>
          <c:dPt>
            <c:idx val="18"/>
            <c:invertIfNegative val="0"/>
            <c:bubble3D val="0"/>
            <c:spPr>
              <a:solidFill>
                <a:schemeClr val="accent5">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食品类</c:v>
                </c:pt>
                <c:pt idx="1">
                  <c:v>家用电器类</c:v>
                </c:pt>
                <c:pt idx="2">
                  <c:v>智能产品类</c:v>
                </c:pt>
                <c:pt idx="3">
                  <c:v>日用百货商品</c:v>
                </c:pt>
                <c:pt idx="4">
                  <c:v>服装鞋帽类商品</c:v>
                </c:pt>
                <c:pt idx="5">
                  <c:v>教育培训类</c:v>
                </c:pt>
                <c:pt idx="6">
                  <c:v>儿童用品类</c:v>
                </c:pt>
                <c:pt idx="7">
                  <c:v>保健品类</c:v>
                </c:pt>
                <c:pt idx="8">
                  <c:v>美容美发美妆类</c:v>
                </c:pt>
                <c:pt idx="9">
                  <c:v>餐饮消费类</c:v>
                </c:pt>
                <c:pt idx="10">
                  <c:v>文体用品类</c:v>
                </c:pt>
                <c:pt idx="11">
                  <c:v>金融保险理财类</c:v>
                </c:pt>
                <c:pt idx="12">
                  <c:v>家居家装类</c:v>
                </c:pt>
                <c:pt idx="13">
                  <c:v>文体娱乐等服务消费类</c:v>
                </c:pt>
                <c:pt idx="14">
                  <c:v>家政服务类</c:v>
                </c:pt>
                <c:pt idx="15">
                  <c:v>旅游服务类</c:v>
                </c:pt>
                <c:pt idx="16">
                  <c:v>中介服务类</c:v>
                </c:pt>
                <c:pt idx="17">
                  <c:v>宠物及宠物用品类</c:v>
                </c:pt>
                <c:pt idx="18">
                  <c:v>交通出行类</c:v>
                </c:pt>
              </c:strCache>
            </c:strRef>
          </c:cat>
          <c:val>
            <c:numRef>
              <c:f>Sheet1!$B$2:$B$20</c:f>
              <c:numCache>
                <c:formatCode>0.0</c:formatCode>
                <c:ptCount val="19"/>
                <c:pt idx="0">
                  <c:v>38.6</c:v>
                </c:pt>
                <c:pt idx="1">
                  <c:v>35.3</c:v>
                </c:pt>
                <c:pt idx="2">
                  <c:v>32.5</c:v>
                </c:pt>
                <c:pt idx="3">
                  <c:v>27.2</c:v>
                </c:pt>
                <c:pt idx="4">
                  <c:v>26.2</c:v>
                </c:pt>
                <c:pt idx="5">
                  <c:v>17.7</c:v>
                </c:pt>
                <c:pt idx="6">
                  <c:v>16.3</c:v>
                </c:pt>
                <c:pt idx="7">
                  <c:v>15.8</c:v>
                </c:pt>
                <c:pt idx="8">
                  <c:v>15.4</c:v>
                </c:pt>
                <c:pt idx="9">
                  <c:v>14.1</c:v>
                </c:pt>
                <c:pt idx="10">
                  <c:v>10.1</c:v>
                </c:pt>
                <c:pt idx="11">
                  <c:v>7.6</c:v>
                </c:pt>
                <c:pt idx="12">
                  <c:v>6.8</c:v>
                </c:pt>
                <c:pt idx="13">
                  <c:v>6.7</c:v>
                </c:pt>
                <c:pt idx="14">
                  <c:v>6.4</c:v>
                </c:pt>
                <c:pt idx="15">
                  <c:v>5.8</c:v>
                </c:pt>
                <c:pt idx="16">
                  <c:v>5.6</c:v>
                </c:pt>
                <c:pt idx="17">
                  <c:v>5.5</c:v>
                </c:pt>
                <c:pt idx="18">
                  <c:v>5.3</c:v>
                </c:pt>
              </c:numCache>
            </c:numRef>
          </c:val>
        </c:ser>
        <c:dLbls>
          <c:showLegendKey val="0"/>
          <c:showVal val="1"/>
          <c:showCatName val="0"/>
          <c:showSerName val="0"/>
          <c:showPercent val="0"/>
          <c:showBubbleSize val="0"/>
        </c:dLbls>
        <c:gapWidth val="41"/>
        <c:overlap val="-27"/>
        <c:axId val="741177167"/>
        <c:axId val="741185071"/>
      </c:barChart>
      <c:catAx>
        <c:axId val="74117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185071"/>
        <c:crosses val="autoZero"/>
        <c:auto val="1"/>
        <c:lblAlgn val="ctr"/>
        <c:lblOffset val="100"/>
        <c:noMultiLvlLbl val="0"/>
      </c:catAx>
      <c:valAx>
        <c:axId val="741185071"/>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1771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5"/>
            </a:solidFill>
            <a:ln>
              <a:noFill/>
            </a:ln>
            <a:effectLst/>
          </c:spPr>
          <c:invertIfNegative val="0"/>
          <c:dPt>
            <c:idx val="2"/>
            <c:invertIfNegative val="0"/>
            <c:bubble3D val="0"/>
            <c:spPr>
              <a:solidFill>
                <a:schemeClr val="accent5">
                  <a:lumMod val="60000"/>
                  <a:lumOff val="40000"/>
                </a:schemeClr>
              </a:solidFill>
              <a:ln>
                <a:noFill/>
              </a:ln>
              <a:effectLst/>
            </c:spPr>
          </c:dPt>
          <c:dPt>
            <c:idx val="3"/>
            <c:invertIfNegative val="0"/>
            <c:bubble3D val="0"/>
            <c:spPr>
              <a:solidFill>
                <a:schemeClr val="accent5">
                  <a:lumMod val="60000"/>
                  <a:lumOff val="40000"/>
                </a:schemeClr>
              </a:solidFill>
              <a:ln>
                <a:noFill/>
              </a:ln>
              <a:effectLst/>
            </c:spPr>
          </c:dPt>
          <c:dPt>
            <c:idx val="4"/>
            <c:invertIfNegative val="0"/>
            <c:bubble3D val="0"/>
            <c:spPr>
              <a:solidFill>
                <a:schemeClr val="accent5">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向经营者投诉</c:v>
                </c:pt>
                <c:pt idx="1">
                  <c:v>向消协等消费者权益保护组织投诉</c:v>
                </c:pt>
                <c:pt idx="2">
                  <c:v>向有关行政部门投诉</c:v>
                </c:pt>
                <c:pt idx="3">
                  <c:v>向仲裁机构申请仲裁</c:v>
                </c:pt>
                <c:pt idx="4">
                  <c:v>向法院提起诉讼</c:v>
                </c:pt>
              </c:strCache>
            </c:strRef>
          </c:cat>
          <c:val>
            <c:numRef>
              <c:f>Sheet1!$B$2:$B$6</c:f>
              <c:numCache>
                <c:formatCode>0.0</c:formatCode>
                <c:ptCount val="5"/>
                <c:pt idx="0">
                  <c:v>61.6</c:v>
                </c:pt>
                <c:pt idx="1">
                  <c:v>50.7</c:v>
                </c:pt>
                <c:pt idx="2">
                  <c:v>25.6</c:v>
                </c:pt>
                <c:pt idx="3">
                  <c:v>5.2</c:v>
                </c:pt>
                <c:pt idx="4">
                  <c:v>2.8</c:v>
                </c:pt>
              </c:numCache>
            </c:numRef>
          </c:val>
        </c:ser>
        <c:dLbls>
          <c:showLegendKey val="0"/>
          <c:showVal val="1"/>
          <c:showCatName val="0"/>
          <c:showSerName val="0"/>
          <c:showPercent val="0"/>
          <c:showBubbleSize val="0"/>
        </c:dLbls>
        <c:gapWidth val="41"/>
        <c:overlap val="-27"/>
        <c:axId val="919237967"/>
        <c:axId val="919242127"/>
      </c:barChart>
      <c:catAx>
        <c:axId val="91923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9242127"/>
        <c:crosses val="autoZero"/>
        <c:auto val="1"/>
        <c:lblAlgn val="ctr"/>
        <c:lblOffset val="100"/>
        <c:noMultiLvlLbl val="0"/>
      </c:catAx>
      <c:valAx>
        <c:axId val="919242127"/>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92379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92B6D5-03C6-4466-9950-2A1EAB11A1B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114</Pages>
  <Words>35677</Words>
  <Characters>50612</Characters>
  <Lines>436</Lines>
  <Paragraphs>122</Paragraphs>
  <TotalTime>2</TotalTime>
  <ScaleCrop>false</ScaleCrop>
  <LinksUpToDate>false</LinksUpToDate>
  <CharactersWithSpaces>51850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2022-02-24T06:49:00Z</dcterms:created>
  <dc:creator>user</dc:creator>
  <cp:lastModifiedBy>dandan0408</cp:lastModifiedBy>
  <cp:lastPrinted>2021-03-12T23:22:00Z</cp:lastPrinted>
  <dcterms:modified xsi:type="dcterms:W3CDTF">2023-03-14T00:57:47Z</dcterms:modified>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849934E573D4497AB8B1C1649CF56B7D</vt:lpwstr>
  </property>
</Properties>
</file>