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oter2.xml" ContentType="application/vnd.openxmlformats-officedocument.wordprocessingml.footer+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footer3.xml" ContentType="application/vnd.openxmlformats-officedocument.wordprocessingml.footer+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footer4.xml" ContentType="application/vnd.openxmlformats-officedocument.wordprocessingml.footer+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6C73" w:rsidRDefault="002D6C73">
      <w:pPr>
        <w:jc w:val="center"/>
        <w:rPr>
          <w:rFonts w:ascii="方正小标宋简体" w:eastAsia="方正小标宋简体" w:hAnsi="华文中宋" w:cs="华文中宋"/>
          <w:sz w:val="44"/>
          <w:szCs w:val="44"/>
        </w:rPr>
      </w:pPr>
      <w:bookmarkStart w:id="0" w:name="_Toc62721745"/>
    </w:p>
    <w:p w:rsidR="002D6C73" w:rsidRDefault="002D6C73">
      <w:pPr>
        <w:jc w:val="center"/>
        <w:rPr>
          <w:rFonts w:ascii="方正小标宋简体" w:eastAsia="方正小标宋简体" w:hAnsi="华文中宋" w:cs="华文中宋"/>
          <w:sz w:val="44"/>
          <w:szCs w:val="44"/>
        </w:rPr>
      </w:pPr>
    </w:p>
    <w:p w:rsidR="002D6C73" w:rsidRDefault="002D6C73">
      <w:pPr>
        <w:jc w:val="center"/>
        <w:rPr>
          <w:rFonts w:ascii="方正小标宋简体" w:eastAsia="方正小标宋简体" w:hAnsi="华文中宋" w:cs="华文中宋"/>
          <w:sz w:val="44"/>
          <w:szCs w:val="44"/>
        </w:rPr>
      </w:pPr>
    </w:p>
    <w:p w:rsidR="002D6C73" w:rsidRDefault="00FB6868">
      <w:pPr>
        <w:jc w:val="center"/>
        <w:rPr>
          <w:rFonts w:ascii="方正小标宋简体" w:eastAsia="方正小标宋简体" w:hAnsi="华文中宋" w:cs="华文中宋"/>
          <w:sz w:val="44"/>
          <w:szCs w:val="44"/>
        </w:rPr>
      </w:pPr>
      <w:r>
        <w:rPr>
          <w:rFonts w:ascii="方正小标宋简体" w:eastAsia="方正小标宋简体" w:hAnsi="华文中宋" w:cs="华文中宋" w:hint="eastAsia"/>
          <w:sz w:val="44"/>
          <w:szCs w:val="44"/>
        </w:rPr>
        <w:t>2021年100个城市</w:t>
      </w:r>
    </w:p>
    <w:p w:rsidR="002D6C73" w:rsidRDefault="00FB6868">
      <w:pPr>
        <w:jc w:val="center"/>
        <w:rPr>
          <w:rFonts w:ascii="方正小标宋简体" w:eastAsia="方正小标宋简体" w:hAnsi="华文中宋" w:cs="华文中宋"/>
          <w:sz w:val="44"/>
          <w:szCs w:val="44"/>
        </w:rPr>
      </w:pPr>
      <w:r>
        <w:rPr>
          <w:rFonts w:ascii="方正小标宋简体" w:eastAsia="方正小标宋简体" w:hAnsi="华文中宋" w:cs="华文中宋" w:hint="eastAsia"/>
          <w:sz w:val="44"/>
          <w:szCs w:val="44"/>
        </w:rPr>
        <w:t>消费者满意度测评报告</w:t>
      </w:r>
    </w:p>
    <w:p w:rsidR="002D6C73" w:rsidRDefault="002D6C73">
      <w:pPr>
        <w:jc w:val="center"/>
        <w:rPr>
          <w:rFonts w:ascii="方正小标宋简体" w:eastAsia="方正小标宋简体" w:hAnsi="华文中宋" w:cs="华文中宋"/>
          <w:sz w:val="44"/>
          <w:szCs w:val="44"/>
        </w:rPr>
      </w:pPr>
    </w:p>
    <w:p w:rsidR="002D6C73" w:rsidRDefault="002D6C73">
      <w:pPr>
        <w:jc w:val="center"/>
        <w:rPr>
          <w:rFonts w:ascii="方正小标宋简体" w:eastAsia="方正小标宋简体" w:hAnsi="华文中宋" w:cs="华文中宋"/>
          <w:sz w:val="44"/>
          <w:szCs w:val="44"/>
        </w:rPr>
      </w:pPr>
    </w:p>
    <w:p w:rsidR="002D6C73" w:rsidRDefault="002D6C73">
      <w:pPr>
        <w:jc w:val="center"/>
        <w:rPr>
          <w:rFonts w:ascii="方正小标宋简体" w:eastAsia="方正小标宋简体" w:hAnsi="华文中宋" w:cs="华文中宋"/>
          <w:sz w:val="44"/>
          <w:szCs w:val="44"/>
        </w:rPr>
      </w:pPr>
    </w:p>
    <w:p w:rsidR="002D6C73" w:rsidRDefault="002D6C73">
      <w:pPr>
        <w:jc w:val="center"/>
        <w:rPr>
          <w:rFonts w:ascii="方正小标宋简体" w:eastAsia="方正小标宋简体" w:hAnsi="华文中宋" w:cs="华文中宋"/>
          <w:sz w:val="44"/>
          <w:szCs w:val="44"/>
        </w:rPr>
      </w:pPr>
    </w:p>
    <w:p w:rsidR="002D6C73" w:rsidRDefault="002D6C73">
      <w:pPr>
        <w:spacing w:before="190"/>
        <w:rPr>
          <w:rFonts w:ascii="黑体" w:eastAsia="黑体" w:hAnsi="黑体"/>
          <w:b/>
          <w:color w:val="000000" w:themeColor="text1"/>
          <w:sz w:val="36"/>
          <w:szCs w:val="32"/>
        </w:rPr>
      </w:pPr>
    </w:p>
    <w:p w:rsidR="002D6C73" w:rsidRDefault="00FB6868">
      <w:pPr>
        <w:spacing w:before="190"/>
        <w:ind w:firstLineChars="50" w:firstLine="161"/>
        <w:jc w:val="center"/>
        <w:rPr>
          <w:rFonts w:ascii="黑体" w:eastAsia="黑体" w:hAnsi="黑体"/>
          <w:b/>
          <w:color w:val="000000" w:themeColor="text1"/>
          <w:sz w:val="36"/>
          <w:szCs w:val="32"/>
        </w:rPr>
      </w:pPr>
      <w:r>
        <w:rPr>
          <w:rFonts w:ascii="仿宋" w:hAnsi="仿宋" w:cs="仿宋_GB2312"/>
          <w:b/>
          <w:noProof/>
          <w:sz w:val="32"/>
          <w:szCs w:val="36"/>
        </w:rPr>
        <w:drawing>
          <wp:anchor distT="0" distB="0" distL="114300" distR="114300" simplePos="0" relativeHeight="251659264" behindDoc="1" locked="0" layoutInCell="1" allowOverlap="1">
            <wp:simplePos x="0" y="0"/>
            <wp:positionH relativeFrom="column">
              <wp:posOffset>1837055</wp:posOffset>
            </wp:positionH>
            <wp:positionV relativeFrom="paragraph">
              <wp:posOffset>112395</wp:posOffset>
            </wp:positionV>
            <wp:extent cx="1562735" cy="1501140"/>
            <wp:effectExtent l="0" t="0" r="0" b="0"/>
            <wp:wrapTight wrapText="bothSides">
              <wp:wrapPolygon edited="0">
                <wp:start x="0" y="0"/>
                <wp:lineTo x="0" y="21381"/>
                <wp:lineTo x="21328" y="21381"/>
                <wp:lineTo x="21328" y="0"/>
                <wp:lineTo x="0" y="0"/>
              </wp:wrapPolygon>
            </wp:wrapTight>
            <wp:docPr id="9" name="图片 9" descr="D:\汤哲--中国消费者协会工作\20150804中消协工作\005--协会事务\图片素材\协会logo\扫描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汤哲--中国消费者协会工作\20150804中消协工作\005--协会事务\图片素材\协会logo\扫描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62735" cy="1501140"/>
                    </a:xfrm>
                    <a:prstGeom prst="rect">
                      <a:avLst/>
                    </a:prstGeom>
                    <a:noFill/>
                    <a:ln>
                      <a:noFill/>
                    </a:ln>
                  </pic:spPr>
                </pic:pic>
              </a:graphicData>
            </a:graphic>
          </wp:anchor>
        </w:drawing>
      </w:r>
    </w:p>
    <w:p w:rsidR="002D6C73" w:rsidRDefault="002D6C73">
      <w:pPr>
        <w:spacing w:before="190"/>
        <w:ind w:firstLineChars="50" w:firstLine="181"/>
        <w:jc w:val="center"/>
        <w:rPr>
          <w:rFonts w:ascii="黑体" w:eastAsia="黑体" w:hAnsi="黑体"/>
          <w:b/>
          <w:color w:val="000000" w:themeColor="text1"/>
          <w:sz w:val="36"/>
          <w:szCs w:val="32"/>
        </w:rPr>
      </w:pPr>
    </w:p>
    <w:p w:rsidR="002D6C73" w:rsidRDefault="002D6C73">
      <w:pPr>
        <w:spacing w:line="80" w:lineRule="atLeast"/>
        <w:ind w:firstLineChars="55" w:firstLine="199"/>
        <w:rPr>
          <w:rFonts w:ascii="仿宋" w:hAnsi="仿宋"/>
          <w:b/>
          <w:bCs/>
          <w:sz w:val="36"/>
          <w:szCs w:val="36"/>
        </w:rPr>
      </w:pPr>
    </w:p>
    <w:p w:rsidR="002D6C73" w:rsidRDefault="002D6C73">
      <w:pPr>
        <w:spacing w:line="80" w:lineRule="atLeast"/>
        <w:ind w:firstLineChars="55" w:firstLine="199"/>
        <w:rPr>
          <w:rFonts w:ascii="仿宋" w:hAnsi="仿宋"/>
          <w:b/>
          <w:bCs/>
          <w:sz w:val="36"/>
          <w:szCs w:val="36"/>
        </w:rPr>
      </w:pPr>
    </w:p>
    <w:p w:rsidR="002D6C73" w:rsidRDefault="00FB6868">
      <w:pPr>
        <w:spacing w:line="80" w:lineRule="atLeast"/>
        <w:ind w:firstLineChars="55" w:firstLine="199"/>
        <w:jc w:val="center"/>
        <w:rPr>
          <w:rFonts w:ascii="仿宋" w:hAnsi="仿宋"/>
          <w:b/>
          <w:bCs/>
          <w:sz w:val="36"/>
          <w:szCs w:val="36"/>
        </w:rPr>
      </w:pPr>
      <w:r>
        <w:rPr>
          <w:rFonts w:ascii="仿宋" w:hAnsi="仿宋" w:hint="eastAsia"/>
          <w:b/>
          <w:bCs/>
          <w:sz w:val="36"/>
          <w:szCs w:val="36"/>
        </w:rPr>
        <w:t>中国消费者协会</w:t>
      </w:r>
    </w:p>
    <w:p w:rsidR="002D6C73" w:rsidRDefault="00FB6868">
      <w:pPr>
        <w:jc w:val="center"/>
        <w:rPr>
          <w:rFonts w:ascii="华文中宋" w:eastAsia="华文中宋" w:hAnsi="华文中宋" w:cs="华文中宋"/>
          <w:szCs w:val="44"/>
        </w:rPr>
      </w:pPr>
      <w:r>
        <w:rPr>
          <w:rFonts w:ascii="仿宋" w:hAnsi="仿宋" w:hint="eastAsia"/>
          <w:b/>
          <w:bCs/>
          <w:sz w:val="36"/>
          <w:szCs w:val="36"/>
        </w:rPr>
        <w:t>20</w:t>
      </w:r>
      <w:r>
        <w:rPr>
          <w:rFonts w:ascii="仿宋" w:hAnsi="仿宋"/>
          <w:b/>
          <w:bCs/>
          <w:sz w:val="36"/>
          <w:szCs w:val="36"/>
        </w:rPr>
        <w:t>2</w:t>
      </w:r>
      <w:r>
        <w:rPr>
          <w:rFonts w:ascii="仿宋" w:hAnsi="仿宋" w:hint="eastAsia"/>
          <w:b/>
          <w:bCs/>
          <w:sz w:val="36"/>
          <w:szCs w:val="36"/>
        </w:rPr>
        <w:t>2</w:t>
      </w:r>
      <w:r>
        <w:rPr>
          <w:rFonts w:ascii="仿宋" w:hAnsi="仿宋" w:hint="eastAsia"/>
          <w:b/>
          <w:bCs/>
          <w:sz w:val="36"/>
          <w:szCs w:val="36"/>
        </w:rPr>
        <w:t>年</w:t>
      </w:r>
      <w:r>
        <w:rPr>
          <w:rFonts w:ascii="仿宋" w:hAnsi="仿宋" w:hint="eastAsia"/>
          <w:b/>
          <w:bCs/>
          <w:sz w:val="36"/>
          <w:szCs w:val="36"/>
        </w:rPr>
        <w:t>3</w:t>
      </w:r>
      <w:r>
        <w:rPr>
          <w:rFonts w:ascii="仿宋" w:hAnsi="仿宋" w:hint="eastAsia"/>
          <w:b/>
          <w:bCs/>
          <w:sz w:val="36"/>
          <w:szCs w:val="36"/>
        </w:rPr>
        <w:t>月</w:t>
      </w:r>
      <w:r>
        <w:rPr>
          <w:rFonts w:ascii="华文中宋" w:eastAsia="华文中宋" w:hAnsi="华文中宋" w:cs="华文中宋"/>
          <w:szCs w:val="44"/>
        </w:rPr>
        <w:br w:type="page"/>
      </w:r>
    </w:p>
    <w:sdt>
      <w:sdtPr>
        <w:rPr>
          <w:sz w:val="21"/>
        </w:rPr>
        <w:id w:val="147455150"/>
        <w15:color w:val="DBDBDB"/>
        <w:docPartObj>
          <w:docPartGallery w:val="Table of Contents"/>
          <w:docPartUnique/>
        </w:docPartObj>
      </w:sdtPr>
      <w:sdtEndPr>
        <w:rPr>
          <w:rFonts w:ascii="华文中宋" w:eastAsia="华文中宋" w:hAnsi="华文中宋" w:cs="华文中宋"/>
          <w:sz w:val="24"/>
          <w:szCs w:val="44"/>
        </w:rPr>
      </w:sdtEndPr>
      <w:sdtContent>
        <w:p w:rsidR="002D6C73" w:rsidRDefault="00FB6868">
          <w:pPr>
            <w:jc w:val="center"/>
          </w:pPr>
          <w:r>
            <w:rPr>
              <w:rFonts w:ascii="华文中宋" w:eastAsia="华文中宋" w:hAnsi="华文中宋" w:cs="华文中宋" w:hint="eastAsia"/>
              <w:sz w:val="32"/>
              <w:szCs w:val="40"/>
            </w:rPr>
            <w:t>目  录</w:t>
          </w:r>
        </w:p>
        <w:p w:rsidR="002D6C73" w:rsidRDefault="00FB6868">
          <w:pPr>
            <w:pStyle w:val="TOC1"/>
            <w:tabs>
              <w:tab w:val="right" w:leader="dot" w:pos="8306"/>
            </w:tabs>
          </w:pPr>
          <w:r>
            <w:rPr>
              <w:rFonts w:ascii="华文中宋" w:eastAsia="华文中宋" w:hAnsi="华文中宋" w:cs="华文中宋"/>
              <w:szCs w:val="44"/>
            </w:rPr>
            <w:fldChar w:fldCharType="begin"/>
          </w:r>
          <w:r>
            <w:rPr>
              <w:rFonts w:ascii="华文中宋" w:eastAsia="华文中宋" w:hAnsi="华文中宋" w:cs="华文中宋"/>
              <w:szCs w:val="44"/>
            </w:rPr>
            <w:instrText xml:space="preserve">TOC \o "1-3" \h \u </w:instrText>
          </w:r>
          <w:r>
            <w:rPr>
              <w:rFonts w:ascii="华文中宋" w:eastAsia="华文中宋" w:hAnsi="华文中宋" w:cs="华文中宋"/>
              <w:szCs w:val="44"/>
            </w:rPr>
            <w:fldChar w:fldCharType="separate"/>
          </w:r>
          <w:hyperlink w:anchor="_Toc17821" w:history="1">
            <w:r>
              <w:rPr>
                <w:rFonts w:ascii="方正小标宋简体" w:eastAsia="方正小标宋简体" w:hAnsi="华文中宋" w:cs="华文中宋" w:hint="eastAsia"/>
                <w:bCs/>
                <w:szCs w:val="36"/>
              </w:rPr>
              <w:t>第一部分  消费者满意度测评工作背景</w:t>
            </w:r>
            <w:r>
              <w:tab/>
            </w:r>
            <w:r>
              <w:fldChar w:fldCharType="begin"/>
            </w:r>
            <w:r>
              <w:instrText xml:space="preserve"> PAGEREF _Toc17821 \h </w:instrText>
            </w:r>
            <w:r>
              <w:fldChar w:fldCharType="separate"/>
            </w:r>
            <w:r>
              <w:t>- 1 -</w:t>
            </w:r>
            <w:r>
              <w:fldChar w:fldCharType="end"/>
            </w:r>
          </w:hyperlink>
        </w:p>
        <w:p w:rsidR="002D6C73" w:rsidRDefault="00561310">
          <w:pPr>
            <w:pStyle w:val="TOC1"/>
            <w:tabs>
              <w:tab w:val="right" w:leader="dot" w:pos="8306"/>
            </w:tabs>
          </w:pPr>
          <w:hyperlink w:anchor="_Toc11570" w:history="1">
            <w:r w:rsidR="00FB6868">
              <w:rPr>
                <w:rFonts w:ascii="方正小标宋简体" w:eastAsia="方正小标宋简体" w:hAnsi="华文中宋" w:cs="华文中宋" w:hint="eastAsia"/>
                <w:bCs/>
                <w:szCs w:val="36"/>
              </w:rPr>
              <w:t>第二部分  消费者满意度测评实施说明</w:t>
            </w:r>
            <w:r w:rsidR="00FB6868">
              <w:tab/>
            </w:r>
            <w:r w:rsidR="00FB6868">
              <w:fldChar w:fldCharType="begin"/>
            </w:r>
            <w:r w:rsidR="00FB6868">
              <w:instrText xml:space="preserve"> PAGEREF _Toc11570 \h </w:instrText>
            </w:r>
            <w:r w:rsidR="00FB6868">
              <w:fldChar w:fldCharType="separate"/>
            </w:r>
            <w:r w:rsidR="00FB6868">
              <w:t>- 4 -</w:t>
            </w:r>
            <w:r w:rsidR="00FB6868">
              <w:fldChar w:fldCharType="end"/>
            </w:r>
          </w:hyperlink>
        </w:p>
        <w:p w:rsidR="002D6C73" w:rsidRDefault="00561310">
          <w:pPr>
            <w:pStyle w:val="TOC2"/>
            <w:tabs>
              <w:tab w:val="right" w:leader="dot" w:pos="8306"/>
            </w:tabs>
            <w:ind w:left="480"/>
          </w:pPr>
          <w:hyperlink w:anchor="_Toc24339" w:history="1">
            <w:r w:rsidR="00FB6868">
              <w:rPr>
                <w:rFonts w:ascii="黑体" w:eastAsia="黑体" w:hAnsi="黑体" w:cs="黑体" w:hint="eastAsia"/>
                <w:bCs/>
                <w:iCs/>
                <w:szCs w:val="28"/>
              </w:rPr>
              <w:t>一、指标体系、权重及问卷设计</w:t>
            </w:r>
            <w:r w:rsidR="00FB6868">
              <w:tab/>
            </w:r>
            <w:r w:rsidR="00FB6868">
              <w:fldChar w:fldCharType="begin"/>
            </w:r>
            <w:r w:rsidR="00FB6868">
              <w:instrText xml:space="preserve"> PAGEREF _Toc24339 \h </w:instrText>
            </w:r>
            <w:r w:rsidR="00FB6868">
              <w:fldChar w:fldCharType="separate"/>
            </w:r>
            <w:r w:rsidR="00FB6868">
              <w:t>- 4 -</w:t>
            </w:r>
            <w:r w:rsidR="00FB6868">
              <w:fldChar w:fldCharType="end"/>
            </w:r>
          </w:hyperlink>
        </w:p>
        <w:p w:rsidR="002D6C73" w:rsidRDefault="00561310">
          <w:pPr>
            <w:pStyle w:val="TOC2"/>
            <w:tabs>
              <w:tab w:val="right" w:leader="dot" w:pos="8306"/>
            </w:tabs>
            <w:ind w:left="480"/>
          </w:pPr>
          <w:hyperlink w:anchor="_Toc29379" w:history="1">
            <w:r w:rsidR="00FB6868">
              <w:rPr>
                <w:rFonts w:ascii="黑体" w:eastAsia="黑体" w:hAnsi="黑体" w:cs="黑体" w:hint="eastAsia"/>
                <w:bCs/>
                <w:iCs/>
                <w:szCs w:val="28"/>
              </w:rPr>
              <w:t>二、城市选取与样本量设计</w:t>
            </w:r>
            <w:r w:rsidR="00FB6868">
              <w:tab/>
            </w:r>
            <w:r w:rsidR="00FB6868">
              <w:fldChar w:fldCharType="begin"/>
            </w:r>
            <w:r w:rsidR="00FB6868">
              <w:instrText xml:space="preserve"> PAGEREF _Toc29379 \h </w:instrText>
            </w:r>
            <w:r w:rsidR="00FB6868">
              <w:fldChar w:fldCharType="separate"/>
            </w:r>
            <w:r w:rsidR="00FB6868">
              <w:t>- 6 -</w:t>
            </w:r>
            <w:r w:rsidR="00FB6868">
              <w:fldChar w:fldCharType="end"/>
            </w:r>
          </w:hyperlink>
        </w:p>
        <w:p w:rsidR="002D6C73" w:rsidRDefault="00561310">
          <w:pPr>
            <w:pStyle w:val="TOC2"/>
            <w:tabs>
              <w:tab w:val="right" w:leader="dot" w:pos="8306"/>
            </w:tabs>
            <w:ind w:left="480"/>
          </w:pPr>
          <w:hyperlink w:anchor="_Toc21036" w:history="1">
            <w:r w:rsidR="00FB6868">
              <w:rPr>
                <w:rFonts w:ascii="黑体" w:eastAsia="黑体" w:hAnsi="黑体" w:cs="黑体" w:hint="eastAsia"/>
                <w:bCs/>
                <w:iCs/>
                <w:szCs w:val="28"/>
              </w:rPr>
              <w:t>三、抽样设计</w:t>
            </w:r>
            <w:r w:rsidR="00FB6868">
              <w:tab/>
            </w:r>
            <w:r w:rsidR="00FB6868">
              <w:fldChar w:fldCharType="begin"/>
            </w:r>
            <w:r w:rsidR="00FB6868">
              <w:instrText xml:space="preserve"> PAGEREF _Toc21036 \h </w:instrText>
            </w:r>
            <w:r w:rsidR="00FB6868">
              <w:fldChar w:fldCharType="separate"/>
            </w:r>
            <w:r w:rsidR="00FB6868">
              <w:t>- 9 -</w:t>
            </w:r>
            <w:r w:rsidR="00FB6868">
              <w:fldChar w:fldCharType="end"/>
            </w:r>
          </w:hyperlink>
        </w:p>
        <w:p w:rsidR="002D6C73" w:rsidRDefault="00561310">
          <w:pPr>
            <w:pStyle w:val="TOC2"/>
            <w:tabs>
              <w:tab w:val="right" w:leader="dot" w:pos="8306"/>
            </w:tabs>
            <w:ind w:left="480"/>
          </w:pPr>
          <w:hyperlink w:anchor="_Toc24890" w:history="1">
            <w:r w:rsidR="00FB6868">
              <w:rPr>
                <w:rFonts w:ascii="黑体" w:eastAsia="黑体" w:hAnsi="黑体" w:cs="黑体" w:hint="eastAsia"/>
                <w:bCs/>
                <w:iCs/>
                <w:szCs w:val="28"/>
              </w:rPr>
              <w:t>四、调查方法设计</w:t>
            </w:r>
            <w:r w:rsidR="00FB6868">
              <w:tab/>
            </w:r>
            <w:r w:rsidR="00FB6868">
              <w:fldChar w:fldCharType="begin"/>
            </w:r>
            <w:r w:rsidR="00FB6868">
              <w:instrText xml:space="preserve"> PAGEREF _Toc24890 \h </w:instrText>
            </w:r>
            <w:r w:rsidR="00FB6868">
              <w:fldChar w:fldCharType="separate"/>
            </w:r>
            <w:r w:rsidR="00FB6868">
              <w:t>- 10 -</w:t>
            </w:r>
            <w:r w:rsidR="00FB6868">
              <w:fldChar w:fldCharType="end"/>
            </w:r>
          </w:hyperlink>
        </w:p>
        <w:p w:rsidR="002D6C73" w:rsidRDefault="00561310">
          <w:pPr>
            <w:pStyle w:val="TOC2"/>
            <w:tabs>
              <w:tab w:val="right" w:leader="dot" w:pos="8306"/>
            </w:tabs>
            <w:ind w:left="480"/>
          </w:pPr>
          <w:hyperlink w:anchor="_Toc30240" w:history="1">
            <w:r w:rsidR="00FB6868">
              <w:rPr>
                <w:rFonts w:ascii="黑体" w:eastAsia="黑体" w:hAnsi="黑体" w:cs="黑体" w:hint="eastAsia"/>
                <w:bCs/>
                <w:iCs/>
                <w:szCs w:val="28"/>
              </w:rPr>
              <w:t>五、调查对象设计</w:t>
            </w:r>
            <w:r w:rsidR="00FB6868">
              <w:tab/>
            </w:r>
            <w:r w:rsidR="00FB6868">
              <w:fldChar w:fldCharType="begin"/>
            </w:r>
            <w:r w:rsidR="00FB6868">
              <w:instrText xml:space="preserve"> PAGEREF _Toc30240 \h </w:instrText>
            </w:r>
            <w:r w:rsidR="00FB6868">
              <w:fldChar w:fldCharType="separate"/>
            </w:r>
            <w:r w:rsidR="00FB6868">
              <w:t>- 10 -</w:t>
            </w:r>
            <w:r w:rsidR="00FB6868">
              <w:fldChar w:fldCharType="end"/>
            </w:r>
          </w:hyperlink>
        </w:p>
        <w:p w:rsidR="002D6C73" w:rsidRDefault="00561310">
          <w:pPr>
            <w:pStyle w:val="TOC2"/>
            <w:tabs>
              <w:tab w:val="right" w:leader="dot" w:pos="8306"/>
            </w:tabs>
            <w:ind w:left="480"/>
          </w:pPr>
          <w:hyperlink w:anchor="_Toc21350" w:history="1">
            <w:r w:rsidR="00FB6868">
              <w:rPr>
                <w:rFonts w:ascii="黑体" w:eastAsia="黑体" w:hAnsi="黑体" w:cs="黑体" w:hint="eastAsia"/>
                <w:bCs/>
                <w:iCs/>
                <w:szCs w:val="28"/>
              </w:rPr>
              <w:t>六、调查实施和质量控制</w:t>
            </w:r>
            <w:r w:rsidR="00FB6868">
              <w:tab/>
            </w:r>
            <w:r w:rsidR="00FB6868">
              <w:fldChar w:fldCharType="begin"/>
            </w:r>
            <w:r w:rsidR="00FB6868">
              <w:instrText xml:space="preserve"> PAGEREF _Toc21350 \h </w:instrText>
            </w:r>
            <w:r w:rsidR="00FB6868">
              <w:fldChar w:fldCharType="separate"/>
            </w:r>
            <w:r w:rsidR="00FB6868">
              <w:t>- 10 -</w:t>
            </w:r>
            <w:r w:rsidR="00FB6868">
              <w:fldChar w:fldCharType="end"/>
            </w:r>
          </w:hyperlink>
        </w:p>
        <w:p w:rsidR="002D6C73" w:rsidRDefault="00561310">
          <w:pPr>
            <w:pStyle w:val="TOC2"/>
            <w:tabs>
              <w:tab w:val="right" w:leader="dot" w:pos="8306"/>
            </w:tabs>
            <w:ind w:left="480"/>
          </w:pPr>
          <w:hyperlink w:anchor="_Toc286" w:history="1">
            <w:r w:rsidR="00FB6868">
              <w:rPr>
                <w:rFonts w:ascii="黑体" w:eastAsia="黑体" w:hAnsi="黑体" w:cs="黑体" w:hint="eastAsia"/>
                <w:bCs/>
                <w:iCs/>
                <w:szCs w:val="28"/>
              </w:rPr>
              <w:t>七、信度与效度检验</w:t>
            </w:r>
            <w:r w:rsidR="00FB6868">
              <w:tab/>
            </w:r>
            <w:r w:rsidR="00FB6868">
              <w:fldChar w:fldCharType="begin"/>
            </w:r>
            <w:r w:rsidR="00FB6868">
              <w:instrText xml:space="preserve"> PAGEREF _Toc286 \h </w:instrText>
            </w:r>
            <w:r w:rsidR="00FB6868">
              <w:fldChar w:fldCharType="separate"/>
            </w:r>
            <w:r w:rsidR="00FB6868">
              <w:t>- 12 -</w:t>
            </w:r>
            <w:r w:rsidR="00FB6868">
              <w:fldChar w:fldCharType="end"/>
            </w:r>
          </w:hyperlink>
        </w:p>
        <w:p w:rsidR="002D6C73" w:rsidRDefault="00561310">
          <w:pPr>
            <w:pStyle w:val="TOC1"/>
            <w:tabs>
              <w:tab w:val="right" w:leader="dot" w:pos="8306"/>
            </w:tabs>
          </w:pPr>
          <w:hyperlink w:anchor="_Toc6922" w:history="1">
            <w:r w:rsidR="00FB6868">
              <w:rPr>
                <w:rFonts w:ascii="方正小标宋简体" w:eastAsia="方正小标宋简体" w:hAnsi="华文中宋" w:cs="华文中宋" w:hint="eastAsia"/>
                <w:bCs/>
                <w:szCs w:val="28"/>
              </w:rPr>
              <w:t>第三部分  消费者满意度总体测评结果</w:t>
            </w:r>
            <w:r w:rsidR="00FB6868">
              <w:tab/>
            </w:r>
            <w:r w:rsidR="00FB6868">
              <w:fldChar w:fldCharType="begin"/>
            </w:r>
            <w:r w:rsidR="00FB6868">
              <w:instrText xml:space="preserve"> PAGEREF _Toc6922 \h </w:instrText>
            </w:r>
            <w:r w:rsidR="00FB6868">
              <w:fldChar w:fldCharType="separate"/>
            </w:r>
            <w:r w:rsidR="00FB6868">
              <w:t>- 14 -</w:t>
            </w:r>
            <w:r w:rsidR="00FB6868">
              <w:fldChar w:fldCharType="end"/>
            </w:r>
          </w:hyperlink>
        </w:p>
        <w:p w:rsidR="002D6C73" w:rsidRDefault="00561310">
          <w:pPr>
            <w:pStyle w:val="TOC2"/>
            <w:tabs>
              <w:tab w:val="right" w:leader="dot" w:pos="8306"/>
            </w:tabs>
            <w:ind w:left="480"/>
          </w:pPr>
          <w:hyperlink w:anchor="_Toc18682" w:history="1">
            <w:r w:rsidR="00FB6868">
              <w:rPr>
                <w:rFonts w:ascii="黑体" w:eastAsia="黑体" w:hAnsi="黑体" w:cs="黑体" w:hint="eastAsia"/>
                <w:bCs/>
                <w:iCs/>
                <w:szCs w:val="28"/>
              </w:rPr>
              <w:t>一、 消费者满意度综合得分</w:t>
            </w:r>
            <w:r w:rsidR="00FB6868">
              <w:tab/>
            </w:r>
            <w:r w:rsidR="00FB6868">
              <w:fldChar w:fldCharType="begin"/>
            </w:r>
            <w:r w:rsidR="00FB6868">
              <w:instrText xml:space="preserve"> PAGEREF _Toc18682 \h </w:instrText>
            </w:r>
            <w:r w:rsidR="00FB6868">
              <w:fldChar w:fldCharType="separate"/>
            </w:r>
            <w:r w:rsidR="00FB6868">
              <w:t>- 14 -</w:t>
            </w:r>
            <w:r w:rsidR="00FB6868">
              <w:fldChar w:fldCharType="end"/>
            </w:r>
          </w:hyperlink>
        </w:p>
        <w:p w:rsidR="002D6C73" w:rsidRDefault="00561310">
          <w:pPr>
            <w:pStyle w:val="TOC2"/>
            <w:tabs>
              <w:tab w:val="right" w:leader="dot" w:pos="8306"/>
            </w:tabs>
            <w:ind w:left="480"/>
          </w:pPr>
          <w:hyperlink w:anchor="_Toc23873" w:history="1">
            <w:r w:rsidR="00FB6868">
              <w:rPr>
                <w:rFonts w:ascii="黑体" w:eastAsia="黑体" w:hAnsi="黑体" w:cs="黑体" w:hint="eastAsia"/>
                <w:bCs/>
                <w:iCs/>
                <w:szCs w:val="28"/>
              </w:rPr>
              <w:t>二、 消费者满意度一级指标得分</w:t>
            </w:r>
            <w:r w:rsidR="00FB6868">
              <w:tab/>
            </w:r>
            <w:r w:rsidR="00FB6868">
              <w:fldChar w:fldCharType="begin"/>
            </w:r>
            <w:r w:rsidR="00FB6868">
              <w:instrText xml:space="preserve"> PAGEREF _Toc23873 \h </w:instrText>
            </w:r>
            <w:r w:rsidR="00FB6868">
              <w:fldChar w:fldCharType="separate"/>
            </w:r>
            <w:r w:rsidR="00FB6868">
              <w:t>- 15 -</w:t>
            </w:r>
            <w:r w:rsidR="00FB6868">
              <w:fldChar w:fldCharType="end"/>
            </w:r>
          </w:hyperlink>
        </w:p>
        <w:p w:rsidR="002D6C73" w:rsidRDefault="00561310">
          <w:pPr>
            <w:pStyle w:val="TOC2"/>
            <w:tabs>
              <w:tab w:val="right" w:leader="dot" w:pos="8306"/>
            </w:tabs>
            <w:ind w:left="480"/>
          </w:pPr>
          <w:hyperlink w:anchor="_Toc21140" w:history="1">
            <w:r w:rsidR="00FB6868">
              <w:rPr>
                <w:rFonts w:ascii="黑体" w:eastAsia="黑体" w:hAnsi="黑体" w:cs="黑体" w:hint="eastAsia"/>
                <w:bCs/>
                <w:iCs/>
                <w:szCs w:val="28"/>
              </w:rPr>
              <w:t>三、 消费者满意度二级指标得分</w:t>
            </w:r>
            <w:r w:rsidR="00FB6868">
              <w:tab/>
            </w:r>
            <w:r w:rsidR="00FB6868">
              <w:fldChar w:fldCharType="begin"/>
            </w:r>
            <w:r w:rsidR="00FB6868">
              <w:instrText xml:space="preserve"> PAGEREF _Toc21140 \h </w:instrText>
            </w:r>
            <w:r w:rsidR="00FB6868">
              <w:fldChar w:fldCharType="separate"/>
            </w:r>
            <w:r w:rsidR="00FB6868">
              <w:t>- 17 -</w:t>
            </w:r>
            <w:r w:rsidR="00FB6868">
              <w:fldChar w:fldCharType="end"/>
            </w:r>
          </w:hyperlink>
        </w:p>
        <w:p w:rsidR="002D6C73" w:rsidRDefault="00561310">
          <w:pPr>
            <w:pStyle w:val="TOC2"/>
            <w:tabs>
              <w:tab w:val="right" w:leader="dot" w:pos="8306"/>
            </w:tabs>
            <w:ind w:left="480"/>
          </w:pPr>
          <w:hyperlink w:anchor="_Toc30422" w:history="1">
            <w:r w:rsidR="00FB6868">
              <w:rPr>
                <w:rFonts w:ascii="黑体" w:eastAsia="黑体" w:hAnsi="黑体" w:cs="黑体" w:hint="eastAsia"/>
                <w:bCs/>
                <w:iCs/>
                <w:szCs w:val="32"/>
              </w:rPr>
              <w:t xml:space="preserve">四、 </w:t>
            </w:r>
            <w:r w:rsidR="00FB6868">
              <w:rPr>
                <w:rFonts w:ascii="黑体" w:eastAsia="黑体" w:hAnsi="黑体" w:cs="黑体" w:hint="eastAsia"/>
                <w:bCs/>
                <w:iCs/>
                <w:szCs w:val="28"/>
              </w:rPr>
              <w:t>消费者满意度</w:t>
            </w:r>
            <w:r w:rsidR="00FB6868">
              <w:rPr>
                <w:rFonts w:ascii="黑体" w:eastAsia="黑体" w:hAnsi="黑体" w:cs="黑体" w:hint="eastAsia"/>
                <w:bCs/>
                <w:iCs/>
                <w:szCs w:val="32"/>
              </w:rPr>
              <w:t>三级指标得分</w:t>
            </w:r>
            <w:r w:rsidR="00FB6868">
              <w:tab/>
            </w:r>
            <w:r w:rsidR="00FB6868">
              <w:fldChar w:fldCharType="begin"/>
            </w:r>
            <w:r w:rsidR="00FB6868">
              <w:instrText xml:space="preserve"> PAGEREF _Toc30422 \h </w:instrText>
            </w:r>
            <w:r w:rsidR="00FB6868">
              <w:fldChar w:fldCharType="separate"/>
            </w:r>
            <w:r w:rsidR="00FB6868">
              <w:t>- 22 -</w:t>
            </w:r>
            <w:r w:rsidR="00FB6868">
              <w:fldChar w:fldCharType="end"/>
            </w:r>
          </w:hyperlink>
        </w:p>
        <w:p w:rsidR="002D6C73" w:rsidRDefault="00561310">
          <w:pPr>
            <w:pStyle w:val="TOC2"/>
            <w:tabs>
              <w:tab w:val="right" w:leader="dot" w:pos="8306"/>
            </w:tabs>
            <w:ind w:left="480"/>
          </w:pPr>
          <w:hyperlink w:anchor="_Toc27982" w:history="1">
            <w:r w:rsidR="00FB6868">
              <w:rPr>
                <w:rFonts w:ascii="黑体" w:eastAsia="黑体" w:hAnsi="黑体" w:cs="黑体" w:hint="eastAsia"/>
                <w:bCs/>
                <w:iCs/>
                <w:szCs w:val="28"/>
              </w:rPr>
              <w:t>五、 消费者满意度测评指标体系优改分析</w:t>
            </w:r>
            <w:r w:rsidR="00FB6868">
              <w:tab/>
            </w:r>
            <w:r w:rsidR="00FB6868">
              <w:fldChar w:fldCharType="begin"/>
            </w:r>
            <w:r w:rsidR="00FB6868">
              <w:instrText xml:space="preserve"> PAGEREF _Toc27982 \h </w:instrText>
            </w:r>
            <w:r w:rsidR="00FB6868">
              <w:fldChar w:fldCharType="separate"/>
            </w:r>
            <w:r w:rsidR="00FB6868">
              <w:t>- 26 -</w:t>
            </w:r>
            <w:r w:rsidR="00FB6868">
              <w:fldChar w:fldCharType="end"/>
            </w:r>
          </w:hyperlink>
        </w:p>
        <w:p w:rsidR="002D6C73" w:rsidRDefault="00561310">
          <w:pPr>
            <w:pStyle w:val="TOC1"/>
            <w:tabs>
              <w:tab w:val="right" w:leader="dot" w:pos="8306"/>
            </w:tabs>
          </w:pPr>
          <w:hyperlink w:anchor="_Toc20572" w:history="1">
            <w:r w:rsidR="00FB6868">
              <w:rPr>
                <w:rFonts w:ascii="方正小标宋简体" w:eastAsia="方正小标宋简体" w:hAnsi="华文中宋" w:cs="华文中宋" w:hint="eastAsia"/>
                <w:bCs/>
                <w:szCs w:val="28"/>
              </w:rPr>
              <w:t>第四部分  100个城市消费者满意度测评结果</w:t>
            </w:r>
            <w:r w:rsidR="00FB6868">
              <w:tab/>
            </w:r>
            <w:r w:rsidR="00FB6868">
              <w:fldChar w:fldCharType="begin"/>
            </w:r>
            <w:r w:rsidR="00FB6868">
              <w:instrText xml:space="preserve"> PAGEREF _Toc20572 \h </w:instrText>
            </w:r>
            <w:r w:rsidR="00FB6868">
              <w:fldChar w:fldCharType="separate"/>
            </w:r>
            <w:r w:rsidR="00FB6868">
              <w:t>- 32 -</w:t>
            </w:r>
            <w:r w:rsidR="00FB6868">
              <w:fldChar w:fldCharType="end"/>
            </w:r>
          </w:hyperlink>
        </w:p>
        <w:p w:rsidR="002D6C73" w:rsidRDefault="00561310">
          <w:pPr>
            <w:pStyle w:val="TOC2"/>
            <w:tabs>
              <w:tab w:val="right" w:leader="dot" w:pos="8306"/>
            </w:tabs>
            <w:ind w:left="480"/>
          </w:pPr>
          <w:hyperlink w:anchor="_Toc17217" w:history="1">
            <w:r w:rsidR="00FB6868">
              <w:rPr>
                <w:rFonts w:ascii="黑体" w:eastAsia="黑体" w:hAnsi="黑体" w:cs="黑体" w:hint="eastAsia"/>
                <w:bCs/>
                <w:iCs/>
                <w:szCs w:val="32"/>
              </w:rPr>
              <w:t>一、100个城市消费者满意度得分</w:t>
            </w:r>
            <w:r w:rsidR="00FB6868">
              <w:tab/>
            </w:r>
            <w:r w:rsidR="00FB6868">
              <w:fldChar w:fldCharType="begin"/>
            </w:r>
            <w:r w:rsidR="00FB6868">
              <w:instrText xml:space="preserve"> PAGEREF _Toc17217 \h </w:instrText>
            </w:r>
            <w:r w:rsidR="00FB6868">
              <w:fldChar w:fldCharType="separate"/>
            </w:r>
            <w:r w:rsidR="00FB6868">
              <w:t>- 32 -</w:t>
            </w:r>
            <w:r w:rsidR="00FB6868">
              <w:fldChar w:fldCharType="end"/>
            </w:r>
          </w:hyperlink>
        </w:p>
        <w:p w:rsidR="002D6C73" w:rsidRDefault="00561310">
          <w:pPr>
            <w:pStyle w:val="TOC3"/>
            <w:tabs>
              <w:tab w:val="right" w:leader="dot" w:pos="8306"/>
            </w:tabs>
            <w:ind w:left="960"/>
          </w:pPr>
          <w:hyperlink w:anchor="_Toc2064" w:history="1">
            <w:r w:rsidR="00FB6868">
              <w:rPr>
                <w:rFonts w:ascii="仿宋" w:eastAsia="仿宋" w:hAnsi="仿宋" w:cs="仿宋" w:hint="eastAsia"/>
                <w:szCs w:val="32"/>
              </w:rPr>
              <w:t>（一）</w:t>
            </w:r>
            <w:r w:rsidR="00FB6868">
              <w:rPr>
                <w:rFonts w:ascii="仿宋" w:eastAsia="仿宋" w:hAnsi="仿宋" w:cs="仿宋"/>
                <w:szCs w:val="32"/>
              </w:rPr>
              <w:t>100个城市消费者满意度得分</w:t>
            </w:r>
            <w:r w:rsidR="00FB6868">
              <w:rPr>
                <w:rFonts w:ascii="仿宋" w:eastAsia="仿宋" w:hAnsi="仿宋" w:cs="仿宋" w:hint="eastAsia"/>
                <w:szCs w:val="32"/>
              </w:rPr>
              <w:t>及总排名</w:t>
            </w:r>
            <w:r w:rsidR="00FB6868">
              <w:tab/>
            </w:r>
            <w:r w:rsidR="00FB6868">
              <w:fldChar w:fldCharType="begin"/>
            </w:r>
            <w:r w:rsidR="00FB6868">
              <w:instrText xml:space="preserve"> PAGEREF _Toc2064 \h </w:instrText>
            </w:r>
            <w:r w:rsidR="00FB6868">
              <w:fldChar w:fldCharType="separate"/>
            </w:r>
            <w:r w:rsidR="00FB6868">
              <w:t>- 32 -</w:t>
            </w:r>
            <w:r w:rsidR="00FB6868">
              <w:fldChar w:fldCharType="end"/>
            </w:r>
          </w:hyperlink>
        </w:p>
        <w:p w:rsidR="002D6C73" w:rsidRDefault="00561310">
          <w:pPr>
            <w:pStyle w:val="TOC3"/>
            <w:tabs>
              <w:tab w:val="right" w:leader="dot" w:pos="8306"/>
            </w:tabs>
            <w:ind w:left="960"/>
          </w:pPr>
          <w:hyperlink w:anchor="_Toc19481" w:history="1">
            <w:r w:rsidR="00FB6868">
              <w:rPr>
                <w:rFonts w:ascii="仿宋" w:eastAsia="仿宋" w:hAnsi="仿宋" w:cs="仿宋" w:hint="eastAsia"/>
                <w:szCs w:val="32"/>
              </w:rPr>
              <w:t>（二）基于社会消费品零售总额分类的各城市得分</w:t>
            </w:r>
            <w:r w:rsidR="00FB6868">
              <w:tab/>
            </w:r>
            <w:r w:rsidR="00FB6868">
              <w:fldChar w:fldCharType="begin"/>
            </w:r>
            <w:r w:rsidR="00FB6868">
              <w:instrText xml:space="preserve"> PAGEREF _Toc19481 \h </w:instrText>
            </w:r>
            <w:r w:rsidR="00FB6868">
              <w:fldChar w:fldCharType="separate"/>
            </w:r>
            <w:r w:rsidR="00FB6868">
              <w:t>- 35 -</w:t>
            </w:r>
            <w:r w:rsidR="00FB6868">
              <w:fldChar w:fldCharType="end"/>
            </w:r>
          </w:hyperlink>
        </w:p>
        <w:p w:rsidR="002D6C73" w:rsidRDefault="00561310">
          <w:pPr>
            <w:pStyle w:val="TOC3"/>
            <w:tabs>
              <w:tab w:val="right" w:leader="dot" w:pos="8306"/>
            </w:tabs>
            <w:ind w:left="960"/>
          </w:pPr>
          <w:hyperlink w:anchor="_Toc18381" w:history="1">
            <w:r w:rsidR="00FB6868">
              <w:rPr>
                <w:rFonts w:ascii="仿宋" w:eastAsia="仿宋" w:hAnsi="仿宋" w:cs="仿宋" w:hint="eastAsia"/>
                <w:szCs w:val="32"/>
              </w:rPr>
              <w:t>（三）基于行政层级分类的各城市得分</w:t>
            </w:r>
            <w:r w:rsidR="00FB6868">
              <w:tab/>
            </w:r>
            <w:r w:rsidR="00FB6868">
              <w:fldChar w:fldCharType="begin"/>
            </w:r>
            <w:r w:rsidR="00FB6868">
              <w:instrText xml:space="preserve"> PAGEREF _Toc18381 \h </w:instrText>
            </w:r>
            <w:r w:rsidR="00FB6868">
              <w:fldChar w:fldCharType="separate"/>
            </w:r>
            <w:r w:rsidR="00FB6868">
              <w:t>- 38 -</w:t>
            </w:r>
            <w:r w:rsidR="00FB6868">
              <w:fldChar w:fldCharType="end"/>
            </w:r>
          </w:hyperlink>
        </w:p>
        <w:p w:rsidR="002D6C73" w:rsidRDefault="00561310">
          <w:pPr>
            <w:pStyle w:val="TOC3"/>
            <w:tabs>
              <w:tab w:val="right" w:leader="dot" w:pos="8306"/>
            </w:tabs>
            <w:ind w:left="960"/>
          </w:pPr>
          <w:hyperlink w:anchor="_Toc16311" w:history="1">
            <w:r w:rsidR="00FB6868">
              <w:rPr>
                <w:rFonts w:ascii="仿宋" w:eastAsia="仿宋" w:hAnsi="仿宋" w:cs="仿宋" w:hint="eastAsia"/>
                <w:szCs w:val="32"/>
              </w:rPr>
              <w:t>（四）基于城市规模分类的各城市得分</w:t>
            </w:r>
            <w:r w:rsidR="00FB6868">
              <w:tab/>
            </w:r>
            <w:r w:rsidR="00FB6868">
              <w:fldChar w:fldCharType="begin"/>
            </w:r>
            <w:r w:rsidR="00FB6868">
              <w:instrText xml:space="preserve"> PAGEREF _Toc16311 \h </w:instrText>
            </w:r>
            <w:r w:rsidR="00FB6868">
              <w:fldChar w:fldCharType="separate"/>
            </w:r>
            <w:r w:rsidR="00FB6868">
              <w:t>- 40 -</w:t>
            </w:r>
            <w:r w:rsidR="00FB6868">
              <w:fldChar w:fldCharType="end"/>
            </w:r>
          </w:hyperlink>
        </w:p>
        <w:p w:rsidR="002D6C73" w:rsidRDefault="00561310">
          <w:pPr>
            <w:pStyle w:val="TOC3"/>
            <w:tabs>
              <w:tab w:val="right" w:leader="dot" w:pos="8306"/>
            </w:tabs>
            <w:ind w:left="960"/>
          </w:pPr>
          <w:hyperlink w:anchor="_Toc3991" w:history="1">
            <w:r w:rsidR="00FB6868">
              <w:rPr>
                <w:rFonts w:ascii="仿宋" w:eastAsia="仿宋" w:hAnsi="仿宋" w:cs="仿宋" w:hint="eastAsia"/>
                <w:szCs w:val="32"/>
              </w:rPr>
              <w:t>（五）基于三大地理地区分类的各城市得分</w:t>
            </w:r>
            <w:r w:rsidR="00FB6868">
              <w:tab/>
            </w:r>
            <w:r w:rsidR="00FB6868">
              <w:fldChar w:fldCharType="begin"/>
            </w:r>
            <w:r w:rsidR="00FB6868">
              <w:instrText xml:space="preserve"> PAGEREF _Toc3991 \h </w:instrText>
            </w:r>
            <w:r w:rsidR="00FB6868">
              <w:fldChar w:fldCharType="separate"/>
            </w:r>
            <w:r w:rsidR="00FB6868">
              <w:t>- 43 -</w:t>
            </w:r>
            <w:r w:rsidR="00FB6868">
              <w:fldChar w:fldCharType="end"/>
            </w:r>
          </w:hyperlink>
        </w:p>
        <w:p w:rsidR="002D6C73" w:rsidRDefault="00561310">
          <w:pPr>
            <w:pStyle w:val="TOC3"/>
            <w:tabs>
              <w:tab w:val="right" w:leader="dot" w:pos="8306"/>
            </w:tabs>
            <w:ind w:left="960"/>
          </w:pPr>
          <w:hyperlink w:anchor="_Toc20239" w:history="1">
            <w:r w:rsidR="00FB6868">
              <w:rPr>
                <w:rFonts w:ascii="仿宋" w:eastAsia="仿宋" w:hAnsi="仿宋" w:cs="仿宋" w:hint="eastAsia"/>
                <w:szCs w:val="32"/>
              </w:rPr>
              <w:t>（六）基于七大地理地区分类的各城市得分</w:t>
            </w:r>
            <w:r w:rsidR="00FB6868">
              <w:tab/>
            </w:r>
            <w:r w:rsidR="00FB6868">
              <w:fldChar w:fldCharType="begin"/>
            </w:r>
            <w:r w:rsidR="00FB6868">
              <w:instrText xml:space="preserve"> PAGEREF _Toc20239 \h </w:instrText>
            </w:r>
            <w:r w:rsidR="00FB6868">
              <w:fldChar w:fldCharType="separate"/>
            </w:r>
            <w:r w:rsidR="00FB6868">
              <w:t>- 45 -</w:t>
            </w:r>
            <w:r w:rsidR="00FB6868">
              <w:fldChar w:fldCharType="end"/>
            </w:r>
          </w:hyperlink>
        </w:p>
        <w:p w:rsidR="002D6C73" w:rsidRDefault="00561310">
          <w:pPr>
            <w:pStyle w:val="TOC2"/>
            <w:tabs>
              <w:tab w:val="right" w:leader="dot" w:pos="8306"/>
            </w:tabs>
            <w:ind w:left="480"/>
          </w:pPr>
          <w:hyperlink w:anchor="_Toc16777" w:history="1">
            <w:r w:rsidR="00FB6868">
              <w:rPr>
                <w:rFonts w:ascii="黑体" w:eastAsia="黑体" w:hAnsi="黑体" w:cs="黑体" w:hint="eastAsia"/>
                <w:bCs/>
                <w:iCs/>
                <w:szCs w:val="32"/>
              </w:rPr>
              <w:t>二、100个城市一级指标得分情况</w:t>
            </w:r>
            <w:r w:rsidR="00FB6868">
              <w:tab/>
            </w:r>
            <w:r w:rsidR="00FB6868">
              <w:fldChar w:fldCharType="begin"/>
            </w:r>
            <w:r w:rsidR="00FB6868">
              <w:instrText xml:space="preserve"> PAGEREF _Toc16777 \h </w:instrText>
            </w:r>
            <w:r w:rsidR="00FB6868">
              <w:fldChar w:fldCharType="separate"/>
            </w:r>
            <w:r w:rsidR="00FB6868">
              <w:t>- 50 -</w:t>
            </w:r>
            <w:r w:rsidR="00FB6868">
              <w:fldChar w:fldCharType="end"/>
            </w:r>
          </w:hyperlink>
        </w:p>
        <w:p w:rsidR="002D6C73" w:rsidRDefault="00561310">
          <w:pPr>
            <w:pStyle w:val="TOC2"/>
            <w:tabs>
              <w:tab w:val="right" w:leader="dot" w:pos="8306"/>
            </w:tabs>
            <w:ind w:left="480"/>
          </w:pPr>
          <w:hyperlink w:anchor="_Toc23780" w:history="1">
            <w:r w:rsidR="00FB6868">
              <w:rPr>
                <w:rFonts w:ascii="黑体" w:eastAsia="黑体" w:hAnsi="黑体" w:cs="黑体" w:hint="eastAsia"/>
                <w:bCs/>
                <w:iCs/>
                <w:szCs w:val="32"/>
              </w:rPr>
              <w:t>三、100个城市二级指标得分情况</w:t>
            </w:r>
            <w:r w:rsidR="00FB6868">
              <w:tab/>
            </w:r>
            <w:r w:rsidR="00FB6868">
              <w:fldChar w:fldCharType="begin"/>
            </w:r>
            <w:r w:rsidR="00FB6868">
              <w:instrText xml:space="preserve"> PAGEREF _Toc23780 \h </w:instrText>
            </w:r>
            <w:r w:rsidR="00FB6868">
              <w:fldChar w:fldCharType="separate"/>
            </w:r>
            <w:r w:rsidR="00FB6868">
              <w:t>- 58 -</w:t>
            </w:r>
            <w:r w:rsidR="00FB6868">
              <w:fldChar w:fldCharType="end"/>
            </w:r>
          </w:hyperlink>
        </w:p>
        <w:p w:rsidR="002D6C73" w:rsidRDefault="00561310">
          <w:pPr>
            <w:pStyle w:val="TOC2"/>
            <w:tabs>
              <w:tab w:val="right" w:leader="dot" w:pos="8306"/>
            </w:tabs>
            <w:ind w:left="480"/>
          </w:pPr>
          <w:hyperlink w:anchor="_Toc25132" w:history="1">
            <w:r w:rsidR="00FB6868">
              <w:rPr>
                <w:rFonts w:ascii="黑体" w:eastAsia="黑体" w:hAnsi="黑体" w:cs="黑体" w:hint="eastAsia"/>
                <w:bCs/>
                <w:iCs/>
                <w:szCs w:val="32"/>
              </w:rPr>
              <w:t>四、100个城市满意度得分历年对比情况</w:t>
            </w:r>
            <w:r w:rsidR="00FB6868">
              <w:tab/>
            </w:r>
            <w:r w:rsidR="00FB6868">
              <w:fldChar w:fldCharType="begin"/>
            </w:r>
            <w:r w:rsidR="00FB6868">
              <w:instrText xml:space="preserve"> PAGEREF _Toc25132 \h </w:instrText>
            </w:r>
            <w:r w:rsidR="00FB6868">
              <w:fldChar w:fldCharType="separate"/>
            </w:r>
            <w:r w:rsidR="00FB6868">
              <w:t>- 70 -</w:t>
            </w:r>
            <w:r w:rsidR="00FB6868">
              <w:fldChar w:fldCharType="end"/>
            </w:r>
          </w:hyperlink>
        </w:p>
        <w:p w:rsidR="002D6C73" w:rsidRDefault="00561310">
          <w:pPr>
            <w:pStyle w:val="TOC3"/>
            <w:tabs>
              <w:tab w:val="right" w:leader="dot" w:pos="8306"/>
            </w:tabs>
            <w:ind w:left="960"/>
          </w:pPr>
          <w:hyperlink w:anchor="_Toc32062" w:history="1">
            <w:r w:rsidR="00FB6868">
              <w:rPr>
                <w:rFonts w:ascii="仿宋" w:eastAsia="仿宋" w:hAnsi="仿宋" w:cs="仿宋" w:hint="eastAsia"/>
                <w:szCs w:val="32"/>
              </w:rPr>
              <w:t>（一）2020-2021年城市满意度得分对比</w:t>
            </w:r>
            <w:r w:rsidR="00FB6868">
              <w:tab/>
            </w:r>
            <w:r w:rsidR="00FB6868">
              <w:fldChar w:fldCharType="begin"/>
            </w:r>
            <w:r w:rsidR="00FB6868">
              <w:instrText xml:space="preserve"> PAGEREF _Toc32062 \h </w:instrText>
            </w:r>
            <w:r w:rsidR="00FB6868">
              <w:fldChar w:fldCharType="separate"/>
            </w:r>
            <w:r w:rsidR="00FB6868">
              <w:t>- 70 -</w:t>
            </w:r>
            <w:r w:rsidR="00FB6868">
              <w:fldChar w:fldCharType="end"/>
            </w:r>
          </w:hyperlink>
        </w:p>
        <w:p w:rsidR="002D6C73" w:rsidRDefault="00561310">
          <w:pPr>
            <w:pStyle w:val="TOC3"/>
            <w:tabs>
              <w:tab w:val="right" w:leader="dot" w:pos="8306"/>
            </w:tabs>
            <w:ind w:left="960"/>
          </w:pPr>
          <w:hyperlink w:anchor="_Toc22650" w:history="1">
            <w:r w:rsidR="00FB6868">
              <w:rPr>
                <w:rFonts w:ascii="仿宋" w:eastAsia="仿宋" w:hAnsi="仿宋" w:cs="仿宋" w:hint="eastAsia"/>
                <w:szCs w:val="32"/>
              </w:rPr>
              <w:t>（二）2017-2021年城市满意度得分对比</w:t>
            </w:r>
            <w:r w:rsidR="00FB6868">
              <w:tab/>
            </w:r>
            <w:r w:rsidR="00FB6868">
              <w:fldChar w:fldCharType="begin"/>
            </w:r>
            <w:r w:rsidR="00FB6868">
              <w:instrText xml:space="preserve"> PAGEREF _Toc22650 \h </w:instrText>
            </w:r>
            <w:r w:rsidR="00FB6868">
              <w:fldChar w:fldCharType="separate"/>
            </w:r>
            <w:r w:rsidR="00FB6868">
              <w:t>- 72 -</w:t>
            </w:r>
            <w:r w:rsidR="00FB6868">
              <w:fldChar w:fldCharType="end"/>
            </w:r>
          </w:hyperlink>
        </w:p>
        <w:p w:rsidR="002D6C73" w:rsidRDefault="00561310">
          <w:pPr>
            <w:pStyle w:val="TOC2"/>
            <w:tabs>
              <w:tab w:val="right" w:leader="dot" w:pos="8306"/>
            </w:tabs>
            <w:ind w:left="480"/>
          </w:pPr>
          <w:hyperlink w:anchor="_Toc31196" w:history="1">
            <w:r w:rsidR="00FB6868">
              <w:rPr>
                <w:rFonts w:ascii="黑体" w:eastAsia="黑体" w:hAnsi="黑体" w:cs="黑体" w:hint="eastAsia"/>
                <w:bCs/>
                <w:iCs/>
                <w:szCs w:val="32"/>
              </w:rPr>
              <w:t>五、100个城市消费信心情况对比</w:t>
            </w:r>
            <w:r w:rsidR="00FB6868">
              <w:tab/>
            </w:r>
            <w:r w:rsidR="00FB6868">
              <w:fldChar w:fldCharType="begin"/>
            </w:r>
            <w:r w:rsidR="00FB6868">
              <w:instrText xml:space="preserve"> PAGEREF _Toc31196 \h </w:instrText>
            </w:r>
            <w:r w:rsidR="00FB6868">
              <w:fldChar w:fldCharType="separate"/>
            </w:r>
            <w:r w:rsidR="00FB6868">
              <w:t>- 80 -</w:t>
            </w:r>
            <w:r w:rsidR="00FB6868">
              <w:fldChar w:fldCharType="end"/>
            </w:r>
          </w:hyperlink>
        </w:p>
        <w:p w:rsidR="002D6C73" w:rsidRDefault="00561310">
          <w:pPr>
            <w:pStyle w:val="TOC3"/>
            <w:tabs>
              <w:tab w:val="right" w:leader="dot" w:pos="8306"/>
            </w:tabs>
            <w:ind w:left="960"/>
          </w:pPr>
          <w:hyperlink w:anchor="_Toc4901" w:history="1">
            <w:r w:rsidR="00FB6868">
              <w:rPr>
                <w:rFonts w:ascii="仿宋" w:eastAsia="仿宋" w:hAnsi="仿宋" w:cs="仿宋" w:hint="eastAsia"/>
                <w:szCs w:val="32"/>
              </w:rPr>
              <w:t>（一）消费者对于未来一年经济形势的预期</w:t>
            </w:r>
            <w:r w:rsidR="00FB6868">
              <w:tab/>
            </w:r>
            <w:r w:rsidR="00FB6868">
              <w:fldChar w:fldCharType="begin"/>
            </w:r>
            <w:r w:rsidR="00FB6868">
              <w:instrText xml:space="preserve"> PAGEREF _Toc4901 \h </w:instrText>
            </w:r>
            <w:r w:rsidR="00FB6868">
              <w:fldChar w:fldCharType="separate"/>
            </w:r>
            <w:r w:rsidR="00FB6868">
              <w:t>- 80 -</w:t>
            </w:r>
            <w:r w:rsidR="00FB6868">
              <w:fldChar w:fldCharType="end"/>
            </w:r>
          </w:hyperlink>
        </w:p>
        <w:p w:rsidR="002D6C73" w:rsidRDefault="00561310">
          <w:pPr>
            <w:pStyle w:val="TOC3"/>
            <w:tabs>
              <w:tab w:val="right" w:leader="dot" w:pos="8306"/>
            </w:tabs>
            <w:ind w:left="960"/>
          </w:pPr>
          <w:hyperlink w:anchor="_Toc19183" w:history="1">
            <w:r w:rsidR="00FB6868">
              <w:rPr>
                <w:rFonts w:ascii="仿宋" w:eastAsia="仿宋" w:hAnsi="仿宋" w:cs="仿宋" w:hint="eastAsia"/>
                <w:szCs w:val="32"/>
              </w:rPr>
              <w:t>（二）消费者对于未来一年的支出计划</w:t>
            </w:r>
            <w:r w:rsidR="00FB6868">
              <w:tab/>
            </w:r>
            <w:r w:rsidR="00FB6868">
              <w:fldChar w:fldCharType="begin"/>
            </w:r>
            <w:r w:rsidR="00FB6868">
              <w:instrText xml:space="preserve"> PAGEREF _Toc19183 \h </w:instrText>
            </w:r>
            <w:r w:rsidR="00FB6868">
              <w:fldChar w:fldCharType="separate"/>
            </w:r>
            <w:r w:rsidR="00FB6868">
              <w:t>- 81 -</w:t>
            </w:r>
            <w:r w:rsidR="00FB6868">
              <w:fldChar w:fldCharType="end"/>
            </w:r>
          </w:hyperlink>
        </w:p>
        <w:p w:rsidR="002D6C73" w:rsidRDefault="00561310">
          <w:pPr>
            <w:pStyle w:val="TOC3"/>
            <w:tabs>
              <w:tab w:val="right" w:leader="dot" w:pos="8306"/>
            </w:tabs>
            <w:ind w:left="960"/>
          </w:pPr>
          <w:hyperlink w:anchor="_Toc25810" w:history="1">
            <w:r w:rsidR="00FB6868">
              <w:rPr>
                <w:rFonts w:ascii="仿宋" w:eastAsia="仿宋" w:hAnsi="仿宋" w:cs="仿宋" w:hint="eastAsia"/>
                <w:szCs w:val="32"/>
              </w:rPr>
              <w:t>（三）消费者对于未来一年的消费信心</w:t>
            </w:r>
            <w:r w:rsidR="00FB6868">
              <w:tab/>
            </w:r>
            <w:r w:rsidR="00FB6868">
              <w:fldChar w:fldCharType="begin"/>
            </w:r>
            <w:r w:rsidR="00FB6868">
              <w:instrText xml:space="preserve"> PAGEREF _Toc25810 \h </w:instrText>
            </w:r>
            <w:r w:rsidR="00FB6868">
              <w:fldChar w:fldCharType="separate"/>
            </w:r>
            <w:r w:rsidR="00FB6868">
              <w:t>- 81 -</w:t>
            </w:r>
            <w:r w:rsidR="00FB6868">
              <w:fldChar w:fldCharType="end"/>
            </w:r>
          </w:hyperlink>
        </w:p>
        <w:p w:rsidR="002D6C73" w:rsidRDefault="00561310">
          <w:pPr>
            <w:pStyle w:val="TOC1"/>
            <w:tabs>
              <w:tab w:val="right" w:leader="dot" w:pos="8306"/>
            </w:tabs>
          </w:pPr>
          <w:hyperlink w:anchor="_Toc11993" w:history="1">
            <w:r w:rsidR="00FB6868">
              <w:rPr>
                <w:rFonts w:ascii="方正小标宋简体" w:eastAsia="方正小标宋简体" w:hAnsi="华文中宋" w:cs="华文中宋" w:hint="eastAsia"/>
                <w:bCs/>
                <w:szCs w:val="28"/>
              </w:rPr>
              <w:t>第五部分  关于提高消费者满意度的建议</w:t>
            </w:r>
            <w:r w:rsidR="00FB6868">
              <w:tab/>
            </w:r>
            <w:r w:rsidR="00FB6868">
              <w:fldChar w:fldCharType="begin"/>
            </w:r>
            <w:r w:rsidR="00FB6868">
              <w:instrText xml:space="preserve"> PAGEREF _Toc11993 \h </w:instrText>
            </w:r>
            <w:r w:rsidR="00FB6868">
              <w:fldChar w:fldCharType="separate"/>
            </w:r>
            <w:r w:rsidR="00FB6868">
              <w:t>- 83 -</w:t>
            </w:r>
            <w:r w:rsidR="00FB6868">
              <w:fldChar w:fldCharType="end"/>
            </w:r>
          </w:hyperlink>
        </w:p>
        <w:p w:rsidR="002D6C73" w:rsidRDefault="00561310">
          <w:pPr>
            <w:pStyle w:val="TOC2"/>
            <w:tabs>
              <w:tab w:val="right" w:leader="dot" w:pos="8306"/>
            </w:tabs>
            <w:ind w:left="480"/>
          </w:pPr>
          <w:hyperlink w:anchor="_Toc14181" w:history="1">
            <w:r w:rsidR="00FB6868">
              <w:rPr>
                <w:rFonts w:ascii="黑体" w:eastAsia="黑体" w:hAnsi="黑体" w:cs="黑体" w:hint="eastAsia"/>
                <w:bCs/>
                <w:iCs/>
                <w:szCs w:val="32"/>
              </w:rPr>
              <w:t>一、持续优化消费供给，深入激发消费潜力</w:t>
            </w:r>
            <w:r w:rsidR="00FB6868">
              <w:tab/>
            </w:r>
            <w:r w:rsidR="00FB6868">
              <w:fldChar w:fldCharType="begin"/>
            </w:r>
            <w:r w:rsidR="00FB6868">
              <w:instrText xml:space="preserve"> PAGEREF _Toc14181 \h </w:instrText>
            </w:r>
            <w:r w:rsidR="00FB6868">
              <w:fldChar w:fldCharType="separate"/>
            </w:r>
            <w:r w:rsidR="00FB6868">
              <w:t>- 83 -</w:t>
            </w:r>
            <w:r w:rsidR="00FB6868">
              <w:fldChar w:fldCharType="end"/>
            </w:r>
          </w:hyperlink>
        </w:p>
        <w:p w:rsidR="002D6C73" w:rsidRDefault="00561310">
          <w:pPr>
            <w:pStyle w:val="TOC2"/>
            <w:tabs>
              <w:tab w:val="right" w:leader="dot" w:pos="8306"/>
            </w:tabs>
            <w:ind w:left="480"/>
          </w:pPr>
          <w:hyperlink w:anchor="_Toc8397" w:history="1">
            <w:r w:rsidR="00FB6868">
              <w:rPr>
                <w:rFonts w:ascii="黑体" w:eastAsia="黑体" w:hAnsi="黑体" w:cs="黑体" w:hint="eastAsia"/>
                <w:bCs/>
                <w:iCs/>
                <w:szCs w:val="32"/>
              </w:rPr>
              <w:t>二、全面改善消费环境，大力提升消费信心</w:t>
            </w:r>
            <w:r w:rsidR="00FB6868">
              <w:tab/>
            </w:r>
            <w:r w:rsidR="00FB6868">
              <w:fldChar w:fldCharType="begin"/>
            </w:r>
            <w:r w:rsidR="00FB6868">
              <w:instrText xml:space="preserve"> PAGEREF _Toc8397 \h </w:instrText>
            </w:r>
            <w:r w:rsidR="00FB6868">
              <w:fldChar w:fldCharType="separate"/>
            </w:r>
            <w:r w:rsidR="00FB6868">
              <w:t>- 84 -</w:t>
            </w:r>
            <w:r w:rsidR="00FB6868">
              <w:fldChar w:fldCharType="end"/>
            </w:r>
          </w:hyperlink>
        </w:p>
        <w:p w:rsidR="002D6C73" w:rsidRDefault="00561310">
          <w:pPr>
            <w:pStyle w:val="TOC2"/>
            <w:tabs>
              <w:tab w:val="right" w:leader="dot" w:pos="8306"/>
            </w:tabs>
            <w:ind w:left="480"/>
          </w:pPr>
          <w:hyperlink w:anchor="_Toc30366" w:history="1">
            <w:r w:rsidR="00FB6868">
              <w:rPr>
                <w:rFonts w:ascii="黑体" w:eastAsia="黑体" w:hAnsi="黑体" w:cs="黑体" w:hint="eastAsia"/>
                <w:bCs/>
                <w:iCs/>
                <w:szCs w:val="32"/>
              </w:rPr>
              <w:t>三、加速完善维权体系，切实强化权益保护</w:t>
            </w:r>
            <w:r w:rsidR="00FB6868">
              <w:tab/>
            </w:r>
            <w:r w:rsidR="00FB6868">
              <w:fldChar w:fldCharType="begin"/>
            </w:r>
            <w:r w:rsidR="00FB6868">
              <w:instrText xml:space="preserve"> PAGEREF _Toc30366 \h </w:instrText>
            </w:r>
            <w:r w:rsidR="00FB6868">
              <w:fldChar w:fldCharType="separate"/>
            </w:r>
            <w:r w:rsidR="00FB6868">
              <w:t>- 85 -</w:t>
            </w:r>
            <w:r w:rsidR="00FB6868">
              <w:fldChar w:fldCharType="end"/>
            </w:r>
          </w:hyperlink>
        </w:p>
        <w:p w:rsidR="002D6C73" w:rsidRDefault="00561310">
          <w:pPr>
            <w:pStyle w:val="TOC2"/>
            <w:tabs>
              <w:tab w:val="right" w:leader="dot" w:pos="8306"/>
            </w:tabs>
            <w:ind w:left="480"/>
          </w:pPr>
          <w:hyperlink w:anchor="_Toc11647" w:history="1">
            <w:r w:rsidR="00FB6868">
              <w:rPr>
                <w:rFonts w:ascii="黑体" w:eastAsia="黑体" w:hAnsi="黑体" w:cs="黑体" w:hint="eastAsia"/>
                <w:bCs/>
                <w:iCs/>
                <w:szCs w:val="32"/>
              </w:rPr>
              <w:t>四、着力强化消费监管，不断提高监管效能</w:t>
            </w:r>
            <w:r w:rsidR="00FB6868">
              <w:tab/>
            </w:r>
            <w:r w:rsidR="00FB6868">
              <w:fldChar w:fldCharType="begin"/>
            </w:r>
            <w:r w:rsidR="00FB6868">
              <w:instrText xml:space="preserve"> PAGEREF _Toc11647 \h </w:instrText>
            </w:r>
            <w:r w:rsidR="00FB6868">
              <w:fldChar w:fldCharType="separate"/>
            </w:r>
            <w:r w:rsidR="00FB6868">
              <w:t>- 86 -</w:t>
            </w:r>
            <w:r w:rsidR="00FB6868">
              <w:fldChar w:fldCharType="end"/>
            </w:r>
          </w:hyperlink>
        </w:p>
        <w:p w:rsidR="002D6C73" w:rsidRDefault="00561310">
          <w:pPr>
            <w:pStyle w:val="TOC2"/>
            <w:tabs>
              <w:tab w:val="right" w:leader="dot" w:pos="8306"/>
            </w:tabs>
            <w:ind w:left="480"/>
          </w:pPr>
          <w:hyperlink w:anchor="_Toc21643" w:history="1">
            <w:r w:rsidR="00FB6868">
              <w:rPr>
                <w:rFonts w:ascii="黑体" w:eastAsia="黑体" w:hAnsi="黑体" w:cs="黑体" w:hint="eastAsia"/>
                <w:bCs/>
                <w:iCs/>
                <w:szCs w:val="32"/>
              </w:rPr>
              <w:t>五、注重加强区域互通，充分畅通市场循环</w:t>
            </w:r>
            <w:r w:rsidR="00FB6868">
              <w:tab/>
            </w:r>
            <w:r w:rsidR="00FB6868">
              <w:fldChar w:fldCharType="begin"/>
            </w:r>
            <w:r w:rsidR="00FB6868">
              <w:instrText xml:space="preserve"> PAGEREF _Toc21643 \h </w:instrText>
            </w:r>
            <w:r w:rsidR="00FB6868">
              <w:fldChar w:fldCharType="separate"/>
            </w:r>
            <w:r w:rsidR="00FB6868">
              <w:t>- 87 -</w:t>
            </w:r>
            <w:r w:rsidR="00FB6868">
              <w:fldChar w:fldCharType="end"/>
            </w:r>
          </w:hyperlink>
        </w:p>
        <w:p w:rsidR="002D6C73" w:rsidRDefault="00561310">
          <w:pPr>
            <w:pStyle w:val="TOC1"/>
            <w:tabs>
              <w:tab w:val="right" w:leader="dot" w:pos="8306"/>
            </w:tabs>
          </w:pPr>
          <w:hyperlink w:anchor="_Toc24137" w:history="1">
            <w:r w:rsidR="00FB6868">
              <w:rPr>
                <w:rFonts w:ascii="方正小标宋简体" w:eastAsia="方正小标宋简体" w:hAnsi="华文中宋" w:cs="华文中宋" w:hint="eastAsia"/>
                <w:bCs/>
                <w:szCs w:val="28"/>
              </w:rPr>
              <w:t>附  录</w:t>
            </w:r>
            <w:r w:rsidR="00FB6868">
              <w:tab/>
            </w:r>
            <w:r w:rsidR="00FB6868">
              <w:fldChar w:fldCharType="begin"/>
            </w:r>
            <w:r w:rsidR="00FB6868">
              <w:instrText xml:space="preserve"> PAGEREF _Toc24137 \h </w:instrText>
            </w:r>
            <w:r w:rsidR="00FB6868">
              <w:fldChar w:fldCharType="separate"/>
            </w:r>
            <w:r w:rsidR="00FB6868">
              <w:t>- 89 -</w:t>
            </w:r>
            <w:r w:rsidR="00FB6868">
              <w:fldChar w:fldCharType="end"/>
            </w:r>
          </w:hyperlink>
        </w:p>
        <w:p w:rsidR="002D6C73" w:rsidRDefault="00561310">
          <w:pPr>
            <w:pStyle w:val="TOC2"/>
            <w:tabs>
              <w:tab w:val="right" w:leader="dot" w:pos="8306"/>
            </w:tabs>
            <w:ind w:left="480"/>
          </w:pPr>
          <w:hyperlink w:anchor="_Toc24222" w:history="1">
            <w:r w:rsidR="00FB6868">
              <w:rPr>
                <w:rFonts w:ascii="黑体" w:eastAsia="黑体" w:hAnsi="黑体" w:cs="黑体" w:hint="eastAsia"/>
                <w:bCs/>
                <w:iCs/>
                <w:szCs w:val="28"/>
              </w:rPr>
              <w:t>附录1  100个城市常住人口及社会消费品零售总额</w:t>
            </w:r>
            <w:r w:rsidR="00FB6868">
              <w:tab/>
            </w:r>
            <w:r w:rsidR="00FB6868">
              <w:fldChar w:fldCharType="begin"/>
            </w:r>
            <w:r w:rsidR="00FB6868">
              <w:instrText xml:space="preserve"> PAGEREF _Toc24222 \h </w:instrText>
            </w:r>
            <w:r w:rsidR="00FB6868">
              <w:fldChar w:fldCharType="separate"/>
            </w:r>
            <w:r w:rsidR="00FB6868">
              <w:t>- 89 -</w:t>
            </w:r>
            <w:r w:rsidR="00FB6868">
              <w:fldChar w:fldCharType="end"/>
            </w:r>
          </w:hyperlink>
        </w:p>
        <w:p w:rsidR="002D6C73" w:rsidRDefault="00561310">
          <w:pPr>
            <w:pStyle w:val="TOC2"/>
            <w:tabs>
              <w:tab w:val="right" w:leader="dot" w:pos="8306"/>
            </w:tabs>
            <w:ind w:left="480"/>
          </w:pPr>
          <w:hyperlink w:anchor="_Toc30309" w:history="1">
            <w:r w:rsidR="00FB6868">
              <w:rPr>
                <w:rFonts w:ascii="黑体" w:eastAsia="黑体" w:hAnsi="黑体" w:cs="黑体" w:hint="eastAsia"/>
                <w:bCs/>
                <w:iCs/>
                <w:szCs w:val="28"/>
              </w:rPr>
              <w:t>附录2  根据人口与行政层级对城市的划分结果</w:t>
            </w:r>
            <w:r w:rsidR="00FB6868">
              <w:tab/>
            </w:r>
            <w:r w:rsidR="00FB6868">
              <w:fldChar w:fldCharType="begin"/>
            </w:r>
            <w:r w:rsidR="00FB6868">
              <w:instrText xml:space="preserve"> PAGEREF _Toc30309 \h </w:instrText>
            </w:r>
            <w:r w:rsidR="00FB6868">
              <w:fldChar w:fldCharType="separate"/>
            </w:r>
            <w:r w:rsidR="00FB6868">
              <w:t>- 92 -</w:t>
            </w:r>
            <w:r w:rsidR="00FB6868">
              <w:fldChar w:fldCharType="end"/>
            </w:r>
          </w:hyperlink>
        </w:p>
        <w:p w:rsidR="002D6C73" w:rsidRDefault="00561310">
          <w:pPr>
            <w:pStyle w:val="TOC2"/>
            <w:tabs>
              <w:tab w:val="right" w:leader="dot" w:pos="8306"/>
            </w:tabs>
            <w:ind w:left="480"/>
          </w:pPr>
          <w:hyperlink w:anchor="_Toc20586" w:history="1">
            <w:r w:rsidR="00FB6868">
              <w:rPr>
                <w:rFonts w:ascii="黑体" w:eastAsia="黑体" w:hAnsi="黑体" w:cs="黑体" w:hint="eastAsia"/>
                <w:bCs/>
                <w:iCs/>
                <w:szCs w:val="28"/>
              </w:rPr>
              <w:t>附录3  根据地理位置对城市的划分结果</w:t>
            </w:r>
            <w:r w:rsidR="00FB6868">
              <w:tab/>
            </w:r>
            <w:r w:rsidR="00FB6868">
              <w:fldChar w:fldCharType="begin"/>
            </w:r>
            <w:r w:rsidR="00FB6868">
              <w:instrText xml:space="preserve"> PAGEREF _Toc20586 \h </w:instrText>
            </w:r>
            <w:r w:rsidR="00FB6868">
              <w:fldChar w:fldCharType="separate"/>
            </w:r>
            <w:r w:rsidR="00FB6868">
              <w:t>- 96 -</w:t>
            </w:r>
            <w:r w:rsidR="00FB6868">
              <w:fldChar w:fldCharType="end"/>
            </w:r>
          </w:hyperlink>
        </w:p>
        <w:p w:rsidR="002D6C73" w:rsidRDefault="00561310">
          <w:pPr>
            <w:pStyle w:val="TOC2"/>
            <w:tabs>
              <w:tab w:val="right" w:leader="dot" w:pos="8306"/>
            </w:tabs>
            <w:ind w:left="480"/>
          </w:pPr>
          <w:hyperlink w:anchor="_Toc23356" w:history="1">
            <w:r w:rsidR="00FB6868">
              <w:rPr>
                <w:rFonts w:ascii="黑体" w:eastAsia="黑体" w:hAnsi="黑体" w:cs="黑体" w:hint="eastAsia"/>
                <w:bCs/>
                <w:iCs/>
                <w:szCs w:val="28"/>
              </w:rPr>
              <w:t>附录4  不同城市类别与不同消费群体满意度得分情况</w:t>
            </w:r>
            <w:r w:rsidR="00FB6868">
              <w:tab/>
            </w:r>
            <w:r w:rsidR="00FB6868">
              <w:fldChar w:fldCharType="begin"/>
            </w:r>
            <w:r w:rsidR="00FB6868">
              <w:instrText xml:space="preserve"> PAGEREF _Toc23356 \h </w:instrText>
            </w:r>
            <w:r w:rsidR="00FB6868">
              <w:fldChar w:fldCharType="separate"/>
            </w:r>
            <w:r w:rsidR="00FB6868">
              <w:t>- 100 -</w:t>
            </w:r>
            <w:r w:rsidR="00FB6868">
              <w:fldChar w:fldCharType="end"/>
            </w:r>
          </w:hyperlink>
        </w:p>
        <w:p w:rsidR="002D6C73" w:rsidRDefault="00561310">
          <w:pPr>
            <w:pStyle w:val="TOC2"/>
            <w:tabs>
              <w:tab w:val="right" w:leader="dot" w:pos="8306"/>
            </w:tabs>
            <w:ind w:left="480"/>
          </w:pPr>
          <w:hyperlink w:anchor="_Toc14676" w:history="1">
            <w:r w:rsidR="00FB6868">
              <w:rPr>
                <w:rFonts w:ascii="黑体" w:eastAsia="黑体" w:hAnsi="黑体" w:cs="黑体" w:hint="eastAsia"/>
                <w:bCs/>
                <w:iCs/>
                <w:szCs w:val="28"/>
              </w:rPr>
              <w:t>附录5  在线消费情况</w:t>
            </w:r>
            <w:r w:rsidR="00FB6868">
              <w:tab/>
            </w:r>
            <w:r w:rsidR="00FB6868">
              <w:fldChar w:fldCharType="begin"/>
            </w:r>
            <w:r w:rsidR="00FB6868">
              <w:instrText xml:space="preserve"> PAGEREF _Toc14676 \h </w:instrText>
            </w:r>
            <w:r w:rsidR="00FB6868">
              <w:fldChar w:fldCharType="separate"/>
            </w:r>
            <w:r w:rsidR="00FB6868">
              <w:t>- 111 -</w:t>
            </w:r>
            <w:r w:rsidR="00FB6868">
              <w:fldChar w:fldCharType="end"/>
            </w:r>
          </w:hyperlink>
        </w:p>
        <w:p w:rsidR="002D6C73" w:rsidRDefault="00FB6868">
          <w:r>
            <w:rPr>
              <w:rFonts w:ascii="华文中宋" w:eastAsia="华文中宋" w:hAnsi="华文中宋" w:cs="华文中宋"/>
              <w:szCs w:val="44"/>
            </w:rPr>
            <w:fldChar w:fldCharType="end"/>
          </w:r>
        </w:p>
      </w:sdtContent>
    </w:sdt>
    <w:p w:rsidR="002D6C73" w:rsidRDefault="00FB6868">
      <w:pPr>
        <w:sectPr w:rsidR="002D6C73">
          <w:footerReference w:type="default" r:id="rId10"/>
          <w:pgSz w:w="11906" w:h="16838"/>
          <w:pgMar w:top="1440" w:right="1800" w:bottom="1440" w:left="1800" w:header="851" w:footer="992" w:gutter="0"/>
          <w:pgNumType w:fmt="numberInDash" w:start="1"/>
          <w:cols w:space="425"/>
          <w:titlePg/>
          <w:docGrid w:type="lines" w:linePitch="326"/>
        </w:sectPr>
      </w:pPr>
      <w:r>
        <w:br w:type="page"/>
      </w:r>
    </w:p>
    <w:p w:rsidR="002D6C73" w:rsidRDefault="002D6C73"/>
    <w:p w:rsidR="002D6C73" w:rsidRDefault="00FB6868">
      <w:pPr>
        <w:pStyle w:val="1"/>
        <w:spacing w:beforeLines="150" w:before="489" w:afterLines="100" w:after="326"/>
        <w:jc w:val="center"/>
        <w:rPr>
          <w:rFonts w:ascii="方正小标宋简体" w:eastAsia="方正小标宋简体" w:hAnsi="华文中宋" w:cs="华文中宋"/>
          <w:b w:val="0"/>
          <w:bCs/>
          <w:sz w:val="40"/>
          <w:szCs w:val="36"/>
        </w:rPr>
      </w:pPr>
      <w:bookmarkStart w:id="1" w:name="_Toc17821"/>
      <w:r>
        <w:rPr>
          <w:rFonts w:ascii="方正小标宋简体" w:eastAsia="方正小标宋简体" w:hAnsi="华文中宋" w:cs="华文中宋" w:hint="eastAsia"/>
          <w:b w:val="0"/>
          <w:bCs/>
          <w:sz w:val="40"/>
          <w:szCs w:val="36"/>
        </w:rPr>
        <w:t>第一部分  消费者满意度测评工作背景</w:t>
      </w:r>
      <w:bookmarkEnd w:id="0"/>
      <w:bookmarkEnd w:id="1"/>
    </w:p>
    <w:p w:rsidR="002D6C73" w:rsidRDefault="00FB6868">
      <w:pPr>
        <w:spacing w:line="600" w:lineRule="exact"/>
        <w:ind w:firstLineChars="200" w:firstLine="640"/>
        <w:jc w:val="both"/>
        <w:rPr>
          <w:rFonts w:ascii="仿宋" w:eastAsia="仿宋" w:hAnsi="仿宋" w:cs="仿宋"/>
          <w:color w:val="1C1C1C"/>
          <w:sz w:val="32"/>
          <w:szCs w:val="32"/>
        </w:rPr>
      </w:pPr>
      <w:bookmarkStart w:id="2" w:name="_Toc62721746"/>
      <w:r>
        <w:rPr>
          <w:rFonts w:ascii="仿宋" w:eastAsia="仿宋" w:hAnsi="仿宋" w:cs="仿宋"/>
          <w:color w:val="1C1C1C"/>
          <w:sz w:val="32"/>
          <w:szCs w:val="32"/>
        </w:rPr>
        <w:t>2021年是党和国家历史上具有里程碑意义的一年。我们实现了第一个百年奋斗目标</w:t>
      </w:r>
      <w:r>
        <w:rPr>
          <w:rFonts w:ascii="仿宋" w:eastAsia="仿宋" w:hAnsi="仿宋" w:cs="仿宋" w:hint="eastAsia"/>
          <w:color w:val="1C1C1C"/>
          <w:sz w:val="32"/>
          <w:szCs w:val="32"/>
        </w:rPr>
        <w:t>——</w:t>
      </w:r>
      <w:r>
        <w:rPr>
          <w:rFonts w:ascii="仿宋" w:eastAsia="仿宋" w:hAnsi="仿宋" w:cs="仿宋"/>
          <w:color w:val="1C1C1C"/>
          <w:sz w:val="32"/>
          <w:szCs w:val="32"/>
        </w:rPr>
        <w:t>全面建成小康社会，消除了绝对贫困，改善了人民生活，为共同富裕创造了良好的条件。</w:t>
      </w:r>
      <w:r>
        <w:rPr>
          <w:rFonts w:ascii="仿宋" w:eastAsia="仿宋" w:hAnsi="仿宋" w:cs="仿宋" w:hint="eastAsia"/>
          <w:color w:val="1C1C1C"/>
          <w:sz w:val="32"/>
          <w:szCs w:val="32"/>
        </w:rPr>
        <w:t>同时，开启了迈向</w:t>
      </w:r>
      <w:r>
        <w:rPr>
          <w:rFonts w:ascii="仿宋" w:eastAsia="仿宋" w:hAnsi="仿宋" w:cs="仿宋"/>
          <w:color w:val="1C1C1C"/>
          <w:sz w:val="32"/>
          <w:szCs w:val="32"/>
        </w:rPr>
        <w:t>第二个百年奋斗目标</w:t>
      </w:r>
      <w:r>
        <w:rPr>
          <w:rFonts w:ascii="仿宋" w:eastAsia="仿宋" w:hAnsi="仿宋" w:cs="仿宋" w:hint="eastAsia"/>
          <w:color w:val="1C1C1C"/>
          <w:sz w:val="32"/>
          <w:szCs w:val="32"/>
        </w:rPr>
        <w:t>——建成富强民主文明和谐美丽的社会主义现代化强国的新征程</w:t>
      </w:r>
      <w:r>
        <w:rPr>
          <w:rFonts w:ascii="仿宋" w:eastAsia="仿宋" w:hAnsi="仿宋" w:cs="仿宋"/>
          <w:color w:val="1C1C1C"/>
          <w:sz w:val="32"/>
          <w:szCs w:val="32"/>
        </w:rPr>
        <w:t>，这标志着我国进入了一个新发展阶段。习近平</w:t>
      </w:r>
      <w:r>
        <w:rPr>
          <w:rFonts w:ascii="仿宋" w:eastAsia="仿宋" w:hAnsi="仿宋" w:cs="仿宋" w:hint="eastAsia"/>
          <w:color w:val="1C1C1C"/>
          <w:sz w:val="32"/>
          <w:szCs w:val="32"/>
        </w:rPr>
        <w:t>总书记</w:t>
      </w:r>
      <w:r>
        <w:rPr>
          <w:rFonts w:ascii="仿宋" w:eastAsia="仿宋" w:hAnsi="仿宋" w:cs="仿宋"/>
          <w:color w:val="1C1C1C"/>
          <w:sz w:val="32"/>
          <w:szCs w:val="32"/>
        </w:rPr>
        <w:t>指出，</w:t>
      </w:r>
      <w:r>
        <w:rPr>
          <w:rFonts w:ascii="仿宋" w:eastAsia="仿宋" w:hAnsi="仿宋" w:cs="仿宋" w:hint="eastAsia"/>
          <w:color w:val="1C1C1C"/>
          <w:sz w:val="32"/>
          <w:szCs w:val="32"/>
        </w:rPr>
        <w:t>在新的发展阶段应</w:t>
      </w:r>
      <w:r>
        <w:rPr>
          <w:rFonts w:ascii="仿宋" w:eastAsia="仿宋" w:hAnsi="仿宋" w:cs="仿宋"/>
          <w:color w:val="1C1C1C"/>
          <w:sz w:val="32"/>
          <w:szCs w:val="32"/>
        </w:rPr>
        <w:t>加快构建以国内大循环为主体、国内国际双循环相互促进的新发展格局。</w:t>
      </w:r>
      <w:r>
        <w:rPr>
          <w:rFonts w:ascii="仿宋" w:eastAsia="仿宋" w:hAnsi="仿宋" w:cs="仿宋" w:hint="eastAsia"/>
          <w:color w:val="1C1C1C"/>
          <w:sz w:val="32"/>
          <w:szCs w:val="32"/>
        </w:rPr>
        <w:t>“</w:t>
      </w:r>
      <w:r>
        <w:rPr>
          <w:rFonts w:ascii="仿宋" w:eastAsia="仿宋" w:hAnsi="仿宋" w:cs="仿宋"/>
          <w:color w:val="1C1C1C"/>
          <w:sz w:val="32"/>
          <w:szCs w:val="32"/>
        </w:rPr>
        <w:t>十四五</w:t>
      </w:r>
      <w:r>
        <w:rPr>
          <w:rFonts w:ascii="仿宋" w:eastAsia="仿宋" w:hAnsi="仿宋" w:cs="仿宋" w:hint="eastAsia"/>
          <w:color w:val="1C1C1C"/>
          <w:sz w:val="32"/>
          <w:szCs w:val="32"/>
        </w:rPr>
        <w:t>”</w:t>
      </w:r>
      <w:r>
        <w:rPr>
          <w:rFonts w:ascii="仿宋" w:eastAsia="仿宋" w:hAnsi="仿宋" w:cs="仿宋"/>
          <w:color w:val="1C1C1C"/>
          <w:sz w:val="32"/>
          <w:szCs w:val="32"/>
        </w:rPr>
        <w:t>规划和2035年远景目标纲要中提出，深入实施扩大内需战略，增强消费对经济发展的基础性作用和投资对优化供给结构的关键性作用，建设</w:t>
      </w:r>
      <w:r>
        <w:rPr>
          <w:rFonts w:ascii="仿宋" w:eastAsia="仿宋" w:hAnsi="仿宋" w:cs="仿宋" w:hint="eastAsia"/>
          <w:color w:val="1C1C1C"/>
          <w:sz w:val="32"/>
          <w:szCs w:val="32"/>
        </w:rPr>
        <w:t>消费和投资需求旺盛的强大国内市场。</w:t>
      </w:r>
    </w:p>
    <w:p w:rsidR="002D6C73" w:rsidRDefault="00FB6868">
      <w:pPr>
        <w:spacing w:line="60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立足新发展阶段，应当准确认识到消费对经济发展的基础性作用</w:t>
      </w:r>
      <w:r>
        <w:rPr>
          <w:rFonts w:ascii="仿宋" w:eastAsia="仿宋" w:hAnsi="仿宋" w:cs="仿宋"/>
          <w:color w:val="1C1C1C"/>
          <w:sz w:val="32"/>
          <w:szCs w:val="32"/>
        </w:rPr>
        <w:t>。</w:t>
      </w:r>
      <w:r>
        <w:rPr>
          <w:rFonts w:ascii="仿宋" w:eastAsia="仿宋" w:hAnsi="仿宋" w:cs="仿宋" w:hint="eastAsia"/>
          <w:color w:val="1C1C1C"/>
          <w:sz w:val="32"/>
          <w:szCs w:val="32"/>
        </w:rPr>
        <w:t>一方面是数量上的基础作用。消费已成为拉动经济社会发展的主将。</w:t>
      </w:r>
      <w:r>
        <w:rPr>
          <w:rFonts w:ascii="仿宋" w:eastAsia="仿宋" w:hAnsi="仿宋" w:cs="仿宋"/>
          <w:color w:val="1C1C1C"/>
          <w:sz w:val="32"/>
          <w:szCs w:val="32"/>
        </w:rPr>
        <w:t>2021年国民经济运行情况新闻发布会</w:t>
      </w:r>
      <w:r w:rsidR="00A04050">
        <w:rPr>
          <w:rFonts w:ascii="仿宋" w:eastAsia="仿宋" w:hAnsi="仿宋" w:cs="仿宋" w:hint="eastAsia"/>
          <w:color w:val="1C1C1C"/>
          <w:sz w:val="32"/>
          <w:szCs w:val="32"/>
        </w:rPr>
        <w:t>披露信息显示</w:t>
      </w:r>
      <w:r>
        <w:rPr>
          <w:rFonts w:ascii="仿宋" w:eastAsia="仿宋" w:hAnsi="仿宋" w:cs="仿宋" w:hint="eastAsia"/>
          <w:color w:val="1C1C1C"/>
          <w:sz w:val="32"/>
          <w:szCs w:val="32"/>
        </w:rPr>
        <w:t>，</w:t>
      </w:r>
      <w:r>
        <w:rPr>
          <w:rFonts w:ascii="仿宋" w:eastAsia="仿宋" w:hAnsi="仿宋" w:cs="仿宋"/>
          <w:color w:val="1C1C1C"/>
          <w:sz w:val="32"/>
          <w:szCs w:val="32"/>
        </w:rPr>
        <w:t>最终消费支出对经济增长贡献率为65.4%，拉动经济增长5.3个百分点。</w:t>
      </w:r>
      <w:r>
        <w:rPr>
          <w:rFonts w:ascii="仿宋" w:eastAsia="仿宋" w:hAnsi="仿宋" w:cs="仿宋" w:hint="eastAsia"/>
          <w:color w:val="1C1C1C"/>
          <w:sz w:val="32"/>
          <w:szCs w:val="32"/>
        </w:rPr>
        <w:t>不断增强的消费能力和</w:t>
      </w:r>
      <w:r w:rsidR="00A04050">
        <w:rPr>
          <w:rFonts w:ascii="仿宋" w:eastAsia="仿宋" w:hAnsi="仿宋" w:cs="仿宋" w:hint="eastAsia"/>
          <w:color w:val="1C1C1C"/>
          <w:sz w:val="32"/>
          <w:szCs w:val="32"/>
        </w:rPr>
        <w:t>持续活跃的消费</w:t>
      </w:r>
      <w:r>
        <w:rPr>
          <w:rFonts w:ascii="仿宋" w:eastAsia="仿宋" w:hAnsi="仿宋" w:cs="仿宋" w:hint="eastAsia"/>
          <w:color w:val="1C1C1C"/>
          <w:sz w:val="32"/>
          <w:szCs w:val="32"/>
        </w:rPr>
        <w:t>需求，</w:t>
      </w:r>
      <w:r w:rsidR="00A04050">
        <w:rPr>
          <w:rFonts w:ascii="仿宋" w:eastAsia="仿宋" w:hAnsi="仿宋" w:cs="仿宋" w:hint="eastAsia"/>
          <w:color w:val="1C1C1C"/>
          <w:sz w:val="32"/>
          <w:szCs w:val="32"/>
        </w:rPr>
        <w:t>有力</w:t>
      </w:r>
      <w:r>
        <w:rPr>
          <w:rFonts w:ascii="仿宋" w:eastAsia="仿宋" w:hAnsi="仿宋" w:cs="仿宋" w:hint="eastAsia"/>
          <w:color w:val="1C1C1C"/>
          <w:sz w:val="32"/>
          <w:szCs w:val="32"/>
        </w:rPr>
        <w:t>保障了后疫情时代下我国经济的稳定增长。</w:t>
      </w:r>
      <w:r>
        <w:rPr>
          <w:rFonts w:ascii="仿宋" w:eastAsia="仿宋" w:hAnsi="仿宋" w:cs="仿宋"/>
          <w:color w:val="1C1C1C"/>
          <w:sz w:val="32"/>
          <w:szCs w:val="32"/>
        </w:rPr>
        <w:t>2021年，全国居民人均可支配收入35128元，实际增长8.1%</w:t>
      </w:r>
      <w:r>
        <w:rPr>
          <w:rFonts w:ascii="仿宋" w:eastAsia="仿宋" w:hAnsi="仿宋" w:cs="仿宋" w:hint="eastAsia"/>
          <w:color w:val="1C1C1C"/>
          <w:sz w:val="32"/>
          <w:szCs w:val="32"/>
        </w:rPr>
        <w:t>（</w:t>
      </w:r>
      <w:r>
        <w:rPr>
          <w:rFonts w:ascii="仿宋" w:eastAsia="仿宋" w:hAnsi="仿宋" w:cs="仿宋"/>
          <w:color w:val="1C1C1C"/>
          <w:sz w:val="32"/>
          <w:szCs w:val="32"/>
        </w:rPr>
        <w:t>扣除价格因素后</w:t>
      </w:r>
      <w:r>
        <w:rPr>
          <w:rFonts w:ascii="仿宋" w:eastAsia="仿宋" w:hAnsi="仿宋" w:cs="仿宋" w:hint="eastAsia"/>
          <w:color w:val="1C1C1C"/>
          <w:sz w:val="32"/>
          <w:szCs w:val="32"/>
        </w:rPr>
        <w:t>）。另一方面是结构上的基础作用。消费结构的优化推动着企业和产业的生产结构的升级转型，消费</w:t>
      </w:r>
      <w:r>
        <w:rPr>
          <w:rFonts w:ascii="仿宋" w:eastAsia="仿宋" w:hAnsi="仿宋" w:cs="仿宋" w:hint="eastAsia"/>
          <w:color w:val="1C1C1C"/>
          <w:sz w:val="32"/>
          <w:szCs w:val="32"/>
        </w:rPr>
        <w:lastRenderedPageBreak/>
        <w:t>侧与供给</w:t>
      </w:r>
      <w:proofErr w:type="gramStart"/>
      <w:r>
        <w:rPr>
          <w:rFonts w:ascii="仿宋" w:eastAsia="仿宋" w:hAnsi="仿宋" w:cs="仿宋" w:hint="eastAsia"/>
          <w:color w:val="1C1C1C"/>
          <w:sz w:val="32"/>
          <w:szCs w:val="32"/>
        </w:rPr>
        <w:t>侧相互</w:t>
      </w:r>
      <w:proofErr w:type="gramEnd"/>
      <w:r>
        <w:rPr>
          <w:rFonts w:ascii="仿宋" w:eastAsia="仿宋" w:hAnsi="仿宋" w:cs="仿宋" w:hint="eastAsia"/>
          <w:color w:val="1C1C1C"/>
          <w:sz w:val="32"/>
          <w:szCs w:val="32"/>
        </w:rPr>
        <w:t>呼应、互相促进，进一步优化经济发展结构。党的十八大以来，以消费升级促进经济高质量发展成为宏观政策的重要导向。</w:t>
      </w:r>
    </w:p>
    <w:p w:rsidR="002D6C73" w:rsidRDefault="00FB6868">
      <w:pPr>
        <w:spacing w:line="60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一直以来，党中央、国务院高度重视消费持续健康发展和消费环境建设。近年来，</w:t>
      </w:r>
      <w:r>
        <w:rPr>
          <w:rFonts w:ascii="仿宋" w:eastAsia="仿宋" w:hAnsi="仿宋" w:cs="仿宋"/>
          <w:color w:val="1C1C1C"/>
          <w:sz w:val="32"/>
          <w:szCs w:val="32"/>
        </w:rPr>
        <w:t>《国务院办公厅关于以新业态新模式引领新型消费加快发展的意见》《加快培育新型消费实施方案》等一系列政策举措</w:t>
      </w:r>
      <w:r>
        <w:rPr>
          <w:rFonts w:ascii="仿宋" w:eastAsia="仿宋" w:hAnsi="仿宋" w:cs="仿宋" w:hint="eastAsia"/>
          <w:color w:val="1C1C1C"/>
          <w:sz w:val="32"/>
          <w:szCs w:val="32"/>
        </w:rPr>
        <w:t>，在营造良好消费环境、优化消费供给等方面做出重要部署。</w:t>
      </w:r>
      <w:r>
        <w:rPr>
          <w:rFonts w:ascii="仿宋" w:eastAsia="仿宋" w:hAnsi="仿宋" w:cs="仿宋"/>
          <w:color w:val="1C1C1C"/>
          <w:sz w:val="32"/>
          <w:szCs w:val="32"/>
        </w:rPr>
        <w:t>2021年，</w:t>
      </w:r>
      <w:r>
        <w:rPr>
          <w:rFonts w:ascii="仿宋" w:eastAsia="仿宋" w:hAnsi="仿宋" w:cs="仿宋" w:hint="eastAsia"/>
          <w:color w:val="1C1C1C"/>
          <w:sz w:val="32"/>
          <w:szCs w:val="32"/>
        </w:rPr>
        <w:t>数字经济立法、互联网监管执法持续强化，《中华人民共和国民法典》于</w:t>
      </w:r>
      <w:r>
        <w:rPr>
          <w:rFonts w:ascii="仿宋" w:eastAsia="仿宋" w:hAnsi="仿宋" w:cs="仿宋"/>
          <w:color w:val="1C1C1C"/>
          <w:sz w:val="32"/>
          <w:szCs w:val="32"/>
        </w:rPr>
        <w:t>2021年1月1日起施行</w:t>
      </w:r>
      <w:r>
        <w:rPr>
          <w:rFonts w:ascii="仿宋" w:eastAsia="仿宋" w:hAnsi="仿宋" w:cs="仿宋" w:hint="eastAsia"/>
          <w:color w:val="1C1C1C"/>
          <w:sz w:val="32"/>
          <w:szCs w:val="32"/>
        </w:rPr>
        <w:t>，</w:t>
      </w:r>
      <w:r>
        <w:rPr>
          <w:rFonts w:ascii="仿宋" w:eastAsia="仿宋" w:hAnsi="仿宋" w:cs="仿宋"/>
          <w:color w:val="1C1C1C"/>
          <w:sz w:val="32"/>
          <w:szCs w:val="32"/>
        </w:rPr>
        <w:t>《数据安全法》《个人信息保护法》</w:t>
      </w:r>
      <w:r>
        <w:rPr>
          <w:rFonts w:ascii="仿宋" w:eastAsia="仿宋" w:hAnsi="仿宋" w:cs="仿宋" w:hint="eastAsia"/>
          <w:color w:val="1C1C1C"/>
          <w:sz w:val="32"/>
          <w:szCs w:val="32"/>
        </w:rPr>
        <w:t>等相继发布实施</w:t>
      </w:r>
      <w:r>
        <w:rPr>
          <w:rFonts w:ascii="仿宋" w:eastAsia="仿宋" w:hAnsi="仿宋" w:cs="仿宋"/>
          <w:color w:val="1C1C1C"/>
          <w:sz w:val="32"/>
          <w:szCs w:val="32"/>
        </w:rPr>
        <w:t>，</w:t>
      </w:r>
      <w:r>
        <w:rPr>
          <w:rFonts w:ascii="仿宋" w:eastAsia="仿宋" w:hAnsi="仿宋" w:cs="仿宋" w:hint="eastAsia"/>
          <w:color w:val="1C1C1C"/>
          <w:sz w:val="32"/>
          <w:szCs w:val="32"/>
        </w:rPr>
        <w:t>为个人信息安全奠定了法律基础，为新形势下消费者权益保护提供了坚实保障，有效回应了广大人民群众最关心、最直接、最现实的利益问题。</w:t>
      </w:r>
    </w:p>
    <w:p w:rsidR="002D6C73" w:rsidRDefault="00FB6868">
      <w:pPr>
        <w:spacing w:line="600" w:lineRule="exact"/>
        <w:ind w:firstLineChars="200" w:firstLine="640"/>
        <w:jc w:val="both"/>
        <w:rPr>
          <w:rFonts w:ascii="仿宋" w:eastAsia="仿宋" w:hAnsi="仿宋" w:cs="仿宋"/>
          <w:color w:val="1C1C1C"/>
          <w:sz w:val="32"/>
          <w:szCs w:val="32"/>
        </w:rPr>
      </w:pPr>
      <w:r>
        <w:rPr>
          <w:rFonts w:ascii="仿宋" w:eastAsia="仿宋" w:hAnsi="仿宋" w:cs="仿宋"/>
          <w:color w:val="1C1C1C"/>
          <w:sz w:val="32"/>
          <w:szCs w:val="32"/>
        </w:rPr>
        <w:t>面对国际</w:t>
      </w:r>
      <w:r>
        <w:rPr>
          <w:rFonts w:ascii="仿宋" w:eastAsia="仿宋" w:hAnsi="仿宋" w:cs="仿宋" w:hint="eastAsia"/>
          <w:color w:val="1C1C1C"/>
          <w:sz w:val="32"/>
          <w:szCs w:val="32"/>
        </w:rPr>
        <w:t>复杂严峻的环境和国内疫情多点散发等外部因素的影响，我国消费市场虽受到了短暂、多次的冲击，但长期稳定增长和加快转型升级的发展态势没有变。我国消费市场呈现市场规模持续扩大、消费结构优化升级的态势。一是市场规模持续扩大。</w:t>
      </w:r>
      <w:r>
        <w:rPr>
          <w:rFonts w:ascii="仿宋" w:eastAsia="仿宋" w:hAnsi="仿宋" w:cs="仿宋"/>
          <w:color w:val="1C1C1C"/>
          <w:sz w:val="32"/>
          <w:szCs w:val="32"/>
        </w:rPr>
        <w:t>2021</w:t>
      </w:r>
      <w:r>
        <w:rPr>
          <w:rFonts w:ascii="仿宋" w:eastAsia="仿宋" w:hAnsi="仿宋" w:cs="仿宋" w:hint="eastAsia"/>
          <w:color w:val="1C1C1C"/>
          <w:sz w:val="32"/>
          <w:szCs w:val="32"/>
        </w:rPr>
        <w:t>年，</w:t>
      </w:r>
      <w:r>
        <w:rPr>
          <w:rFonts w:ascii="仿宋" w:eastAsia="仿宋" w:hAnsi="仿宋" w:cs="仿宋"/>
          <w:color w:val="1C1C1C"/>
          <w:sz w:val="32"/>
          <w:szCs w:val="32"/>
        </w:rPr>
        <w:t>社会消费品零售总额超过40</w:t>
      </w:r>
      <w:proofErr w:type="gramStart"/>
      <w:r>
        <w:rPr>
          <w:rFonts w:ascii="仿宋" w:eastAsia="仿宋" w:hAnsi="仿宋" w:cs="仿宋"/>
          <w:color w:val="1C1C1C"/>
          <w:sz w:val="32"/>
          <w:szCs w:val="32"/>
        </w:rPr>
        <w:t>万亿</w:t>
      </w:r>
      <w:proofErr w:type="gramEnd"/>
      <w:r>
        <w:rPr>
          <w:rFonts w:ascii="仿宋" w:eastAsia="仿宋" w:hAnsi="仿宋" w:cs="仿宋"/>
          <w:color w:val="1C1C1C"/>
          <w:sz w:val="32"/>
          <w:szCs w:val="32"/>
        </w:rPr>
        <w:t>元，比上年增长12.5%。全国居民人均消费支出24100元，</w:t>
      </w:r>
      <w:r>
        <w:rPr>
          <w:rFonts w:ascii="仿宋" w:eastAsia="仿宋" w:hAnsi="仿宋" w:cs="仿宋" w:hint="eastAsia"/>
          <w:color w:val="1C1C1C"/>
          <w:sz w:val="32"/>
          <w:szCs w:val="32"/>
        </w:rPr>
        <w:t>比上年名义增长</w:t>
      </w:r>
      <w:r>
        <w:rPr>
          <w:rFonts w:ascii="仿宋" w:eastAsia="仿宋" w:hAnsi="仿宋" w:cs="仿宋"/>
          <w:color w:val="1C1C1C"/>
          <w:sz w:val="32"/>
          <w:szCs w:val="32"/>
        </w:rPr>
        <w:t>13.6%，扣除价格因素影响，实际增长12.6%</w:t>
      </w:r>
      <w:r>
        <w:rPr>
          <w:rFonts w:ascii="仿宋" w:eastAsia="仿宋" w:hAnsi="仿宋" w:cs="仿宋" w:hint="eastAsia"/>
          <w:color w:val="1C1C1C"/>
          <w:sz w:val="32"/>
          <w:szCs w:val="32"/>
        </w:rPr>
        <w:t>，比</w:t>
      </w:r>
      <w:r>
        <w:rPr>
          <w:rFonts w:ascii="仿宋" w:eastAsia="仿宋" w:hAnsi="仿宋" w:cs="仿宋"/>
          <w:color w:val="1C1C1C"/>
          <w:sz w:val="32"/>
          <w:szCs w:val="32"/>
        </w:rPr>
        <w:t>2019年增长11.8%，两年平均增长5.7%，扣除价格因素，两年平均实际增长4.0%</w:t>
      </w:r>
      <w:r>
        <w:rPr>
          <w:rFonts w:ascii="仿宋" w:eastAsia="仿宋" w:hAnsi="仿宋" w:cs="仿宋" w:hint="eastAsia"/>
          <w:color w:val="1C1C1C"/>
          <w:sz w:val="32"/>
          <w:szCs w:val="32"/>
        </w:rPr>
        <w:t>。二是消费结构优化升级。城乡居民消费结构呈优化态势，服务类消费支出占比不断提</w:t>
      </w:r>
      <w:r>
        <w:rPr>
          <w:rFonts w:ascii="仿宋" w:eastAsia="仿宋" w:hAnsi="仿宋" w:cs="仿宋" w:hint="eastAsia"/>
          <w:color w:val="1C1C1C"/>
          <w:sz w:val="32"/>
          <w:szCs w:val="32"/>
        </w:rPr>
        <w:lastRenderedPageBreak/>
        <w:t>高。</w:t>
      </w:r>
      <w:r>
        <w:rPr>
          <w:rFonts w:ascii="仿宋" w:eastAsia="仿宋" w:hAnsi="仿宋" w:cs="仿宋"/>
          <w:color w:val="1C1C1C"/>
          <w:sz w:val="32"/>
          <w:szCs w:val="32"/>
        </w:rPr>
        <w:t>2021年</w:t>
      </w:r>
      <w:r>
        <w:rPr>
          <w:rFonts w:ascii="仿宋" w:eastAsia="仿宋" w:hAnsi="仿宋" w:cs="仿宋" w:hint="eastAsia"/>
          <w:color w:val="1C1C1C"/>
          <w:sz w:val="32"/>
          <w:szCs w:val="32"/>
        </w:rPr>
        <w:t>，</w:t>
      </w:r>
      <w:r>
        <w:rPr>
          <w:rFonts w:ascii="仿宋" w:eastAsia="仿宋" w:hAnsi="仿宋" w:cs="仿宋"/>
          <w:color w:val="1C1C1C"/>
          <w:sz w:val="32"/>
          <w:szCs w:val="32"/>
        </w:rPr>
        <w:t>全国居民恩格尔系数为29.8%，比上年下降0.4个百分点。2021年</w:t>
      </w:r>
      <w:r>
        <w:rPr>
          <w:rFonts w:ascii="仿宋" w:eastAsia="仿宋" w:hAnsi="仿宋" w:cs="仿宋" w:hint="eastAsia"/>
          <w:color w:val="1C1C1C"/>
          <w:sz w:val="32"/>
          <w:szCs w:val="32"/>
        </w:rPr>
        <w:t>，</w:t>
      </w:r>
      <w:r>
        <w:rPr>
          <w:rFonts w:ascii="仿宋" w:eastAsia="仿宋" w:hAnsi="仿宋" w:cs="仿宋"/>
          <w:color w:val="1C1C1C"/>
          <w:sz w:val="32"/>
          <w:szCs w:val="32"/>
        </w:rPr>
        <w:t>全国居民人均服务性消费支出10645元，比上年增长17.8%，增速快于全国居民人均消费支出4.2个百分点。</w:t>
      </w:r>
    </w:p>
    <w:p w:rsidR="002D6C73" w:rsidRDefault="00FB6868">
      <w:pPr>
        <w:spacing w:line="60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为持续</w:t>
      </w:r>
      <w:r w:rsidR="00E92F2A">
        <w:rPr>
          <w:rFonts w:ascii="仿宋" w:eastAsia="仿宋" w:hAnsi="仿宋" w:cs="仿宋" w:hint="eastAsia"/>
          <w:color w:val="1C1C1C"/>
          <w:sz w:val="32"/>
          <w:szCs w:val="32"/>
        </w:rPr>
        <w:t>推动安全放心的消费环境建设，</w:t>
      </w:r>
      <w:r>
        <w:rPr>
          <w:rFonts w:ascii="仿宋" w:eastAsia="仿宋" w:hAnsi="仿宋" w:cs="仿宋" w:hint="eastAsia"/>
          <w:color w:val="1C1C1C"/>
          <w:sz w:val="32"/>
          <w:szCs w:val="32"/>
        </w:rPr>
        <w:t>落实国务院关于建立常态化消费者满意度调查评估机制的要求，中国消费者协会自2017年起每年开展消费者满意度测评工作。</w:t>
      </w:r>
      <w:r>
        <w:rPr>
          <w:rFonts w:ascii="仿宋" w:eastAsia="仿宋" w:hAnsi="仿宋" w:cs="仿宋"/>
          <w:color w:val="1C1C1C"/>
          <w:sz w:val="32"/>
          <w:szCs w:val="32"/>
        </w:rPr>
        <w:t>2017年选取50个大中城市开展测评，共计回收27706个有效样本进入分析，消费者满意</w:t>
      </w:r>
      <w:proofErr w:type="gramStart"/>
      <w:r>
        <w:rPr>
          <w:rFonts w:ascii="仿宋" w:eastAsia="仿宋" w:hAnsi="仿宋" w:cs="仿宋"/>
          <w:color w:val="1C1C1C"/>
          <w:sz w:val="32"/>
          <w:szCs w:val="32"/>
        </w:rPr>
        <w:t>度综合</w:t>
      </w:r>
      <w:proofErr w:type="gramEnd"/>
      <w:r>
        <w:rPr>
          <w:rFonts w:ascii="仿宋" w:eastAsia="仿宋" w:hAnsi="仿宋" w:cs="仿宋"/>
          <w:color w:val="1C1C1C"/>
          <w:sz w:val="32"/>
          <w:szCs w:val="32"/>
        </w:rPr>
        <w:t>得分为71.75分；2018年</w:t>
      </w:r>
      <w:r>
        <w:rPr>
          <w:rFonts w:ascii="仿宋" w:eastAsia="仿宋" w:hAnsi="仿宋" w:cs="仿宋" w:hint="eastAsia"/>
          <w:color w:val="1C1C1C"/>
          <w:sz w:val="32"/>
          <w:szCs w:val="32"/>
        </w:rPr>
        <w:t>选取</w:t>
      </w:r>
      <w:r>
        <w:rPr>
          <w:rFonts w:ascii="仿宋" w:eastAsia="仿宋" w:hAnsi="仿宋" w:cs="仿宋"/>
          <w:color w:val="1C1C1C"/>
          <w:sz w:val="32"/>
          <w:szCs w:val="32"/>
        </w:rPr>
        <w:t>70个城市进行测评，共计回收46824个有效样本，消费者满意</w:t>
      </w:r>
      <w:proofErr w:type="gramStart"/>
      <w:r>
        <w:rPr>
          <w:rFonts w:ascii="仿宋" w:eastAsia="仿宋" w:hAnsi="仿宋" w:cs="仿宋"/>
          <w:color w:val="1C1C1C"/>
          <w:sz w:val="32"/>
          <w:szCs w:val="32"/>
        </w:rPr>
        <w:t>度综合</w:t>
      </w:r>
      <w:proofErr w:type="gramEnd"/>
      <w:r>
        <w:rPr>
          <w:rFonts w:ascii="仿宋" w:eastAsia="仿宋" w:hAnsi="仿宋" w:cs="仿宋"/>
          <w:color w:val="1C1C1C"/>
          <w:sz w:val="32"/>
          <w:szCs w:val="32"/>
        </w:rPr>
        <w:t>得分为73.68分</w:t>
      </w:r>
      <w:r w:rsidR="00E92F2A">
        <w:rPr>
          <w:rFonts w:ascii="仿宋" w:eastAsia="仿宋" w:hAnsi="仿宋" w:cs="仿宋" w:hint="eastAsia"/>
          <w:color w:val="1C1C1C"/>
          <w:sz w:val="32"/>
          <w:szCs w:val="32"/>
        </w:rPr>
        <w:t>；</w:t>
      </w:r>
      <w:r>
        <w:rPr>
          <w:rFonts w:ascii="仿宋" w:eastAsia="仿宋" w:hAnsi="仿宋" w:cs="仿宋"/>
          <w:color w:val="1C1C1C"/>
          <w:sz w:val="32"/>
          <w:szCs w:val="32"/>
        </w:rPr>
        <w:t>2019年</w:t>
      </w:r>
      <w:r w:rsidR="00E92F2A">
        <w:rPr>
          <w:rFonts w:ascii="仿宋" w:eastAsia="仿宋" w:hAnsi="仿宋" w:cs="仿宋" w:hint="eastAsia"/>
          <w:color w:val="1C1C1C"/>
          <w:sz w:val="32"/>
          <w:szCs w:val="32"/>
        </w:rPr>
        <w:t>、2</w:t>
      </w:r>
      <w:r w:rsidR="00E92F2A">
        <w:rPr>
          <w:rFonts w:ascii="仿宋" w:eastAsia="仿宋" w:hAnsi="仿宋" w:cs="仿宋"/>
          <w:color w:val="1C1C1C"/>
          <w:sz w:val="32"/>
          <w:szCs w:val="32"/>
        </w:rPr>
        <w:t>020</w:t>
      </w:r>
      <w:r w:rsidR="00E92F2A">
        <w:rPr>
          <w:rFonts w:ascii="仿宋" w:eastAsia="仿宋" w:hAnsi="仿宋" w:cs="仿宋" w:hint="eastAsia"/>
          <w:color w:val="1C1C1C"/>
          <w:sz w:val="32"/>
          <w:szCs w:val="32"/>
        </w:rPr>
        <w:t>年</w:t>
      </w:r>
      <w:r w:rsidR="009C3839">
        <w:rPr>
          <w:rFonts w:ascii="仿宋" w:eastAsia="仿宋" w:hAnsi="仿宋" w:cs="仿宋" w:hint="eastAsia"/>
          <w:color w:val="1C1C1C"/>
          <w:sz w:val="32"/>
          <w:szCs w:val="32"/>
        </w:rPr>
        <w:t>持续</w:t>
      </w:r>
      <w:r>
        <w:rPr>
          <w:rFonts w:ascii="仿宋" w:eastAsia="仿宋" w:hAnsi="仿宋" w:cs="仿宋"/>
          <w:color w:val="1C1C1C"/>
          <w:sz w:val="32"/>
          <w:szCs w:val="32"/>
        </w:rPr>
        <w:t>对全国100个城市进行测评</w:t>
      </w:r>
      <w:r w:rsidR="00E92F2A">
        <w:rPr>
          <w:rFonts w:ascii="仿宋" w:eastAsia="仿宋" w:hAnsi="仿宋" w:cs="仿宋" w:hint="eastAsia"/>
          <w:color w:val="1C1C1C"/>
          <w:sz w:val="32"/>
          <w:szCs w:val="32"/>
        </w:rPr>
        <w:t>，有效样本量分别为</w:t>
      </w:r>
      <w:r w:rsidR="00E92F2A" w:rsidRPr="00E92F2A">
        <w:rPr>
          <w:rFonts w:ascii="仿宋" w:eastAsia="仿宋" w:hAnsi="仿宋" w:cs="仿宋"/>
          <w:color w:val="1C1C1C"/>
          <w:sz w:val="32"/>
          <w:szCs w:val="32"/>
        </w:rPr>
        <w:t>64754个</w:t>
      </w:r>
      <w:r w:rsidR="00E92F2A">
        <w:rPr>
          <w:rFonts w:ascii="仿宋" w:eastAsia="仿宋" w:hAnsi="仿宋" w:cs="仿宋" w:hint="eastAsia"/>
          <w:color w:val="1C1C1C"/>
          <w:sz w:val="32"/>
          <w:szCs w:val="32"/>
        </w:rPr>
        <w:t>、</w:t>
      </w:r>
      <w:r w:rsidR="00E92F2A" w:rsidRPr="00E92F2A">
        <w:rPr>
          <w:rFonts w:ascii="仿宋" w:eastAsia="仿宋" w:hAnsi="仿宋" w:cs="仿宋"/>
          <w:color w:val="1C1C1C"/>
          <w:sz w:val="32"/>
          <w:szCs w:val="32"/>
        </w:rPr>
        <w:t>64273个</w:t>
      </w:r>
      <w:r>
        <w:rPr>
          <w:rFonts w:ascii="仿宋" w:eastAsia="仿宋" w:hAnsi="仿宋" w:cs="仿宋"/>
          <w:color w:val="1C1C1C"/>
          <w:sz w:val="32"/>
          <w:szCs w:val="32"/>
        </w:rPr>
        <w:t>，</w:t>
      </w:r>
      <w:r w:rsidR="00E92F2A">
        <w:rPr>
          <w:rFonts w:ascii="仿宋" w:eastAsia="仿宋" w:hAnsi="仿宋" w:cs="仿宋"/>
          <w:color w:val="1C1C1C"/>
          <w:sz w:val="32"/>
          <w:szCs w:val="32"/>
        </w:rPr>
        <w:t>消费者</w:t>
      </w:r>
      <w:r>
        <w:rPr>
          <w:rFonts w:ascii="仿宋" w:eastAsia="仿宋" w:hAnsi="仿宋" w:cs="仿宋"/>
          <w:color w:val="1C1C1C"/>
          <w:sz w:val="32"/>
          <w:szCs w:val="32"/>
        </w:rPr>
        <w:t>满意</w:t>
      </w:r>
      <w:proofErr w:type="gramStart"/>
      <w:r>
        <w:rPr>
          <w:rFonts w:ascii="仿宋" w:eastAsia="仿宋" w:hAnsi="仿宋" w:cs="仿宋"/>
          <w:color w:val="1C1C1C"/>
          <w:sz w:val="32"/>
          <w:szCs w:val="32"/>
        </w:rPr>
        <w:t>度综合</w:t>
      </w:r>
      <w:proofErr w:type="gramEnd"/>
      <w:r>
        <w:rPr>
          <w:rFonts w:ascii="仿宋" w:eastAsia="仿宋" w:hAnsi="仿宋" w:cs="仿宋"/>
          <w:color w:val="1C1C1C"/>
          <w:sz w:val="32"/>
          <w:szCs w:val="32"/>
        </w:rPr>
        <w:t>得分</w:t>
      </w:r>
      <w:r w:rsidR="00E92F2A">
        <w:rPr>
          <w:rFonts w:ascii="仿宋" w:eastAsia="仿宋" w:hAnsi="仿宋" w:cs="仿宋" w:hint="eastAsia"/>
          <w:color w:val="1C1C1C"/>
          <w:sz w:val="32"/>
          <w:szCs w:val="32"/>
        </w:rPr>
        <w:t>分别</w:t>
      </w:r>
      <w:r>
        <w:rPr>
          <w:rFonts w:ascii="仿宋" w:eastAsia="仿宋" w:hAnsi="仿宋" w:cs="仿宋"/>
          <w:color w:val="1C1C1C"/>
          <w:sz w:val="32"/>
          <w:szCs w:val="32"/>
        </w:rPr>
        <w:t>为77.02分</w:t>
      </w:r>
      <w:r w:rsidR="00E92F2A">
        <w:rPr>
          <w:rFonts w:ascii="仿宋" w:eastAsia="仿宋" w:hAnsi="仿宋" w:cs="仿宋" w:hint="eastAsia"/>
          <w:color w:val="1C1C1C"/>
          <w:sz w:val="32"/>
          <w:szCs w:val="32"/>
        </w:rPr>
        <w:t>和</w:t>
      </w:r>
      <w:r>
        <w:rPr>
          <w:rFonts w:ascii="仿宋" w:eastAsia="仿宋" w:hAnsi="仿宋" w:cs="仿宋" w:hint="eastAsia"/>
          <w:color w:val="1C1C1C"/>
          <w:sz w:val="32"/>
          <w:szCs w:val="32"/>
        </w:rPr>
        <w:t>7</w:t>
      </w:r>
      <w:r>
        <w:rPr>
          <w:rFonts w:ascii="仿宋" w:eastAsia="仿宋" w:hAnsi="仿宋" w:cs="仿宋"/>
          <w:color w:val="1C1C1C"/>
          <w:sz w:val="32"/>
          <w:szCs w:val="32"/>
        </w:rPr>
        <w:t>9.32分</w:t>
      </w:r>
      <w:r>
        <w:rPr>
          <w:rFonts w:ascii="仿宋" w:eastAsia="仿宋" w:hAnsi="仿宋" w:cs="仿宋" w:hint="eastAsia"/>
          <w:color w:val="1C1C1C"/>
          <w:sz w:val="32"/>
          <w:szCs w:val="32"/>
        </w:rPr>
        <w:t>。综合来看，</w:t>
      </w:r>
      <w:r w:rsidR="00E92F2A">
        <w:rPr>
          <w:rFonts w:ascii="仿宋" w:eastAsia="仿宋" w:hAnsi="仿宋" w:cs="仿宋"/>
          <w:color w:val="1C1C1C"/>
          <w:sz w:val="32"/>
          <w:szCs w:val="32"/>
        </w:rPr>
        <w:t>消费者</w:t>
      </w:r>
      <w:r>
        <w:rPr>
          <w:rFonts w:ascii="仿宋" w:eastAsia="仿宋" w:hAnsi="仿宋" w:cs="仿宋" w:hint="eastAsia"/>
          <w:color w:val="1C1C1C"/>
          <w:sz w:val="32"/>
          <w:szCs w:val="32"/>
        </w:rPr>
        <w:t>满意度得分结果稳定向好，但仍有一定提升空间。</w:t>
      </w:r>
    </w:p>
    <w:p w:rsidR="002D6C73" w:rsidRDefault="00FB6868">
      <w:pPr>
        <w:spacing w:line="60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2021年是“十四五”开局之年，恰逢中国共产党建党一百周年伟大时刻，又是我国全面建成小康社会、实现第一个百年奋斗目标之后，乘势而上开启全面建设社会主义现代化国家新征程的起点之年。为持续助力营造安全、放心的消费环境，更好地反映消费者呼声诉求，发现消费环境建设中的短板弱项，进一步激发消费活力潜力，促进消费提质扩容，提升消费者满意度和幸福感，中国消费者协会继续在全国范围内100个城市开展消费者满意度测评工作。</w:t>
      </w:r>
      <w:r>
        <w:rPr>
          <w:rFonts w:ascii="仿宋" w:eastAsia="仿宋" w:hAnsi="仿宋" w:cs="仿宋" w:hint="eastAsia"/>
          <w:color w:val="1C1C1C"/>
          <w:sz w:val="32"/>
          <w:szCs w:val="32"/>
        </w:rPr>
        <w:br w:type="page"/>
      </w:r>
    </w:p>
    <w:p w:rsidR="002D6C73" w:rsidRDefault="002D6C73">
      <w:pPr>
        <w:spacing w:line="600" w:lineRule="exact"/>
        <w:rPr>
          <w:rFonts w:ascii="方正小标宋简体" w:eastAsia="方正小标宋简体" w:hAnsi="华文中宋" w:cs="华文中宋"/>
          <w:bCs/>
          <w:color w:val="000000"/>
          <w:kern w:val="2"/>
          <w:sz w:val="40"/>
          <w:szCs w:val="36"/>
        </w:rPr>
      </w:pPr>
    </w:p>
    <w:p w:rsidR="002D6C73" w:rsidRDefault="00FB6868">
      <w:pPr>
        <w:pStyle w:val="1"/>
        <w:spacing w:beforeLines="100" w:before="326" w:afterLines="100" w:after="326"/>
        <w:jc w:val="center"/>
        <w:rPr>
          <w:rFonts w:ascii="方正小标宋简体" w:eastAsia="方正小标宋简体" w:hAnsi="华文中宋" w:cs="华文中宋"/>
          <w:b w:val="0"/>
          <w:bCs/>
          <w:sz w:val="40"/>
          <w:szCs w:val="36"/>
        </w:rPr>
      </w:pPr>
      <w:bookmarkStart w:id="3" w:name="_Toc11570"/>
      <w:r>
        <w:rPr>
          <w:rFonts w:ascii="方正小标宋简体" w:eastAsia="方正小标宋简体" w:hAnsi="华文中宋" w:cs="华文中宋" w:hint="eastAsia"/>
          <w:b w:val="0"/>
          <w:bCs/>
          <w:sz w:val="40"/>
          <w:szCs w:val="36"/>
        </w:rPr>
        <w:t>第二部分  消费者满意度测评实施说明</w:t>
      </w:r>
      <w:bookmarkEnd w:id="2"/>
      <w:bookmarkEnd w:id="3"/>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color w:val="1C1C1C"/>
          <w:sz w:val="32"/>
          <w:szCs w:val="32"/>
        </w:rPr>
        <w:t>中国消费者协会经过社会公开招标，委托第三</w:t>
      </w:r>
      <w:proofErr w:type="gramStart"/>
      <w:r>
        <w:rPr>
          <w:rFonts w:ascii="仿宋" w:eastAsia="仿宋" w:hAnsi="仿宋" w:cs="仿宋" w:hint="eastAsia"/>
          <w:color w:val="1C1C1C"/>
          <w:sz w:val="32"/>
          <w:szCs w:val="32"/>
        </w:rPr>
        <w:t>方专业</w:t>
      </w:r>
      <w:proofErr w:type="gramEnd"/>
      <w:r>
        <w:rPr>
          <w:rFonts w:ascii="仿宋" w:eastAsia="仿宋" w:hAnsi="仿宋" w:cs="仿宋" w:hint="eastAsia"/>
          <w:color w:val="1C1C1C"/>
          <w:sz w:val="32"/>
          <w:szCs w:val="32"/>
        </w:rPr>
        <w:t>调查机构具体实施2021年100个城市消费者满意度调查工作，</w:t>
      </w:r>
      <w:r w:rsidR="00E92F2A">
        <w:rPr>
          <w:rFonts w:ascii="仿宋" w:eastAsia="仿宋" w:hAnsi="仿宋" w:cs="仿宋" w:hint="eastAsia"/>
          <w:color w:val="1C1C1C"/>
          <w:sz w:val="32"/>
          <w:szCs w:val="32"/>
        </w:rPr>
        <w:t>结合城市特点、疫情防控、消费者响应等特点制定</w:t>
      </w:r>
      <w:r w:rsidR="00C560C0">
        <w:rPr>
          <w:rFonts w:ascii="仿宋" w:eastAsia="仿宋" w:hAnsi="仿宋" w:cs="仿宋" w:hint="eastAsia"/>
          <w:color w:val="1C1C1C"/>
          <w:sz w:val="32"/>
          <w:szCs w:val="32"/>
        </w:rPr>
        <w:t>了</w:t>
      </w:r>
      <w:r w:rsidR="00E92F2A">
        <w:rPr>
          <w:rFonts w:ascii="仿宋" w:eastAsia="仿宋" w:hAnsi="仿宋" w:cs="仿宋" w:hint="eastAsia"/>
          <w:color w:val="1C1C1C"/>
          <w:sz w:val="32"/>
          <w:szCs w:val="32"/>
        </w:rPr>
        <w:t>项目</w:t>
      </w:r>
      <w:r>
        <w:rPr>
          <w:rFonts w:ascii="仿宋" w:eastAsia="仿宋" w:hAnsi="仿宋" w:cs="仿宋" w:hint="eastAsia"/>
          <w:color w:val="1C1C1C"/>
          <w:sz w:val="32"/>
          <w:szCs w:val="32"/>
        </w:rPr>
        <w:t>监理机制</w:t>
      </w:r>
      <w:r w:rsidR="00E92F2A">
        <w:rPr>
          <w:rFonts w:ascii="仿宋" w:eastAsia="仿宋" w:hAnsi="仿宋" w:cs="仿宋" w:hint="eastAsia"/>
          <w:color w:val="1C1C1C"/>
          <w:sz w:val="32"/>
          <w:szCs w:val="32"/>
        </w:rPr>
        <w:t>以</w:t>
      </w:r>
      <w:r>
        <w:rPr>
          <w:rFonts w:ascii="仿宋" w:eastAsia="仿宋" w:hAnsi="仿宋" w:cs="仿宋" w:hint="eastAsia"/>
          <w:color w:val="1C1C1C"/>
          <w:sz w:val="32"/>
          <w:szCs w:val="32"/>
        </w:rPr>
        <w:t xml:space="preserve">保证调查质量。2021年度测评项目于10月正式启动，于2021年10月至12月完成具体调查实施工作。 </w:t>
      </w:r>
    </w:p>
    <w:p w:rsidR="002D6C73" w:rsidRDefault="00FB6868">
      <w:pPr>
        <w:pStyle w:val="2"/>
        <w:rPr>
          <w:rFonts w:ascii="黑体" w:eastAsia="黑体" w:hAnsi="黑体" w:cs="黑体"/>
          <w:b w:val="0"/>
          <w:bCs/>
          <w:i w:val="0"/>
          <w:iCs/>
          <w:sz w:val="32"/>
          <w:szCs w:val="28"/>
        </w:rPr>
      </w:pPr>
      <w:bookmarkStart w:id="4" w:name="_Toc62721747"/>
      <w:bookmarkStart w:id="5" w:name="_Toc24339"/>
      <w:r>
        <w:rPr>
          <w:rFonts w:ascii="黑体" w:eastAsia="黑体" w:hAnsi="黑体" w:cs="黑体" w:hint="eastAsia"/>
          <w:b w:val="0"/>
          <w:bCs/>
          <w:i w:val="0"/>
          <w:iCs/>
          <w:sz w:val="32"/>
          <w:szCs w:val="28"/>
        </w:rPr>
        <w:t>一、指标体系、权重及问卷设计</w:t>
      </w:r>
      <w:bookmarkEnd w:id="4"/>
      <w:bookmarkEnd w:id="5"/>
    </w:p>
    <w:p w:rsidR="002D6C73" w:rsidRDefault="00FB6868">
      <w:pPr>
        <w:spacing w:line="60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中国消费者协会综合</w:t>
      </w:r>
      <w:proofErr w:type="gramStart"/>
      <w:r>
        <w:rPr>
          <w:rFonts w:ascii="仿宋" w:eastAsia="仿宋" w:hAnsi="仿宋" w:cs="仿宋" w:hint="eastAsia"/>
          <w:color w:val="1C1C1C"/>
          <w:sz w:val="32"/>
          <w:szCs w:val="32"/>
        </w:rPr>
        <w:t>考量</w:t>
      </w:r>
      <w:proofErr w:type="gramEnd"/>
      <w:r>
        <w:rPr>
          <w:rFonts w:ascii="仿宋" w:eastAsia="仿宋" w:hAnsi="仿宋" w:cs="仿宋" w:hint="eastAsia"/>
          <w:color w:val="1C1C1C"/>
          <w:sz w:val="32"/>
          <w:szCs w:val="32"/>
        </w:rPr>
        <w:t>满意度测评工作实际进展，参照各地的意见反馈，并通过专家论证会的形式对测评指标体系、权重及问卷进行再论证，为总体保持满意度测评指标体系和权重的科学性、稳定性和可比性，延用</w:t>
      </w:r>
      <w:r>
        <w:rPr>
          <w:rFonts w:ascii="仿宋" w:eastAsia="仿宋" w:hAnsi="仿宋" w:cs="仿宋"/>
          <w:color w:val="1C1C1C"/>
          <w:sz w:val="32"/>
          <w:szCs w:val="32"/>
        </w:rPr>
        <w:t>20</w:t>
      </w:r>
      <w:r>
        <w:rPr>
          <w:rFonts w:ascii="仿宋" w:eastAsia="仿宋" w:hAnsi="仿宋" w:cs="仿宋" w:hint="eastAsia"/>
          <w:color w:val="1C1C1C"/>
          <w:sz w:val="32"/>
          <w:szCs w:val="32"/>
        </w:rPr>
        <w:t>20年城市消费者满意度指标体系、权重，并优化配套调查问卷。2021年指标体系由</w:t>
      </w:r>
      <w:r>
        <w:rPr>
          <w:rFonts w:ascii="仿宋" w:eastAsia="仿宋" w:hAnsi="仿宋" w:cs="仿宋"/>
          <w:color w:val="1C1C1C"/>
          <w:sz w:val="32"/>
          <w:szCs w:val="32"/>
        </w:rPr>
        <w:t>3</w:t>
      </w:r>
      <w:r>
        <w:rPr>
          <w:rFonts w:ascii="仿宋" w:eastAsia="仿宋" w:hAnsi="仿宋" w:cs="仿宋" w:hint="eastAsia"/>
          <w:color w:val="1C1C1C"/>
          <w:sz w:val="32"/>
          <w:szCs w:val="32"/>
        </w:rPr>
        <w:t>个一级指标、</w:t>
      </w:r>
      <w:r>
        <w:rPr>
          <w:rFonts w:ascii="仿宋" w:eastAsia="仿宋" w:hAnsi="仿宋" w:cs="仿宋"/>
          <w:color w:val="1C1C1C"/>
          <w:sz w:val="32"/>
          <w:szCs w:val="32"/>
        </w:rPr>
        <w:t>16</w:t>
      </w:r>
      <w:r>
        <w:rPr>
          <w:rFonts w:ascii="仿宋" w:eastAsia="仿宋" w:hAnsi="仿宋" w:cs="仿宋" w:hint="eastAsia"/>
          <w:color w:val="1C1C1C"/>
          <w:sz w:val="32"/>
          <w:szCs w:val="32"/>
        </w:rPr>
        <w:t>个二级指标和</w:t>
      </w:r>
      <w:r>
        <w:rPr>
          <w:rFonts w:ascii="仿宋" w:eastAsia="仿宋" w:hAnsi="仿宋" w:cs="仿宋"/>
          <w:color w:val="1C1C1C"/>
          <w:sz w:val="32"/>
          <w:szCs w:val="32"/>
        </w:rPr>
        <w:t>2</w:t>
      </w:r>
      <w:r>
        <w:rPr>
          <w:rFonts w:ascii="仿宋" w:eastAsia="仿宋" w:hAnsi="仿宋" w:cs="仿宋" w:hint="eastAsia"/>
          <w:color w:val="1C1C1C"/>
          <w:sz w:val="32"/>
          <w:szCs w:val="32"/>
        </w:rPr>
        <w:t>5个三级指标构成。</w:t>
      </w:r>
    </w:p>
    <w:p w:rsidR="002D6C73" w:rsidRDefault="00FB6868">
      <w:pPr>
        <w:spacing w:line="60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本报告将“消费者满意度”定义为：消费者购买商品或接受服务过程中，对消费供给、消费环境和消费维权的情绪反馈，是以百分制的形式测度出来的消费者主观评价。</w:t>
      </w:r>
    </w:p>
    <w:p w:rsidR="002D6C73" w:rsidRDefault="00FB6868">
      <w:pPr>
        <w:spacing w:line="600" w:lineRule="exact"/>
        <w:ind w:firstLineChars="200" w:firstLine="640"/>
        <w:jc w:val="both"/>
        <w:rPr>
          <w:rFonts w:ascii="仿宋" w:eastAsia="仿宋" w:hAnsi="仿宋" w:cs="仿宋"/>
          <w:color w:val="1C1C1C"/>
          <w:sz w:val="32"/>
          <w:szCs w:val="32"/>
        </w:rPr>
      </w:pPr>
      <w:r>
        <w:rPr>
          <w:rFonts w:ascii="仿宋" w:eastAsia="仿宋" w:hAnsi="仿宋" w:cs="仿宋"/>
          <w:color w:val="1C1C1C"/>
          <w:sz w:val="32"/>
          <w:szCs w:val="32"/>
        </w:rPr>
        <w:t>3</w:t>
      </w:r>
      <w:r>
        <w:rPr>
          <w:rFonts w:ascii="仿宋" w:eastAsia="仿宋" w:hAnsi="仿宋" w:cs="仿宋" w:hint="eastAsia"/>
          <w:color w:val="1C1C1C"/>
          <w:sz w:val="32"/>
          <w:szCs w:val="32"/>
        </w:rPr>
        <w:t>个一级指标分别是“消费供给”“消费环境”和“消费维权”。其中，“消费供给”的含义是市场产品和服务供给的层次、效率和创新是否能够满足消费者的需求；“消费环</w:t>
      </w:r>
      <w:r>
        <w:rPr>
          <w:rFonts w:ascii="仿宋" w:eastAsia="仿宋" w:hAnsi="仿宋" w:cs="仿宋" w:hint="eastAsia"/>
          <w:color w:val="1C1C1C"/>
          <w:sz w:val="32"/>
          <w:szCs w:val="32"/>
        </w:rPr>
        <w:lastRenderedPageBreak/>
        <w:t>境”的含义是消费者在消费过程中形成的消费感知、享受到的消费体验、与商家之间的友好关系是否能够满足消费者的需求；“消费维权”的含义是政府及有关部门、社会组织、经营者对消费者进行知识教育和权益保护的方式、效率、效能是否能够满足消费者的需求。</w:t>
      </w:r>
    </w:p>
    <w:p w:rsidR="002D6C73" w:rsidRDefault="00FB6868">
      <w:pPr>
        <w:spacing w:line="60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2021年消费者满意度指标体系、各级指标的对应关系及权重详见下表1。</w:t>
      </w:r>
    </w:p>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表1 2021年消费者满意度指标体系及权重</w:t>
      </w:r>
    </w:p>
    <w:tbl>
      <w:tblPr>
        <w:tblW w:w="4998" w:type="pct"/>
        <w:jc w:val="center"/>
        <w:tblCellMar>
          <w:left w:w="0" w:type="dxa"/>
          <w:right w:w="0" w:type="dxa"/>
        </w:tblCellMar>
        <w:tblLook w:val="04A0" w:firstRow="1" w:lastRow="0" w:firstColumn="1" w:lastColumn="0" w:noHBand="0" w:noVBand="1"/>
      </w:tblPr>
      <w:tblGrid>
        <w:gridCol w:w="1321"/>
        <w:gridCol w:w="1555"/>
        <w:gridCol w:w="1806"/>
        <w:gridCol w:w="1805"/>
        <w:gridCol w:w="1806"/>
      </w:tblGrid>
      <w:tr w:rsidR="002D6C73">
        <w:trPr>
          <w:trHeight w:hRule="exact" w:val="340"/>
          <w:jc w:val="center"/>
        </w:trPr>
        <w:tc>
          <w:tcPr>
            <w:tcW w:w="796" w:type="pct"/>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right w:w="15" w:type="dxa"/>
            </w:tcMar>
            <w:vAlign w:val="center"/>
          </w:tcPr>
          <w:p w:rsidR="002D6C73" w:rsidRDefault="00FB6868">
            <w:pPr>
              <w:jc w:val="center"/>
              <w:textAlignment w:val="center"/>
              <w:rPr>
                <w:rFonts w:asciiTheme="minorEastAsia" w:eastAsiaTheme="minorEastAsia" w:hAnsiTheme="minorEastAsia" w:cstheme="minorEastAsia"/>
                <w:b/>
                <w:color w:val="000000"/>
              </w:rPr>
            </w:pPr>
            <w:bookmarkStart w:id="6" w:name="_Toc62721748"/>
            <w:bookmarkStart w:id="7" w:name="_Toc29379"/>
            <w:r>
              <w:rPr>
                <w:rFonts w:asciiTheme="minorEastAsia" w:eastAsiaTheme="minorEastAsia" w:hAnsiTheme="minorEastAsia" w:cstheme="minorEastAsia" w:hint="eastAsia"/>
                <w:b/>
                <w:color w:val="000000"/>
              </w:rPr>
              <w:t>一级指标</w:t>
            </w:r>
          </w:p>
        </w:tc>
        <w:tc>
          <w:tcPr>
            <w:tcW w:w="937" w:type="pct"/>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right w:w="15" w:type="dxa"/>
            </w:tcMar>
            <w:vAlign w:val="center"/>
          </w:tcPr>
          <w:p w:rsidR="002D6C73" w:rsidRDefault="00FB6868">
            <w:pPr>
              <w:jc w:val="center"/>
              <w:textAlignment w:val="center"/>
              <w:rPr>
                <w:rFonts w:asciiTheme="minorEastAsia" w:eastAsiaTheme="minorEastAsia" w:hAnsiTheme="minorEastAsia" w:cstheme="minorEastAsia"/>
                <w:b/>
                <w:color w:val="000000"/>
              </w:rPr>
            </w:pPr>
            <w:r>
              <w:rPr>
                <w:rFonts w:asciiTheme="minorEastAsia" w:eastAsiaTheme="minorEastAsia" w:hAnsiTheme="minorEastAsia" w:cstheme="minorEastAsia" w:hint="eastAsia"/>
                <w:b/>
                <w:color w:val="000000"/>
              </w:rPr>
              <w:t>二级指标</w:t>
            </w:r>
          </w:p>
        </w:tc>
        <w:tc>
          <w:tcPr>
            <w:tcW w:w="1088" w:type="pct"/>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right w:w="15" w:type="dxa"/>
            </w:tcMar>
            <w:vAlign w:val="center"/>
          </w:tcPr>
          <w:p w:rsidR="002D6C73" w:rsidRDefault="00FB6868">
            <w:pPr>
              <w:jc w:val="center"/>
              <w:textAlignment w:val="center"/>
              <w:rPr>
                <w:rFonts w:asciiTheme="minorEastAsia" w:eastAsiaTheme="minorEastAsia" w:hAnsiTheme="minorEastAsia" w:cstheme="minorEastAsia"/>
                <w:b/>
                <w:color w:val="000000"/>
              </w:rPr>
            </w:pPr>
            <w:r>
              <w:rPr>
                <w:rFonts w:asciiTheme="minorEastAsia" w:eastAsiaTheme="minorEastAsia" w:hAnsiTheme="minorEastAsia" w:cstheme="minorEastAsia" w:hint="eastAsia"/>
                <w:b/>
                <w:color w:val="000000"/>
              </w:rPr>
              <w:t>权重</w:t>
            </w:r>
          </w:p>
        </w:tc>
        <w:tc>
          <w:tcPr>
            <w:tcW w:w="1088" w:type="pct"/>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right w:w="15" w:type="dxa"/>
            </w:tcMar>
            <w:vAlign w:val="center"/>
          </w:tcPr>
          <w:p w:rsidR="002D6C73" w:rsidRDefault="00FB6868">
            <w:pPr>
              <w:jc w:val="center"/>
              <w:textAlignment w:val="center"/>
              <w:rPr>
                <w:rFonts w:asciiTheme="minorEastAsia" w:eastAsiaTheme="minorEastAsia" w:hAnsiTheme="minorEastAsia" w:cstheme="minorEastAsia"/>
                <w:b/>
                <w:color w:val="000000"/>
              </w:rPr>
            </w:pPr>
            <w:r>
              <w:rPr>
                <w:rFonts w:asciiTheme="minorEastAsia" w:eastAsiaTheme="minorEastAsia" w:hAnsiTheme="minorEastAsia" w:cstheme="minorEastAsia" w:hint="eastAsia"/>
                <w:b/>
                <w:color w:val="000000"/>
              </w:rPr>
              <w:t>三级指标</w:t>
            </w:r>
          </w:p>
        </w:tc>
        <w:tc>
          <w:tcPr>
            <w:tcW w:w="1089" w:type="pct"/>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right w:w="15" w:type="dxa"/>
            </w:tcMar>
            <w:vAlign w:val="center"/>
          </w:tcPr>
          <w:p w:rsidR="002D6C73" w:rsidRDefault="00FB6868">
            <w:pPr>
              <w:jc w:val="center"/>
              <w:textAlignment w:val="center"/>
              <w:rPr>
                <w:rFonts w:asciiTheme="minorEastAsia" w:eastAsiaTheme="minorEastAsia" w:hAnsiTheme="minorEastAsia" w:cstheme="minorEastAsia"/>
                <w:b/>
                <w:color w:val="000000"/>
              </w:rPr>
            </w:pPr>
            <w:r>
              <w:rPr>
                <w:rFonts w:asciiTheme="minorEastAsia" w:eastAsiaTheme="minorEastAsia" w:hAnsiTheme="minorEastAsia" w:cstheme="minorEastAsia" w:hint="eastAsia"/>
                <w:b/>
                <w:color w:val="000000"/>
              </w:rPr>
              <w:t>权重</w:t>
            </w:r>
          </w:p>
        </w:tc>
      </w:tr>
      <w:tr w:rsidR="002D6C73">
        <w:trPr>
          <w:trHeight w:hRule="exact" w:val="340"/>
          <w:jc w:val="center"/>
        </w:trPr>
        <w:tc>
          <w:tcPr>
            <w:tcW w:w="796" w:type="pct"/>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消费供给</w:t>
            </w:r>
          </w:p>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（0.132）</w:t>
            </w:r>
          </w:p>
        </w:tc>
        <w:tc>
          <w:tcPr>
            <w:tcW w:w="937" w:type="pct"/>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供给丰富性</w:t>
            </w:r>
          </w:p>
        </w:tc>
        <w:tc>
          <w:tcPr>
            <w:tcW w:w="1814"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0.0447</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种类丰富性</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0.02235</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替代产品丰富性</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0.02235</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供给便利性</w:t>
            </w:r>
          </w:p>
        </w:tc>
        <w:tc>
          <w:tcPr>
            <w:tcW w:w="1814"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0.0518</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分布合理</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0.0183</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物流便利</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0.0157</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公共基础设施完善</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0.0178</w:t>
            </w:r>
          </w:p>
        </w:tc>
      </w:tr>
      <w:tr w:rsidR="002D6C73">
        <w:trPr>
          <w:trHeight w:hRule="exact" w:val="340"/>
          <w:jc w:val="center"/>
        </w:trPr>
        <w:tc>
          <w:tcPr>
            <w:tcW w:w="796"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供给创新性</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0.0355</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供给创新性</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0.0355</w:t>
            </w:r>
          </w:p>
        </w:tc>
      </w:tr>
      <w:tr w:rsidR="002D6C73">
        <w:trPr>
          <w:trHeight w:hRule="exact" w:val="340"/>
          <w:jc w:val="center"/>
        </w:trPr>
        <w:tc>
          <w:tcPr>
            <w:tcW w:w="796" w:type="pct"/>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消费环境</w:t>
            </w:r>
          </w:p>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（0.6375）</w:t>
            </w:r>
          </w:p>
        </w:tc>
        <w:tc>
          <w:tcPr>
            <w:tcW w:w="937" w:type="pct"/>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质量水平</w:t>
            </w:r>
          </w:p>
        </w:tc>
        <w:tc>
          <w:tcPr>
            <w:tcW w:w="1814"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0.0787</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货品真实</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0.039</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商品或服务质量</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0.0397</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服务水平</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0.0746</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服务水平</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0.0746</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消费设施</w:t>
            </w:r>
          </w:p>
        </w:tc>
        <w:tc>
          <w:tcPr>
            <w:tcW w:w="1814"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0.0721</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安全性</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0.0378</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舒适性</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0.0343</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价格合理</w:t>
            </w:r>
          </w:p>
        </w:tc>
        <w:tc>
          <w:tcPr>
            <w:tcW w:w="1814"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0.0712</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价格公道</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0.0356</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明码标价</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0.0356</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信息真实</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0.0529</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信息真实</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0.0529</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售后保障</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0.0679</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售后保障</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0.0679</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商家信任度</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0.0642</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商家信任度</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0.0642</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交易安全</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0.0636</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交易安全</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0.0636</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消费知情权</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0.0473</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消费知情权</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0.0473</w:t>
            </w:r>
          </w:p>
        </w:tc>
      </w:tr>
      <w:tr w:rsidR="002D6C73">
        <w:trPr>
          <w:trHeight w:hRule="exact" w:val="340"/>
          <w:jc w:val="center"/>
        </w:trPr>
        <w:tc>
          <w:tcPr>
            <w:tcW w:w="796"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消费自主选择权</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0.045</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消费自主选择权</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0.045</w:t>
            </w:r>
          </w:p>
        </w:tc>
      </w:tr>
      <w:tr w:rsidR="002D6C73">
        <w:trPr>
          <w:trHeight w:hRule="exact" w:val="340"/>
          <w:jc w:val="center"/>
        </w:trPr>
        <w:tc>
          <w:tcPr>
            <w:tcW w:w="796" w:type="pct"/>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消费维权</w:t>
            </w:r>
          </w:p>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（0.2305）</w:t>
            </w:r>
          </w:p>
        </w:tc>
        <w:tc>
          <w:tcPr>
            <w:tcW w:w="937" w:type="pct"/>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权益保护</w:t>
            </w:r>
          </w:p>
        </w:tc>
        <w:tc>
          <w:tcPr>
            <w:tcW w:w="1814"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0.0696</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维</w:t>
            </w:r>
            <w:proofErr w:type="gramStart"/>
            <w:r>
              <w:rPr>
                <w:rFonts w:ascii="仿宋" w:eastAsia="仿宋" w:hAnsi="仿宋" w:cs="仿宋" w:hint="eastAsia"/>
                <w:bCs/>
                <w:color w:val="000000"/>
              </w:rPr>
              <w:t>权渠道</w:t>
            </w:r>
            <w:proofErr w:type="gramEnd"/>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0.0219</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维权效率</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0.0235</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维</w:t>
            </w:r>
            <w:proofErr w:type="gramStart"/>
            <w:r>
              <w:rPr>
                <w:rFonts w:ascii="仿宋" w:eastAsia="仿宋" w:hAnsi="仿宋" w:cs="仿宋" w:hint="eastAsia"/>
                <w:bCs/>
                <w:color w:val="000000"/>
              </w:rPr>
              <w:t>权结果</w:t>
            </w:r>
            <w:proofErr w:type="gramEnd"/>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0.0242</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消费宣传</w:t>
            </w:r>
          </w:p>
        </w:tc>
        <w:tc>
          <w:tcPr>
            <w:tcW w:w="1814"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0.0738</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消费警示提示</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0.0374</w:t>
            </w:r>
          </w:p>
        </w:tc>
      </w:tr>
      <w:tr w:rsidR="002D6C73">
        <w:trPr>
          <w:trHeight w:hRule="exact" w:val="340"/>
          <w:jc w:val="center"/>
        </w:trPr>
        <w:tc>
          <w:tcPr>
            <w:tcW w:w="796" w:type="pct"/>
            <w:vMerge/>
            <w:tcBorders>
              <w:left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消费知识法制宣传</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0.0364</w:t>
            </w:r>
          </w:p>
        </w:tc>
      </w:tr>
      <w:tr w:rsidR="002D6C73">
        <w:trPr>
          <w:trHeight w:hRule="exact" w:val="340"/>
          <w:jc w:val="center"/>
        </w:trPr>
        <w:tc>
          <w:tcPr>
            <w:tcW w:w="796" w:type="pct"/>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2D6C73">
            <w:pPr>
              <w:jc w:val="center"/>
              <w:textAlignment w:val="center"/>
              <w:rPr>
                <w:rFonts w:ascii="仿宋" w:eastAsia="仿宋" w:hAnsi="仿宋" w:cs="仿宋"/>
                <w:bCs/>
                <w:color w:val="00000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消费执法</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0.0871</w:t>
            </w:r>
          </w:p>
        </w:tc>
        <w:tc>
          <w:tcPr>
            <w:tcW w:w="10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bCs/>
                <w:color w:val="000000"/>
              </w:rPr>
              <w:t>消费执法</w:t>
            </w:r>
          </w:p>
        </w:tc>
        <w:tc>
          <w:tcPr>
            <w:tcW w:w="10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bCs/>
                <w:color w:val="000000"/>
              </w:rPr>
            </w:pPr>
            <w:r>
              <w:rPr>
                <w:rFonts w:ascii="仿宋" w:eastAsia="仿宋" w:hAnsi="仿宋" w:cs="仿宋" w:hint="eastAsia"/>
                <w:color w:val="000000"/>
                <w:lang w:bidi="ar"/>
              </w:rPr>
              <w:t>0.0871</w:t>
            </w:r>
          </w:p>
        </w:tc>
      </w:tr>
    </w:tbl>
    <w:p w:rsidR="002D6C73" w:rsidRDefault="00FB6868">
      <w:pPr>
        <w:pStyle w:val="2"/>
        <w:rPr>
          <w:rFonts w:ascii="黑体" w:eastAsia="黑体" w:hAnsi="黑体" w:cs="黑体"/>
          <w:b w:val="0"/>
          <w:bCs/>
          <w:i w:val="0"/>
          <w:iCs/>
          <w:sz w:val="32"/>
          <w:szCs w:val="28"/>
        </w:rPr>
      </w:pPr>
      <w:r>
        <w:rPr>
          <w:rFonts w:ascii="黑体" w:eastAsia="黑体" w:hAnsi="黑体" w:cs="黑体" w:hint="eastAsia"/>
          <w:b w:val="0"/>
          <w:bCs/>
          <w:i w:val="0"/>
          <w:iCs/>
          <w:sz w:val="32"/>
          <w:szCs w:val="28"/>
        </w:rPr>
        <w:lastRenderedPageBreak/>
        <w:t>二、城市选取与样本量设计</w:t>
      </w:r>
      <w:bookmarkEnd w:id="6"/>
      <w:bookmarkEnd w:id="7"/>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2021年消费者满意度测评城市数量为</w:t>
      </w:r>
      <w:r>
        <w:rPr>
          <w:rFonts w:ascii="仿宋" w:eastAsia="仿宋" w:hAnsi="仿宋" w:cs="仿宋"/>
          <w:sz w:val="32"/>
          <w:szCs w:val="32"/>
        </w:rPr>
        <w:t>100个，包括27</w:t>
      </w:r>
      <w:r>
        <w:rPr>
          <w:rFonts w:ascii="仿宋" w:eastAsia="仿宋" w:hAnsi="仿宋" w:cs="仿宋" w:hint="eastAsia"/>
          <w:sz w:val="32"/>
          <w:szCs w:val="32"/>
        </w:rPr>
        <w:t>个省会城市（含首府城市，以下同）、</w:t>
      </w:r>
      <w:r>
        <w:rPr>
          <w:rFonts w:ascii="仿宋" w:eastAsia="仿宋" w:hAnsi="仿宋" w:cs="仿宋"/>
          <w:sz w:val="32"/>
          <w:szCs w:val="32"/>
        </w:rPr>
        <w:t>4</w:t>
      </w:r>
      <w:r>
        <w:rPr>
          <w:rFonts w:ascii="仿宋" w:eastAsia="仿宋" w:hAnsi="仿宋" w:cs="仿宋" w:hint="eastAsia"/>
          <w:sz w:val="32"/>
          <w:szCs w:val="32"/>
        </w:rPr>
        <w:t>个直辖市、</w:t>
      </w:r>
      <w:r>
        <w:rPr>
          <w:rFonts w:ascii="仿宋" w:eastAsia="仿宋" w:hAnsi="仿宋" w:cs="仿宋"/>
          <w:sz w:val="32"/>
          <w:szCs w:val="32"/>
        </w:rPr>
        <w:t>5</w:t>
      </w:r>
      <w:r>
        <w:rPr>
          <w:rFonts w:ascii="仿宋" w:eastAsia="仿宋" w:hAnsi="仿宋" w:cs="仿宋" w:hint="eastAsia"/>
          <w:sz w:val="32"/>
          <w:szCs w:val="32"/>
        </w:rPr>
        <w:t>个计划单列市和</w:t>
      </w:r>
      <w:r>
        <w:rPr>
          <w:rFonts w:ascii="仿宋" w:eastAsia="仿宋" w:hAnsi="仿宋" w:cs="仿宋"/>
          <w:sz w:val="32"/>
          <w:szCs w:val="32"/>
        </w:rPr>
        <w:t>64</w:t>
      </w:r>
      <w:r>
        <w:rPr>
          <w:rFonts w:ascii="仿宋" w:eastAsia="仿宋" w:hAnsi="仿宋" w:cs="仿宋" w:hint="eastAsia"/>
          <w:sz w:val="32"/>
          <w:szCs w:val="32"/>
        </w:rPr>
        <w:t>个地级市（州），测评范围与2020年保持一致。</w:t>
      </w:r>
    </w:p>
    <w:p w:rsidR="002D6C73" w:rsidRDefault="00FB6868">
      <w:pPr>
        <w:ind w:firstLineChars="200" w:firstLine="640"/>
        <w:jc w:val="both"/>
        <w:rPr>
          <w:rFonts w:ascii="仿宋" w:eastAsia="仿宋" w:hAnsi="仿宋" w:cs="仿宋"/>
          <w:spacing w:val="-4"/>
          <w:sz w:val="32"/>
          <w:szCs w:val="32"/>
        </w:rPr>
      </w:pPr>
      <w:r>
        <w:rPr>
          <w:rFonts w:ascii="仿宋" w:eastAsia="仿宋" w:hAnsi="仿宋" w:cs="仿宋" w:hint="eastAsia"/>
          <w:sz w:val="32"/>
          <w:szCs w:val="32"/>
        </w:rPr>
        <w:t>一般来说，测评城市确定之后，应该基于各城市的异质性确定样本量</w:t>
      </w:r>
      <w:r>
        <w:rPr>
          <w:rFonts w:ascii="仿宋" w:eastAsia="仿宋" w:hAnsi="仿宋" w:cs="仿宋" w:hint="eastAsia"/>
          <w:spacing w:val="-4"/>
          <w:sz w:val="32"/>
          <w:szCs w:val="32"/>
        </w:rPr>
        <w:t>，即异质性越大，所需调查样本则越多。调查中不同城市的异质性可以考虑各城市人均消费的标准差或各城市恩格尔系数等，但是目前掌握所有地级市的相应数据较为困难，因此本次测评对样本量的确定方法做出了适当调整。</w:t>
      </w:r>
    </w:p>
    <w:p w:rsidR="00486C58"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2021年</w:t>
      </w:r>
      <w:r w:rsidR="00486C58">
        <w:rPr>
          <w:rFonts w:ascii="仿宋" w:eastAsia="仿宋" w:hAnsi="仿宋" w:cs="仿宋" w:hint="eastAsia"/>
          <w:sz w:val="32"/>
          <w:szCs w:val="32"/>
        </w:rPr>
        <w:t>测评</w:t>
      </w:r>
      <w:r>
        <w:rPr>
          <w:rFonts w:ascii="仿宋" w:eastAsia="仿宋" w:hAnsi="仿宋" w:cs="仿宋"/>
          <w:sz w:val="32"/>
          <w:szCs w:val="32"/>
        </w:rPr>
        <w:t>采用按比例分配的方式确定样本量，即根据不同</w:t>
      </w:r>
      <w:r>
        <w:rPr>
          <w:rFonts w:ascii="仿宋" w:eastAsia="仿宋" w:hAnsi="仿宋" w:cs="仿宋" w:hint="eastAsia"/>
          <w:sz w:val="32"/>
          <w:szCs w:val="32"/>
        </w:rPr>
        <w:t>城市人口规模占</w:t>
      </w:r>
      <w:r>
        <w:rPr>
          <w:rFonts w:ascii="仿宋" w:eastAsia="仿宋" w:hAnsi="仿宋" w:cs="仿宋"/>
          <w:sz w:val="32"/>
          <w:szCs w:val="32"/>
        </w:rPr>
        <w:t>100</w:t>
      </w:r>
      <w:r>
        <w:rPr>
          <w:rFonts w:ascii="仿宋" w:eastAsia="仿宋" w:hAnsi="仿宋" w:cs="仿宋" w:hint="eastAsia"/>
          <w:sz w:val="32"/>
          <w:szCs w:val="32"/>
        </w:rPr>
        <w:t>个城市的总人口比例确定各城市的样本量，从而使所有城市的样本以相同概率入样，再</w:t>
      </w:r>
      <w:r w:rsidR="00340670">
        <w:rPr>
          <w:rFonts w:ascii="仿宋" w:eastAsia="仿宋" w:hAnsi="仿宋" w:cs="仿宋" w:hint="eastAsia"/>
          <w:sz w:val="32"/>
          <w:szCs w:val="32"/>
        </w:rPr>
        <w:t>结合辖区社区分布、疫情防控等因素</w:t>
      </w:r>
      <w:r>
        <w:rPr>
          <w:rFonts w:ascii="仿宋" w:eastAsia="仿宋" w:hAnsi="仿宋" w:cs="仿宋" w:hint="eastAsia"/>
          <w:sz w:val="32"/>
          <w:szCs w:val="32"/>
        </w:rPr>
        <w:t>对部分城市进行微调。</w:t>
      </w:r>
    </w:p>
    <w:p w:rsidR="00486C58" w:rsidRDefault="00FB6868" w:rsidP="00486C58">
      <w:pPr>
        <w:ind w:firstLineChars="200" w:firstLine="640"/>
        <w:jc w:val="both"/>
        <w:rPr>
          <w:rFonts w:ascii="仿宋" w:eastAsia="仿宋" w:hAnsi="仿宋" w:cs="仿宋"/>
          <w:sz w:val="32"/>
          <w:szCs w:val="32"/>
        </w:rPr>
      </w:pPr>
      <w:r>
        <w:rPr>
          <w:rFonts w:ascii="仿宋" w:eastAsia="仿宋" w:hAnsi="仿宋" w:cs="仿宋" w:hint="eastAsia"/>
          <w:sz w:val="32"/>
          <w:szCs w:val="32"/>
        </w:rPr>
        <w:t>2021年</w:t>
      </w:r>
      <w:r w:rsidR="00486C58">
        <w:rPr>
          <w:rFonts w:ascii="仿宋" w:eastAsia="仿宋" w:hAnsi="仿宋" w:cs="仿宋" w:hint="eastAsia"/>
          <w:sz w:val="32"/>
          <w:szCs w:val="32"/>
        </w:rPr>
        <w:t>测评工作</w:t>
      </w:r>
      <w:r>
        <w:rPr>
          <w:rFonts w:ascii="仿宋" w:eastAsia="仿宋" w:hAnsi="仿宋" w:cs="仿宋" w:hint="eastAsia"/>
          <w:sz w:val="32"/>
          <w:szCs w:val="32"/>
        </w:rPr>
        <w:t>实际完成</w:t>
      </w:r>
      <w:r w:rsidRPr="00486C58">
        <w:rPr>
          <w:rFonts w:ascii="仿宋" w:eastAsia="仿宋" w:hAnsi="仿宋" w:cs="仿宋" w:hint="eastAsia"/>
          <w:b/>
          <w:sz w:val="32"/>
          <w:szCs w:val="32"/>
        </w:rPr>
        <w:t>60424</w:t>
      </w:r>
      <w:r>
        <w:rPr>
          <w:rFonts w:ascii="仿宋" w:eastAsia="仿宋" w:hAnsi="仿宋" w:cs="仿宋" w:hint="eastAsia"/>
          <w:sz w:val="32"/>
          <w:szCs w:val="32"/>
        </w:rPr>
        <w:t>个样本。</w:t>
      </w:r>
      <w:r w:rsidR="00486C58">
        <w:rPr>
          <w:rFonts w:ascii="仿宋" w:eastAsia="仿宋" w:hAnsi="仿宋" w:cs="仿宋" w:hint="eastAsia"/>
          <w:sz w:val="32"/>
          <w:szCs w:val="32"/>
        </w:rPr>
        <w:t>各城市样本量分布如下表2所示。</w:t>
      </w:r>
    </w:p>
    <w:p w:rsidR="002D6C73" w:rsidRDefault="00FB6868">
      <w:pPr>
        <w:jc w:val="center"/>
        <w:rPr>
          <w:rFonts w:ascii="黑体" w:eastAsia="黑体" w:hAnsi="黑体" w:cs="黑体"/>
          <w:sz w:val="28"/>
          <w:szCs w:val="28"/>
        </w:rPr>
      </w:pPr>
      <w:r>
        <w:rPr>
          <w:rFonts w:ascii="黑体" w:eastAsia="黑体" w:hAnsi="黑体" w:cs="黑体" w:hint="eastAsia"/>
          <w:sz w:val="28"/>
          <w:szCs w:val="28"/>
        </w:rPr>
        <w:t xml:space="preserve">表2 </w:t>
      </w:r>
      <w:r>
        <w:rPr>
          <w:rFonts w:ascii="黑体" w:eastAsia="黑体" w:hAnsi="黑体" w:cs="黑体" w:hint="eastAsia"/>
          <w:color w:val="1C1C1C"/>
          <w:sz w:val="28"/>
          <w:szCs w:val="28"/>
        </w:rPr>
        <w:t>2021年消费者满意度调查城市名单及实际样本量</w:t>
      </w:r>
    </w:p>
    <w:tbl>
      <w:tblPr>
        <w:tblW w:w="4998" w:type="pct"/>
        <w:tblCellMar>
          <w:left w:w="0" w:type="dxa"/>
          <w:right w:w="0" w:type="dxa"/>
        </w:tblCellMar>
        <w:tblLook w:val="04A0" w:firstRow="1" w:lastRow="0" w:firstColumn="1" w:lastColumn="0" w:noHBand="0" w:noVBand="1"/>
      </w:tblPr>
      <w:tblGrid>
        <w:gridCol w:w="922"/>
        <w:gridCol w:w="2040"/>
        <w:gridCol w:w="2020"/>
        <w:gridCol w:w="1779"/>
        <w:gridCol w:w="1522"/>
      </w:tblGrid>
      <w:tr w:rsidR="002D6C73">
        <w:trPr>
          <w:trHeight w:val="357"/>
          <w:tblHeader/>
        </w:trPr>
        <w:tc>
          <w:tcPr>
            <w:tcW w:w="556" w:type="pct"/>
            <w:tcBorders>
              <w:top w:val="single" w:sz="8" w:space="0" w:color="000000"/>
              <w:left w:val="single" w:sz="8" w:space="0" w:color="000000"/>
              <w:bottom w:val="single" w:sz="8" w:space="0" w:color="000000"/>
              <w:right w:val="single" w:sz="8" w:space="0" w:color="000000"/>
            </w:tcBorders>
            <w:shd w:val="clear" w:color="auto" w:fill="4472C4" w:themeFill="accent5"/>
            <w:tcMar>
              <w:top w:w="15" w:type="dxa"/>
              <w:left w:w="15" w:type="dxa"/>
              <w:right w:w="15" w:type="dxa"/>
            </w:tcMar>
            <w:vAlign w:val="center"/>
          </w:tcPr>
          <w:p w:rsidR="002D6C73" w:rsidRDefault="00FB6868">
            <w:pPr>
              <w:jc w:val="center"/>
              <w:textAlignment w:val="center"/>
              <w:rPr>
                <w:b/>
                <w:color w:val="000000"/>
              </w:rPr>
            </w:pPr>
            <w:r>
              <w:rPr>
                <w:rFonts w:hint="eastAsia"/>
                <w:b/>
                <w:color w:val="000000"/>
              </w:rPr>
              <w:t>序号</w:t>
            </w:r>
          </w:p>
        </w:tc>
        <w:tc>
          <w:tcPr>
            <w:tcW w:w="1231" w:type="pct"/>
            <w:tcBorders>
              <w:top w:val="single" w:sz="8" w:space="0" w:color="000000"/>
              <w:left w:val="nil"/>
              <w:bottom w:val="single" w:sz="8" w:space="0" w:color="000000"/>
              <w:right w:val="single" w:sz="8" w:space="0" w:color="000000"/>
            </w:tcBorders>
            <w:shd w:val="clear" w:color="auto" w:fill="4472C4" w:themeFill="accent5"/>
            <w:tcMar>
              <w:top w:w="15" w:type="dxa"/>
              <w:left w:w="15" w:type="dxa"/>
              <w:right w:w="15" w:type="dxa"/>
            </w:tcMar>
            <w:vAlign w:val="center"/>
          </w:tcPr>
          <w:p w:rsidR="002D6C73" w:rsidRDefault="00FB6868">
            <w:pPr>
              <w:jc w:val="center"/>
              <w:textAlignment w:val="center"/>
              <w:rPr>
                <w:b/>
                <w:color w:val="000000"/>
              </w:rPr>
            </w:pPr>
            <w:r>
              <w:rPr>
                <w:rFonts w:hint="eastAsia"/>
                <w:b/>
                <w:color w:val="000000"/>
              </w:rPr>
              <w:t>省份</w:t>
            </w:r>
          </w:p>
        </w:tc>
        <w:tc>
          <w:tcPr>
            <w:tcW w:w="1219" w:type="pct"/>
            <w:tcBorders>
              <w:top w:val="single" w:sz="8" w:space="0" w:color="000000"/>
              <w:left w:val="nil"/>
              <w:bottom w:val="single" w:sz="8" w:space="0" w:color="000000"/>
              <w:right w:val="single" w:sz="8" w:space="0" w:color="000000"/>
            </w:tcBorders>
            <w:shd w:val="clear" w:color="auto" w:fill="4472C4" w:themeFill="accent5"/>
            <w:tcMar>
              <w:top w:w="15" w:type="dxa"/>
              <w:left w:w="15" w:type="dxa"/>
              <w:right w:w="15" w:type="dxa"/>
            </w:tcMar>
            <w:vAlign w:val="center"/>
          </w:tcPr>
          <w:p w:rsidR="002D6C73" w:rsidRDefault="00FB6868">
            <w:pPr>
              <w:jc w:val="center"/>
              <w:textAlignment w:val="center"/>
              <w:rPr>
                <w:b/>
                <w:color w:val="000000"/>
              </w:rPr>
            </w:pPr>
            <w:r>
              <w:rPr>
                <w:rFonts w:hint="eastAsia"/>
                <w:b/>
                <w:color w:val="000000"/>
              </w:rPr>
              <w:t>城市</w:t>
            </w:r>
          </w:p>
        </w:tc>
        <w:tc>
          <w:tcPr>
            <w:tcW w:w="1074" w:type="pct"/>
            <w:tcBorders>
              <w:top w:val="single" w:sz="8" w:space="0" w:color="000000"/>
              <w:left w:val="nil"/>
              <w:bottom w:val="single" w:sz="8" w:space="0" w:color="000000"/>
              <w:right w:val="single" w:sz="8" w:space="0" w:color="000000"/>
            </w:tcBorders>
            <w:shd w:val="clear" w:color="auto" w:fill="4472C4" w:themeFill="accent5"/>
            <w:tcMar>
              <w:top w:w="15" w:type="dxa"/>
              <w:left w:w="15" w:type="dxa"/>
              <w:right w:w="15" w:type="dxa"/>
            </w:tcMar>
            <w:vAlign w:val="center"/>
          </w:tcPr>
          <w:p w:rsidR="002D6C73" w:rsidRDefault="00FB6868">
            <w:pPr>
              <w:jc w:val="center"/>
              <w:textAlignment w:val="center"/>
              <w:rPr>
                <w:b/>
                <w:color w:val="000000"/>
              </w:rPr>
            </w:pPr>
            <w:r>
              <w:rPr>
                <w:rFonts w:hint="eastAsia"/>
                <w:b/>
                <w:color w:val="000000"/>
              </w:rPr>
              <w:t>行政级别</w:t>
            </w:r>
          </w:p>
        </w:tc>
        <w:tc>
          <w:tcPr>
            <w:tcW w:w="919" w:type="pct"/>
            <w:tcBorders>
              <w:top w:val="single" w:sz="8" w:space="0" w:color="000000"/>
              <w:left w:val="nil"/>
              <w:bottom w:val="single" w:sz="8" w:space="0" w:color="000000"/>
              <w:right w:val="single" w:sz="8" w:space="0" w:color="000000"/>
            </w:tcBorders>
            <w:shd w:val="clear" w:color="auto" w:fill="4472C4" w:themeFill="accent5"/>
            <w:tcMar>
              <w:top w:w="15" w:type="dxa"/>
              <w:left w:w="15" w:type="dxa"/>
              <w:right w:w="15" w:type="dxa"/>
            </w:tcMar>
            <w:vAlign w:val="center"/>
          </w:tcPr>
          <w:p w:rsidR="002D6C73" w:rsidRDefault="00FB6868">
            <w:pPr>
              <w:jc w:val="center"/>
              <w:textAlignment w:val="center"/>
              <w:rPr>
                <w:b/>
                <w:color w:val="000000"/>
              </w:rPr>
            </w:pPr>
            <w:r>
              <w:rPr>
                <w:rFonts w:hint="eastAsia"/>
                <w:b/>
                <w:color w:val="000000"/>
              </w:rPr>
              <w:t>实际样本量</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w:t>
            </w:r>
          </w:p>
        </w:tc>
        <w:tc>
          <w:tcPr>
            <w:tcW w:w="1231"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北京市</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北京市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直辖市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1573</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2</w:t>
            </w:r>
          </w:p>
        </w:tc>
        <w:tc>
          <w:tcPr>
            <w:tcW w:w="1231"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天津市</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天津市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直辖市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883</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河北省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（4）</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石家庄市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672</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4</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唐山市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506</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保定市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599</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邯郸市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516</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山西省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太原市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510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运城市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lastRenderedPageBreak/>
              <w:t>9</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大同市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509</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10</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内蒙古自治区</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rPr>
            </w:pPr>
            <w:r>
              <w:rPr>
                <w:rFonts w:ascii="仿宋" w:eastAsia="仿宋" w:hAnsi="仿宋" w:cs="仿宋" w:hint="eastAsia"/>
              </w:rPr>
              <w:t>呼和浩特市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rPr>
            </w:pPr>
            <w:r>
              <w:rPr>
                <w:rFonts w:ascii="仿宋" w:eastAsia="仿宋" w:hAnsi="仿宋" w:cs="仿宋" w:hint="eastAsia"/>
              </w:rPr>
              <w:t>首府城市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507</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11</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包头市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504</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12</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鄂尔多斯市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507</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13</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辽宁省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沈阳市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819</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14</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大连市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计划单列市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577</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15</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鞍山市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509</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16</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吉林省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长春市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599</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17</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吉林市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507</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18</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松原市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502</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19</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黑龙江省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哈尔滨市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740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20</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大庆市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21</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齐齐哈尔市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22</w:t>
            </w:r>
          </w:p>
        </w:tc>
        <w:tc>
          <w:tcPr>
            <w:tcW w:w="1231"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上海市</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上海市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直辖市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1672</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23</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江苏省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南京市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997</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24</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苏州市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506</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25</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无锡市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579</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26</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徐州市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506</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27</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南通市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726</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28</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常州市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506</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29</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盐城市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30</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浙江省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杭州市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856</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31</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宁波市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计划单列市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598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32</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温州市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568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33</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台州市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501</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34</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金华市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510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35</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嘉兴市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36</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绍兴市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37</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安徽省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合肥市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605</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38</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芜湖市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503</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39</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阜阳市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534</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40</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福建省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福州市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41</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泉州市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502</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42</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厦门市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计划单列市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559</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43</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江西省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南昌市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506</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44</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赣州市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45</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上饶市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46</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山东省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济南市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653</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47</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青岛市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计划单列市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642</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lastRenderedPageBreak/>
              <w:t>48</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烟台市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505</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49</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潍坊市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507</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临沂市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537</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51</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淄博市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532</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52</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济宁市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563</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53</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河南省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郑州市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698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54</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洛阳市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55</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南阳市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618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56</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湖北省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武汉市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868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57</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襄阳市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58</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宜昌市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59</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湖南省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长沙市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716</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60</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岳阳市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505</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61</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衡阳市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507</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62</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广东省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广州市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1382</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63</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深圳市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计划单列市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1081</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64</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佛山市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65</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东莞市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604</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66</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汕头市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722</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67</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广西壮族自治区</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rPr>
            </w:pPr>
            <w:r>
              <w:rPr>
                <w:rFonts w:ascii="仿宋" w:eastAsia="仿宋" w:hAnsi="仿宋" w:cs="仿宋" w:hint="eastAsia"/>
              </w:rPr>
              <w:t>南宁市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rPr>
            </w:pPr>
            <w:r>
              <w:rPr>
                <w:rFonts w:ascii="仿宋" w:eastAsia="仿宋" w:hAnsi="仿宋" w:cs="仿宋" w:hint="eastAsia"/>
              </w:rPr>
              <w:t>首府城市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531</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68</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柳州市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69</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桂林市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70</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海南省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海口市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71</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三亚市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505</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72</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儋州市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503</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73</w:t>
            </w:r>
          </w:p>
        </w:tc>
        <w:tc>
          <w:tcPr>
            <w:tcW w:w="1231"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重庆市</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重庆市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直辖市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1067</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74</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四川省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成都市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1205</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75</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绵阳市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510</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76</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南充市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509</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77</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贵州省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贵阳市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78</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遵义市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79</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毕节市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80</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云南省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昆明市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622</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81</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曲靖市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511</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82</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玉溪市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504</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83</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西藏自治区</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rPr>
            </w:pPr>
            <w:r>
              <w:rPr>
                <w:rFonts w:ascii="仿宋" w:eastAsia="仿宋" w:hAnsi="仿宋" w:cs="仿宋" w:hint="eastAsia"/>
              </w:rPr>
              <w:t>拉萨市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rPr>
            </w:pPr>
            <w:r>
              <w:rPr>
                <w:rFonts w:ascii="仿宋" w:eastAsia="仿宋" w:hAnsi="仿宋" w:cs="仿宋" w:hint="eastAsia"/>
              </w:rPr>
              <w:t>首府城市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503</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84</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日喀则市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85</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山南市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lastRenderedPageBreak/>
              <w:t>86</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陕西省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西安市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887</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87</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宝鸡市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507</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88</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渭南市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505</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89</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甘肃省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兰州市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90</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天水市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507</w:t>
            </w:r>
          </w:p>
        </w:tc>
      </w:tr>
      <w:tr w:rsidR="002D6C73">
        <w:trPr>
          <w:trHeight w:val="34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91</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proofErr w:type="gramStart"/>
            <w:r>
              <w:rPr>
                <w:rFonts w:ascii="仿宋" w:eastAsia="仿宋" w:hAnsi="仿宋" w:cs="仿宋" w:hint="eastAsia"/>
                <w:color w:val="000000"/>
              </w:rPr>
              <w:t>庆阳市</w:t>
            </w:r>
            <w:proofErr w:type="gramEnd"/>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504</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98</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青海省</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西宁市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省会城市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505</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93</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海东市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504</w:t>
            </w:r>
          </w:p>
        </w:tc>
      </w:tr>
      <w:tr w:rsidR="002D6C73">
        <w:trPr>
          <w:trHeight w:val="35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94</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0" w:type="dxa"/>
            </w:tcMar>
            <w:vAlign w:val="center"/>
          </w:tcPr>
          <w:p w:rsidR="002D6C73" w:rsidRDefault="00FB6868">
            <w:pPr>
              <w:jc w:val="center"/>
              <w:textAlignment w:val="center"/>
              <w:rPr>
                <w:rFonts w:ascii="仿宋" w:eastAsia="仿宋" w:hAnsi="仿宋" w:cs="仿宋"/>
                <w:color w:val="000000"/>
                <w:spacing w:val="-20"/>
              </w:rPr>
            </w:pPr>
            <w:r>
              <w:rPr>
                <w:rFonts w:ascii="仿宋" w:eastAsia="仿宋" w:hAnsi="仿宋" w:cs="仿宋" w:hint="eastAsia"/>
                <w:color w:val="000000"/>
                <w:spacing w:val="-20"/>
              </w:rPr>
              <w:t>海西蒙古族藏族自治州</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95</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宁夏回族自治区</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rPr>
            </w:pPr>
            <w:r>
              <w:rPr>
                <w:rFonts w:ascii="仿宋" w:eastAsia="仿宋" w:hAnsi="仿宋" w:cs="仿宋" w:hint="eastAsia"/>
              </w:rPr>
              <w:t>银川市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rPr>
            </w:pPr>
            <w:r>
              <w:rPr>
                <w:rFonts w:ascii="仿宋" w:eastAsia="仿宋" w:hAnsi="仿宋" w:cs="仿宋" w:hint="eastAsia"/>
              </w:rPr>
              <w:t>首府城市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505</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96</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吴忠市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97</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石嘴山市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508</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98</w:t>
            </w:r>
          </w:p>
        </w:tc>
        <w:tc>
          <w:tcPr>
            <w:tcW w:w="1231" w:type="pct"/>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新疆维吾尔自治区</w:t>
            </w:r>
          </w:p>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（3）</w:t>
            </w: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乌鲁木齐市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rPr>
            </w:pPr>
            <w:r>
              <w:rPr>
                <w:rFonts w:ascii="仿宋" w:eastAsia="仿宋" w:hAnsi="仿宋" w:cs="仿宋" w:hint="eastAsia"/>
              </w:rPr>
              <w:t>首府城市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500</w:t>
            </w:r>
          </w:p>
        </w:tc>
      </w:tr>
      <w:tr w:rsidR="002D6C73">
        <w:trPr>
          <w:trHeight w:val="300"/>
        </w:trPr>
        <w:tc>
          <w:tcPr>
            <w:tcW w:w="55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99</w:t>
            </w:r>
          </w:p>
        </w:tc>
        <w:tc>
          <w:tcPr>
            <w:tcW w:w="1231" w:type="pct"/>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哈密市</w:t>
            </w:r>
          </w:p>
        </w:tc>
        <w:tc>
          <w:tcPr>
            <w:tcW w:w="1074"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512</w:t>
            </w:r>
          </w:p>
        </w:tc>
      </w:tr>
      <w:tr w:rsidR="002D6C73">
        <w:trPr>
          <w:trHeight w:val="300"/>
        </w:trPr>
        <w:tc>
          <w:tcPr>
            <w:tcW w:w="556" w:type="pct"/>
            <w:tcBorders>
              <w:top w:val="nil"/>
              <w:left w:val="single" w:sz="8" w:space="0" w:color="000000"/>
              <w:bottom w:val="single" w:sz="4" w:space="0" w:color="auto"/>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100</w:t>
            </w:r>
          </w:p>
        </w:tc>
        <w:tc>
          <w:tcPr>
            <w:tcW w:w="1231" w:type="pct"/>
            <w:vMerge/>
            <w:tcBorders>
              <w:top w:val="nil"/>
              <w:left w:val="nil"/>
              <w:bottom w:val="single" w:sz="4" w:space="0" w:color="auto"/>
              <w:right w:val="single" w:sz="8" w:space="0" w:color="000000"/>
            </w:tcBorders>
            <w:shd w:val="clear" w:color="auto" w:fill="auto"/>
            <w:tcMar>
              <w:top w:w="15" w:type="dxa"/>
              <w:left w:w="15" w:type="dxa"/>
              <w:right w:w="15" w:type="dxa"/>
            </w:tcMar>
            <w:vAlign w:val="center"/>
          </w:tcPr>
          <w:p w:rsidR="002D6C73" w:rsidRDefault="002D6C73">
            <w:pPr>
              <w:jc w:val="center"/>
              <w:rPr>
                <w:rFonts w:ascii="仿宋" w:eastAsia="仿宋" w:hAnsi="仿宋" w:cs="仿宋"/>
                <w:color w:val="000000"/>
              </w:rPr>
            </w:pPr>
          </w:p>
        </w:tc>
        <w:tc>
          <w:tcPr>
            <w:tcW w:w="1219" w:type="pct"/>
            <w:tcBorders>
              <w:top w:val="nil"/>
              <w:left w:val="nil"/>
              <w:bottom w:val="single" w:sz="4" w:space="0" w:color="auto"/>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克拉玛依市</w:t>
            </w:r>
          </w:p>
        </w:tc>
        <w:tc>
          <w:tcPr>
            <w:tcW w:w="1074" w:type="pct"/>
            <w:tcBorders>
              <w:top w:val="nil"/>
              <w:left w:val="nil"/>
              <w:bottom w:val="single" w:sz="4" w:space="0" w:color="auto"/>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其他城市</w:t>
            </w:r>
          </w:p>
        </w:tc>
        <w:tc>
          <w:tcPr>
            <w:tcW w:w="1532" w:type="dxa"/>
            <w:tcBorders>
              <w:top w:val="nil"/>
              <w:left w:val="nil"/>
              <w:bottom w:val="single" w:sz="4" w:space="0" w:color="auto"/>
              <w:right w:val="single" w:sz="8" w:space="0" w:color="000000"/>
            </w:tcBorders>
            <w:shd w:val="clear" w:color="auto" w:fill="auto"/>
            <w:tcMar>
              <w:top w:w="15" w:type="dxa"/>
              <w:left w:w="15" w:type="dxa"/>
              <w:right w:w="15" w:type="dxa"/>
            </w:tcMar>
            <w:vAlign w:val="center"/>
          </w:tcPr>
          <w:p w:rsidR="002D6C73" w:rsidRDefault="00FB6868">
            <w:pPr>
              <w:jc w:val="center"/>
              <w:textAlignment w:val="center"/>
              <w:rPr>
                <w:rFonts w:ascii="仿宋" w:eastAsia="仿宋" w:hAnsi="仿宋" w:cs="仿宋"/>
                <w:color w:val="000000"/>
              </w:rPr>
            </w:pPr>
            <w:r>
              <w:rPr>
                <w:rFonts w:ascii="仿宋" w:eastAsia="仿宋" w:hAnsi="仿宋" w:cs="仿宋" w:hint="eastAsia"/>
                <w:color w:val="000000"/>
              </w:rPr>
              <w:t>509</w:t>
            </w:r>
          </w:p>
        </w:tc>
      </w:tr>
      <w:tr w:rsidR="002D6C73">
        <w:trPr>
          <w:trHeight w:val="300"/>
        </w:trPr>
        <w:tc>
          <w:tcPr>
            <w:tcW w:w="4080" w:type="pct"/>
            <w:gridSpan w:val="4"/>
            <w:tcBorders>
              <w:top w:val="single" w:sz="4" w:space="0" w:color="auto"/>
              <w:left w:val="single" w:sz="4" w:space="0" w:color="auto"/>
              <w:bottom w:val="single" w:sz="4" w:space="0" w:color="auto"/>
              <w:right w:val="nil"/>
            </w:tcBorders>
            <w:shd w:val="clear" w:color="auto" w:fill="auto"/>
            <w:tcMar>
              <w:top w:w="15" w:type="dxa"/>
              <w:left w:w="15" w:type="dxa"/>
              <w:right w:w="15" w:type="dxa"/>
            </w:tcMar>
            <w:vAlign w:val="center"/>
          </w:tcPr>
          <w:p w:rsidR="002D6C73" w:rsidRDefault="00FB6868">
            <w:pPr>
              <w:jc w:val="center"/>
              <w:textAlignment w:val="center"/>
              <w:rPr>
                <w:rFonts w:ascii="黑体" w:eastAsia="黑体" w:cs="黑体"/>
                <w:b/>
                <w:color w:val="000000"/>
              </w:rPr>
            </w:pPr>
            <w:r>
              <w:rPr>
                <w:rFonts w:ascii="黑体" w:eastAsia="黑体" w:cs="黑体" w:hint="eastAsia"/>
                <w:b/>
                <w:color w:val="000000"/>
              </w:rPr>
              <w:t>总样本量</w:t>
            </w:r>
          </w:p>
        </w:tc>
        <w:tc>
          <w:tcPr>
            <w:tcW w:w="919" w:type="pct"/>
            <w:tcBorders>
              <w:top w:val="single" w:sz="4" w:space="0" w:color="auto"/>
              <w:left w:val="single" w:sz="8" w:space="0" w:color="000000"/>
              <w:bottom w:val="single" w:sz="4" w:space="0" w:color="auto"/>
              <w:right w:val="single" w:sz="4" w:space="0" w:color="auto"/>
            </w:tcBorders>
            <w:shd w:val="clear" w:color="auto" w:fill="auto"/>
            <w:tcMar>
              <w:top w:w="15" w:type="dxa"/>
              <w:left w:w="15" w:type="dxa"/>
              <w:right w:w="15" w:type="dxa"/>
            </w:tcMar>
            <w:vAlign w:val="center"/>
          </w:tcPr>
          <w:p w:rsidR="002D6C73" w:rsidRDefault="00FB6868">
            <w:pPr>
              <w:jc w:val="center"/>
              <w:textAlignment w:val="center"/>
              <w:rPr>
                <w:rFonts w:ascii="黑体" w:eastAsia="黑体" w:cs="黑体"/>
                <w:b/>
                <w:color w:val="000000"/>
              </w:rPr>
            </w:pPr>
            <w:r>
              <w:rPr>
                <w:rFonts w:ascii="黑体" w:eastAsia="黑体" w:cs="黑体" w:hint="eastAsia"/>
                <w:b/>
                <w:color w:val="000000"/>
              </w:rPr>
              <w:t>60424</w:t>
            </w:r>
          </w:p>
        </w:tc>
      </w:tr>
    </w:tbl>
    <w:p w:rsidR="00C560C0" w:rsidRDefault="00C560C0" w:rsidP="00C560C0">
      <w:pPr>
        <w:rPr>
          <w:rFonts w:ascii="黑体" w:eastAsia="黑体" w:hAnsi="黑体" w:cs="黑体"/>
          <w:b/>
          <w:bCs/>
          <w:i/>
          <w:iCs/>
          <w:sz w:val="32"/>
          <w:szCs w:val="28"/>
        </w:rPr>
      </w:pPr>
      <w:bookmarkStart w:id="8" w:name="_Toc21036"/>
      <w:bookmarkStart w:id="9" w:name="_Toc62721749"/>
      <w:bookmarkStart w:id="10" w:name="_GoBack"/>
      <w:bookmarkEnd w:id="10"/>
    </w:p>
    <w:p w:rsidR="002D6C73" w:rsidRDefault="00FB6868">
      <w:pPr>
        <w:pStyle w:val="2"/>
        <w:rPr>
          <w:rFonts w:ascii="黑体" w:eastAsia="黑体" w:hAnsi="黑体" w:cs="黑体"/>
          <w:b w:val="0"/>
          <w:bCs/>
          <w:i w:val="0"/>
          <w:iCs/>
          <w:sz w:val="32"/>
          <w:szCs w:val="28"/>
        </w:rPr>
      </w:pPr>
      <w:r>
        <w:rPr>
          <w:rFonts w:ascii="黑体" w:eastAsia="黑体" w:hAnsi="黑体" w:cs="黑体" w:hint="eastAsia"/>
          <w:b w:val="0"/>
          <w:bCs/>
          <w:i w:val="0"/>
          <w:iCs/>
          <w:sz w:val="32"/>
          <w:szCs w:val="28"/>
        </w:rPr>
        <w:t>三、抽样设计</w:t>
      </w:r>
      <w:bookmarkEnd w:id="8"/>
      <w:bookmarkEnd w:id="9"/>
    </w:p>
    <w:p w:rsidR="002D6C73" w:rsidRDefault="00FB6868">
      <w:pPr>
        <w:spacing w:line="560" w:lineRule="exact"/>
        <w:ind w:firstLineChars="200" w:firstLine="640"/>
        <w:jc w:val="both"/>
      </w:pPr>
      <w:r>
        <w:rPr>
          <w:rFonts w:ascii="仿宋" w:eastAsia="仿宋" w:hAnsi="仿宋" w:cs="仿宋"/>
          <w:color w:val="1C1C1C"/>
          <w:sz w:val="32"/>
          <w:szCs w:val="32"/>
        </w:rPr>
        <w:t>为了保证调查的代表性，本次调查采用的是“城市</w:t>
      </w:r>
      <w:r w:rsidR="00340670">
        <w:rPr>
          <w:rFonts w:ascii="仿宋" w:eastAsia="仿宋" w:hAnsi="仿宋" w:cs="仿宋" w:hint="eastAsia"/>
          <w:color w:val="1C1C1C"/>
          <w:sz w:val="32"/>
          <w:szCs w:val="32"/>
        </w:rPr>
        <w:t>—</w:t>
      </w:r>
      <w:r>
        <w:rPr>
          <w:rFonts w:ascii="仿宋" w:eastAsia="仿宋" w:hAnsi="仿宋" w:cs="仿宋"/>
          <w:color w:val="1C1C1C"/>
          <w:sz w:val="32"/>
          <w:szCs w:val="32"/>
        </w:rPr>
        <w:t>市辖区</w:t>
      </w:r>
      <w:r w:rsidR="00340670">
        <w:rPr>
          <w:rFonts w:ascii="仿宋" w:eastAsia="仿宋" w:hAnsi="仿宋" w:cs="仿宋" w:hint="eastAsia"/>
          <w:color w:val="1C1C1C"/>
          <w:sz w:val="32"/>
          <w:szCs w:val="32"/>
        </w:rPr>
        <w:t>—</w:t>
      </w:r>
      <w:r>
        <w:rPr>
          <w:rFonts w:ascii="仿宋" w:eastAsia="仿宋" w:hAnsi="仿宋" w:cs="仿宋" w:hint="eastAsia"/>
          <w:color w:val="1C1C1C"/>
          <w:sz w:val="32"/>
          <w:szCs w:val="32"/>
        </w:rPr>
        <w:t>社区</w:t>
      </w:r>
      <w:r w:rsidR="00340670">
        <w:rPr>
          <w:rFonts w:ascii="仿宋" w:eastAsia="仿宋" w:hAnsi="仿宋" w:cs="仿宋" w:hint="eastAsia"/>
          <w:color w:val="1C1C1C"/>
          <w:sz w:val="32"/>
          <w:szCs w:val="32"/>
        </w:rPr>
        <w:t>—</w:t>
      </w:r>
      <w:r>
        <w:rPr>
          <w:rFonts w:ascii="仿宋" w:eastAsia="仿宋" w:hAnsi="仿宋" w:cs="仿宋" w:hint="eastAsia"/>
          <w:color w:val="1C1C1C"/>
          <w:sz w:val="32"/>
          <w:szCs w:val="32"/>
        </w:rPr>
        <w:t>受访者”的多阶段随机抽样方法。</w:t>
      </w:r>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首先，</w:t>
      </w:r>
      <w:r>
        <w:rPr>
          <w:rFonts w:ascii="仿宋" w:eastAsia="仿宋" w:hAnsi="仿宋" w:cs="仿宋"/>
          <w:color w:val="1C1C1C"/>
          <w:sz w:val="32"/>
          <w:szCs w:val="32"/>
        </w:rPr>
        <w:t>100</w:t>
      </w:r>
      <w:r>
        <w:rPr>
          <w:rFonts w:ascii="仿宋" w:eastAsia="仿宋" w:hAnsi="仿宋" w:cs="仿宋" w:hint="eastAsia"/>
          <w:color w:val="1C1C1C"/>
          <w:sz w:val="32"/>
          <w:szCs w:val="32"/>
        </w:rPr>
        <w:t>个调查城市的市辖区必然入选。其中，有两类城市没有市辖区。第一类是东莞市与儋州市为不设区的市，因此直接跳过这一步骤；第二类是海西蒙古族藏族自治州未明确市辖区范围，因此将其下属的三个县级市纳入本阶段抽样范围。</w:t>
      </w:r>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其次，将市辖区（含海西州的县级市）下的国家统计局城乡划分代码</w:t>
      </w:r>
      <w:r>
        <w:rPr>
          <w:rFonts w:ascii="仿宋" w:eastAsia="仿宋" w:hAnsi="仿宋" w:cs="仿宋"/>
          <w:color w:val="1C1C1C"/>
          <w:sz w:val="32"/>
          <w:szCs w:val="32"/>
        </w:rPr>
        <w:t>111</w:t>
      </w:r>
      <w:r>
        <w:rPr>
          <w:rFonts w:ascii="仿宋" w:eastAsia="仿宋" w:hAnsi="仿宋" w:cs="仿宋" w:hint="eastAsia"/>
          <w:color w:val="1C1C1C"/>
          <w:sz w:val="32"/>
          <w:szCs w:val="32"/>
        </w:rPr>
        <w:t>开头的社区作为抽样框，采用简单随机抽样的方式抽取社区（居委会</w:t>
      </w:r>
      <w:r>
        <w:rPr>
          <w:rFonts w:ascii="仿宋" w:eastAsia="仿宋" w:hAnsi="仿宋" w:cs="仿宋"/>
          <w:color w:val="1C1C1C"/>
          <w:sz w:val="32"/>
          <w:szCs w:val="32"/>
        </w:rPr>
        <w:t>/</w:t>
      </w:r>
      <w:r>
        <w:rPr>
          <w:rFonts w:ascii="仿宋" w:eastAsia="仿宋" w:hAnsi="仿宋" w:cs="仿宋" w:hint="eastAsia"/>
          <w:color w:val="1C1C1C"/>
          <w:sz w:val="32"/>
          <w:szCs w:val="32"/>
        </w:rPr>
        <w:t>村委会等）。东莞市与儋州市直接以国家统计局城乡划分代码</w:t>
      </w:r>
      <w:r>
        <w:rPr>
          <w:rFonts w:ascii="仿宋" w:eastAsia="仿宋" w:hAnsi="仿宋" w:cs="仿宋"/>
          <w:color w:val="1C1C1C"/>
          <w:sz w:val="32"/>
          <w:szCs w:val="32"/>
        </w:rPr>
        <w:t>111</w:t>
      </w:r>
      <w:r>
        <w:rPr>
          <w:rFonts w:ascii="仿宋" w:eastAsia="仿宋" w:hAnsi="仿宋" w:cs="仿宋" w:hint="eastAsia"/>
          <w:color w:val="1C1C1C"/>
          <w:sz w:val="32"/>
          <w:szCs w:val="32"/>
        </w:rPr>
        <w:t>开头的社区作为抽样框。</w:t>
      </w:r>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lastRenderedPageBreak/>
        <w:t>再次，采取配额抽样的方式在随机抽取确定的社区出入口附近对本社区常住居民进行拦截访问，具体操作为：在选定的拦截地点，随机拦截过路消费者进行甄别，对符合受访条件者进行访问。</w:t>
      </w:r>
    </w:p>
    <w:p w:rsidR="002D6C73" w:rsidRDefault="00FB6868">
      <w:pPr>
        <w:pStyle w:val="2"/>
        <w:spacing w:line="560" w:lineRule="exact"/>
        <w:rPr>
          <w:rFonts w:ascii="黑体" w:eastAsia="黑体" w:hAnsi="黑体" w:cs="黑体"/>
          <w:b w:val="0"/>
          <w:bCs/>
          <w:i w:val="0"/>
          <w:iCs/>
          <w:sz w:val="32"/>
          <w:szCs w:val="28"/>
        </w:rPr>
      </w:pPr>
      <w:bookmarkStart w:id="11" w:name="_Toc62721750"/>
      <w:bookmarkStart w:id="12" w:name="_Toc24890"/>
      <w:r>
        <w:rPr>
          <w:rFonts w:ascii="黑体" w:eastAsia="黑体" w:hAnsi="黑体" w:cs="黑体" w:hint="eastAsia"/>
          <w:b w:val="0"/>
          <w:bCs/>
          <w:i w:val="0"/>
          <w:iCs/>
          <w:sz w:val="32"/>
          <w:szCs w:val="28"/>
        </w:rPr>
        <w:t>四、调查方法设计</w:t>
      </w:r>
      <w:bookmarkEnd w:id="11"/>
      <w:bookmarkEnd w:id="12"/>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color w:val="1C1C1C"/>
          <w:sz w:val="32"/>
          <w:szCs w:val="32"/>
        </w:rPr>
        <w:t>调查</w:t>
      </w:r>
      <w:proofErr w:type="gramStart"/>
      <w:r>
        <w:rPr>
          <w:rFonts w:ascii="仿宋" w:eastAsia="仿宋" w:hAnsi="仿宋" w:cs="仿宋"/>
          <w:color w:val="1C1C1C"/>
          <w:sz w:val="32"/>
          <w:szCs w:val="32"/>
        </w:rPr>
        <w:t>采</w:t>
      </w:r>
      <w:r>
        <w:rPr>
          <w:rFonts w:ascii="仿宋" w:eastAsia="仿宋" w:hAnsi="仿宋" w:cs="仿宋" w:hint="eastAsia"/>
          <w:color w:val="1C1C1C"/>
          <w:sz w:val="32"/>
          <w:szCs w:val="32"/>
        </w:rPr>
        <w:t>用扫码答题</w:t>
      </w:r>
      <w:proofErr w:type="gramEnd"/>
      <w:r>
        <w:rPr>
          <w:rFonts w:ascii="仿宋" w:eastAsia="仿宋" w:hAnsi="仿宋" w:cs="仿宋" w:hint="eastAsia"/>
          <w:color w:val="1C1C1C"/>
          <w:sz w:val="32"/>
          <w:szCs w:val="32"/>
        </w:rPr>
        <w:t>的方式进行。即通过抽样选定居住小区后，在居住小区出入口对小区居民进行随机拦截，</w:t>
      </w:r>
      <w:proofErr w:type="gramStart"/>
      <w:r>
        <w:rPr>
          <w:rFonts w:ascii="仿宋" w:eastAsia="仿宋" w:hAnsi="仿宋" w:cs="仿宋" w:hint="eastAsia"/>
          <w:color w:val="1C1C1C"/>
          <w:sz w:val="32"/>
          <w:szCs w:val="32"/>
        </w:rPr>
        <w:t>请符合</w:t>
      </w:r>
      <w:proofErr w:type="gramEnd"/>
      <w:r>
        <w:rPr>
          <w:rFonts w:ascii="仿宋" w:eastAsia="仿宋" w:hAnsi="仿宋" w:cs="仿宋" w:hint="eastAsia"/>
          <w:color w:val="1C1C1C"/>
          <w:sz w:val="32"/>
          <w:szCs w:val="32"/>
        </w:rPr>
        <w:t>条件的居民扫描二</w:t>
      </w:r>
      <w:proofErr w:type="gramStart"/>
      <w:r>
        <w:rPr>
          <w:rFonts w:ascii="仿宋" w:eastAsia="仿宋" w:hAnsi="仿宋" w:cs="仿宋" w:hint="eastAsia"/>
          <w:color w:val="1C1C1C"/>
          <w:sz w:val="32"/>
          <w:szCs w:val="32"/>
        </w:rPr>
        <w:t>维码参</w:t>
      </w:r>
      <w:proofErr w:type="gramEnd"/>
      <w:r>
        <w:rPr>
          <w:rFonts w:ascii="仿宋" w:eastAsia="仿宋" w:hAnsi="仿宋" w:cs="仿宋" w:hint="eastAsia"/>
          <w:color w:val="1C1C1C"/>
          <w:sz w:val="32"/>
          <w:szCs w:val="32"/>
        </w:rPr>
        <w:t>与问卷调查。</w:t>
      </w:r>
    </w:p>
    <w:p w:rsidR="002D6C73" w:rsidRDefault="00FB6868">
      <w:pPr>
        <w:spacing w:line="560" w:lineRule="exact"/>
        <w:ind w:firstLineChars="200" w:firstLine="640"/>
        <w:jc w:val="both"/>
      </w:pPr>
      <w:r>
        <w:rPr>
          <w:rFonts w:ascii="仿宋" w:eastAsia="仿宋" w:hAnsi="仿宋" w:cs="仿宋" w:hint="eastAsia"/>
          <w:color w:val="1C1C1C"/>
          <w:sz w:val="32"/>
          <w:szCs w:val="32"/>
        </w:rPr>
        <w:t>调查开始之前，由技术人员将事先设计的问卷链接到调查</w:t>
      </w:r>
      <w:proofErr w:type="gramStart"/>
      <w:r>
        <w:rPr>
          <w:rFonts w:ascii="仿宋" w:eastAsia="仿宋" w:hAnsi="仿宋" w:cs="仿宋" w:hint="eastAsia"/>
          <w:color w:val="1C1C1C"/>
          <w:sz w:val="32"/>
          <w:szCs w:val="32"/>
        </w:rPr>
        <w:t>二维码中</w:t>
      </w:r>
      <w:proofErr w:type="gramEnd"/>
      <w:r>
        <w:rPr>
          <w:rFonts w:ascii="仿宋" w:eastAsia="仿宋" w:hAnsi="仿宋" w:cs="仿宋" w:hint="eastAsia"/>
          <w:color w:val="1C1C1C"/>
          <w:sz w:val="32"/>
          <w:szCs w:val="32"/>
        </w:rPr>
        <w:t>，答题过程中将自动保存所产生的数据资料，</w:t>
      </w:r>
      <w:proofErr w:type="gramStart"/>
      <w:r>
        <w:rPr>
          <w:rFonts w:ascii="仿宋" w:eastAsia="仿宋" w:hAnsi="仿宋" w:cs="仿宋" w:hint="eastAsia"/>
          <w:color w:val="1C1C1C"/>
          <w:sz w:val="32"/>
          <w:szCs w:val="32"/>
        </w:rPr>
        <w:t>且过</w:t>
      </w:r>
      <w:proofErr w:type="gramEnd"/>
      <w:r>
        <w:rPr>
          <w:rFonts w:ascii="仿宋" w:eastAsia="仿宋" w:hAnsi="仿宋" w:cs="仿宋" w:hint="eastAsia"/>
          <w:color w:val="1C1C1C"/>
          <w:sz w:val="32"/>
          <w:szCs w:val="32"/>
        </w:rPr>
        <w:t xml:space="preserve">程中受访者需进行手机号码验证，确保数据的真实性、稳定性和安全性。 </w:t>
      </w:r>
    </w:p>
    <w:p w:rsidR="002D6C73" w:rsidRDefault="00FB6868">
      <w:pPr>
        <w:pStyle w:val="2"/>
        <w:spacing w:line="560" w:lineRule="exact"/>
        <w:rPr>
          <w:rFonts w:ascii="黑体" w:eastAsia="黑体" w:hAnsi="黑体" w:cs="黑体"/>
          <w:b w:val="0"/>
          <w:bCs/>
          <w:i w:val="0"/>
          <w:iCs/>
          <w:sz w:val="32"/>
          <w:szCs w:val="28"/>
        </w:rPr>
      </w:pPr>
      <w:bookmarkStart w:id="13" w:name="_Toc30240"/>
      <w:bookmarkStart w:id="14" w:name="_Toc62721751"/>
      <w:r>
        <w:rPr>
          <w:rFonts w:ascii="黑体" w:eastAsia="黑体" w:hAnsi="黑体" w:cs="黑体" w:hint="eastAsia"/>
          <w:b w:val="0"/>
          <w:bCs/>
          <w:i w:val="0"/>
          <w:iCs/>
          <w:sz w:val="32"/>
          <w:szCs w:val="28"/>
        </w:rPr>
        <w:t>五、调查对象设计</w:t>
      </w:r>
      <w:bookmarkEnd w:id="13"/>
      <w:bookmarkEnd w:id="14"/>
    </w:p>
    <w:p w:rsidR="002D6C73" w:rsidRDefault="00FB6868">
      <w:pPr>
        <w:spacing w:line="560" w:lineRule="exact"/>
        <w:ind w:firstLineChars="200" w:firstLine="640"/>
        <w:jc w:val="both"/>
      </w:pPr>
      <w:r>
        <w:rPr>
          <w:rFonts w:ascii="仿宋" w:eastAsia="仿宋" w:hAnsi="仿宋" w:cs="仿宋"/>
          <w:color w:val="1C1C1C"/>
          <w:sz w:val="32"/>
          <w:szCs w:val="32"/>
        </w:rPr>
        <w:t xml:space="preserve">本次测评工作的调查对象需要同时满足以下条件： </w:t>
      </w:r>
    </w:p>
    <w:p w:rsidR="002D6C73" w:rsidRDefault="00FB6868">
      <w:pPr>
        <w:spacing w:line="560" w:lineRule="exact"/>
        <w:ind w:firstLineChars="200" w:firstLine="640"/>
        <w:jc w:val="both"/>
      </w:pPr>
      <w:r>
        <w:rPr>
          <w:rFonts w:ascii="TimesNewRomanPSMT" w:eastAsia="TimesNewRomanPSMT" w:hAnsi="TimesNewRomanPSMT" w:cs="TimesNewRomanPSMT"/>
          <w:color w:val="1C1C1C"/>
          <w:sz w:val="32"/>
          <w:szCs w:val="32"/>
        </w:rPr>
        <w:t>1.</w:t>
      </w:r>
      <w:r>
        <w:rPr>
          <w:rFonts w:ascii="仿宋" w:eastAsia="仿宋" w:hAnsi="仿宋" w:cs="仿宋" w:hint="eastAsia"/>
          <w:color w:val="1C1C1C"/>
          <w:sz w:val="32"/>
          <w:szCs w:val="32"/>
        </w:rPr>
        <w:t>被测评城市市辖区内的常住人口，即连续居住</w:t>
      </w:r>
      <w:r>
        <w:rPr>
          <w:rFonts w:ascii="TimesNewRomanPSMT" w:eastAsia="TimesNewRomanPSMT" w:hAnsi="TimesNewRomanPSMT" w:cs="TimesNewRomanPSMT"/>
          <w:color w:val="1C1C1C"/>
          <w:sz w:val="32"/>
          <w:szCs w:val="32"/>
        </w:rPr>
        <w:t>6</w:t>
      </w:r>
      <w:r>
        <w:rPr>
          <w:rFonts w:ascii="仿宋" w:eastAsia="仿宋" w:hAnsi="仿宋" w:cs="仿宋" w:hint="eastAsia"/>
          <w:color w:val="1C1C1C"/>
          <w:sz w:val="32"/>
          <w:szCs w:val="32"/>
        </w:rPr>
        <w:t xml:space="preserve">个月以上，包括本地户籍及非本地户籍居民； </w:t>
      </w:r>
    </w:p>
    <w:p w:rsidR="002D6C73" w:rsidRDefault="00FB6868">
      <w:pPr>
        <w:spacing w:line="560" w:lineRule="exact"/>
        <w:ind w:firstLineChars="200" w:firstLine="640"/>
        <w:jc w:val="both"/>
        <w:rPr>
          <w:rFonts w:ascii="仿宋" w:eastAsia="仿宋" w:hAnsi="仿宋" w:cs="仿宋"/>
          <w:color w:val="1C1C1C"/>
          <w:sz w:val="32"/>
          <w:szCs w:val="32"/>
        </w:rPr>
      </w:pPr>
      <w:r>
        <w:rPr>
          <w:rFonts w:ascii="TimesNewRomanPSMT" w:eastAsia="TimesNewRomanPSMT" w:hAnsi="TimesNewRomanPSMT" w:cs="TimesNewRomanPSMT"/>
          <w:color w:val="1C1C1C"/>
          <w:sz w:val="32"/>
          <w:szCs w:val="32"/>
        </w:rPr>
        <w:t>2.</w:t>
      </w:r>
      <w:r>
        <w:rPr>
          <w:rFonts w:ascii="仿宋" w:eastAsia="仿宋" w:hAnsi="仿宋" w:cs="仿宋" w:hint="eastAsia"/>
          <w:color w:val="1C1C1C"/>
          <w:sz w:val="32"/>
          <w:szCs w:val="32"/>
        </w:rPr>
        <w:t xml:space="preserve">最近1个月有过线下日常消费行为； </w:t>
      </w:r>
    </w:p>
    <w:p w:rsidR="002D6C73" w:rsidRDefault="00FB6868">
      <w:pPr>
        <w:spacing w:line="560" w:lineRule="exact"/>
        <w:ind w:firstLineChars="200" w:firstLine="640"/>
        <w:jc w:val="both"/>
        <w:rPr>
          <w:rFonts w:ascii="仿宋" w:eastAsia="仿宋" w:hAnsi="仿宋" w:cs="仿宋"/>
          <w:color w:val="1C1C1C"/>
          <w:sz w:val="32"/>
          <w:szCs w:val="32"/>
        </w:rPr>
      </w:pPr>
      <w:r>
        <w:rPr>
          <w:rFonts w:ascii="TimesNewRomanPSMT" w:eastAsia="TimesNewRomanPSMT" w:hAnsi="TimesNewRomanPSMT" w:cs="TimesNewRomanPSMT"/>
          <w:color w:val="1C1C1C"/>
          <w:sz w:val="32"/>
          <w:szCs w:val="32"/>
        </w:rPr>
        <w:t>3.</w:t>
      </w:r>
      <w:r>
        <w:rPr>
          <w:rFonts w:ascii="仿宋" w:eastAsia="仿宋" w:hAnsi="仿宋" w:cs="仿宋" w:hint="eastAsia"/>
          <w:color w:val="1C1C1C"/>
          <w:sz w:val="32"/>
          <w:szCs w:val="32"/>
        </w:rPr>
        <w:t>年龄从</w:t>
      </w:r>
      <w:r>
        <w:rPr>
          <w:rFonts w:ascii="TimesNewRomanPSMT" w:eastAsia="TimesNewRomanPSMT" w:hAnsi="TimesNewRomanPSMT" w:cs="TimesNewRomanPSMT"/>
          <w:color w:val="1C1C1C"/>
          <w:sz w:val="32"/>
          <w:szCs w:val="32"/>
        </w:rPr>
        <w:t>15</w:t>
      </w:r>
      <w:r>
        <w:rPr>
          <w:rFonts w:ascii="仿宋" w:eastAsia="仿宋" w:hAnsi="仿宋" w:cs="仿宋" w:hint="eastAsia"/>
          <w:color w:val="1C1C1C"/>
          <w:sz w:val="32"/>
          <w:szCs w:val="32"/>
        </w:rPr>
        <w:t>岁至</w:t>
      </w:r>
      <w:r>
        <w:rPr>
          <w:rFonts w:ascii="TimesNewRomanPSMT" w:eastAsia="TimesNewRomanPSMT" w:hAnsi="TimesNewRomanPSMT" w:cs="TimesNewRomanPSMT"/>
          <w:color w:val="1C1C1C"/>
          <w:sz w:val="32"/>
          <w:szCs w:val="32"/>
        </w:rPr>
        <w:t>70</w:t>
      </w:r>
      <w:r>
        <w:rPr>
          <w:rFonts w:ascii="仿宋" w:eastAsia="仿宋" w:hAnsi="仿宋" w:cs="仿宋" w:hint="eastAsia"/>
          <w:color w:val="1C1C1C"/>
          <w:sz w:val="32"/>
          <w:szCs w:val="32"/>
        </w:rPr>
        <w:t>岁，并且年龄、性别分布符合参与调查城市相应人口的实际构成特征。</w:t>
      </w:r>
    </w:p>
    <w:p w:rsidR="002D6C73" w:rsidRDefault="00FB6868">
      <w:pPr>
        <w:pStyle w:val="2"/>
        <w:spacing w:line="560" w:lineRule="exact"/>
        <w:rPr>
          <w:rFonts w:ascii="黑体" w:eastAsia="黑体" w:hAnsi="黑体" w:cs="黑体"/>
          <w:b w:val="0"/>
          <w:bCs/>
          <w:i w:val="0"/>
          <w:iCs/>
          <w:sz w:val="32"/>
          <w:szCs w:val="28"/>
        </w:rPr>
      </w:pPr>
      <w:bookmarkStart w:id="15" w:name="_Toc62721752"/>
      <w:bookmarkStart w:id="16" w:name="_Toc21350"/>
      <w:r>
        <w:rPr>
          <w:rFonts w:ascii="黑体" w:eastAsia="黑体" w:hAnsi="黑体" w:cs="黑体" w:hint="eastAsia"/>
          <w:b w:val="0"/>
          <w:bCs/>
          <w:i w:val="0"/>
          <w:iCs/>
          <w:sz w:val="32"/>
          <w:szCs w:val="28"/>
        </w:rPr>
        <w:t>六、调查实施和质量控制</w:t>
      </w:r>
      <w:bookmarkEnd w:id="15"/>
      <w:bookmarkEnd w:id="16"/>
      <w:r>
        <w:rPr>
          <w:rFonts w:ascii="黑体" w:eastAsia="黑体" w:hAnsi="黑体" w:cs="黑体" w:hint="eastAsia"/>
          <w:b w:val="0"/>
          <w:bCs/>
          <w:i w:val="0"/>
          <w:iCs/>
          <w:sz w:val="32"/>
          <w:szCs w:val="28"/>
        </w:rPr>
        <w:t xml:space="preserve"> </w:t>
      </w:r>
    </w:p>
    <w:p w:rsidR="002D6C73" w:rsidRDefault="00FB6868">
      <w:pPr>
        <w:spacing w:line="560" w:lineRule="exact"/>
        <w:ind w:firstLineChars="200" w:firstLine="640"/>
        <w:jc w:val="both"/>
      </w:pPr>
      <w:r>
        <w:rPr>
          <w:rFonts w:ascii="仿宋" w:eastAsia="仿宋" w:hAnsi="仿宋" w:cs="仿宋"/>
          <w:color w:val="1C1C1C"/>
          <w:sz w:val="32"/>
          <w:szCs w:val="32"/>
        </w:rPr>
        <w:t>本次测评工作的实地调查访问从</w:t>
      </w:r>
      <w:r>
        <w:rPr>
          <w:rFonts w:ascii="TimesNewRomanPSMT" w:eastAsia="TimesNewRomanPSMT" w:hAnsi="TimesNewRomanPSMT" w:cs="TimesNewRomanPSMT"/>
          <w:color w:val="1C1C1C"/>
          <w:sz w:val="32"/>
          <w:szCs w:val="32"/>
        </w:rPr>
        <w:t>20</w:t>
      </w:r>
      <w:r>
        <w:rPr>
          <w:rFonts w:ascii="TimesNewRomanPSMT" w:eastAsia="TimesNewRomanPSMT" w:hAnsi="TimesNewRomanPSMT" w:cs="TimesNewRomanPSMT" w:hint="eastAsia"/>
          <w:color w:val="1C1C1C"/>
          <w:sz w:val="32"/>
          <w:szCs w:val="32"/>
        </w:rPr>
        <w:t>2</w:t>
      </w:r>
      <w:r>
        <w:rPr>
          <w:rFonts w:ascii="TimesNewRomanPSMT" w:hAnsi="TimesNewRomanPSMT" w:cs="TimesNewRomanPSMT" w:hint="eastAsia"/>
          <w:color w:val="1C1C1C"/>
          <w:sz w:val="32"/>
          <w:szCs w:val="32"/>
        </w:rPr>
        <w:t>1</w:t>
      </w:r>
      <w:r>
        <w:rPr>
          <w:rFonts w:ascii="仿宋" w:eastAsia="仿宋" w:hAnsi="仿宋" w:cs="仿宋" w:hint="eastAsia"/>
          <w:color w:val="1C1C1C"/>
          <w:sz w:val="32"/>
          <w:szCs w:val="32"/>
        </w:rPr>
        <w:t>年</w:t>
      </w:r>
      <w:r>
        <w:rPr>
          <w:rFonts w:ascii="TimesNewRomanPSMT" w:eastAsia="TimesNewRomanPSMT" w:hAnsi="TimesNewRomanPSMT" w:cs="TimesNewRomanPSMT"/>
          <w:color w:val="1C1C1C"/>
          <w:sz w:val="32"/>
          <w:szCs w:val="32"/>
        </w:rPr>
        <w:t>10</w:t>
      </w:r>
      <w:r>
        <w:rPr>
          <w:rFonts w:ascii="仿宋" w:eastAsia="仿宋" w:hAnsi="仿宋" w:cs="仿宋" w:hint="eastAsia"/>
          <w:color w:val="1C1C1C"/>
          <w:sz w:val="32"/>
          <w:szCs w:val="32"/>
        </w:rPr>
        <w:t>月</w:t>
      </w:r>
      <w:r>
        <w:rPr>
          <w:rFonts w:ascii="TimesNewRomanPSMT" w:eastAsiaTheme="minorEastAsia" w:hAnsi="TimesNewRomanPSMT" w:cs="TimesNewRomanPSMT" w:hint="eastAsia"/>
          <w:color w:val="1C1C1C"/>
          <w:sz w:val="32"/>
          <w:szCs w:val="32"/>
        </w:rPr>
        <w:t>14</w:t>
      </w:r>
      <w:r>
        <w:rPr>
          <w:rFonts w:ascii="仿宋" w:eastAsia="仿宋" w:hAnsi="仿宋" w:cs="仿宋" w:hint="eastAsia"/>
          <w:color w:val="1C1C1C"/>
          <w:sz w:val="32"/>
          <w:szCs w:val="32"/>
        </w:rPr>
        <w:t>日至</w:t>
      </w:r>
      <w:r>
        <w:rPr>
          <w:rFonts w:ascii="TimesNewRomanPSMT" w:eastAsia="TimesNewRomanPSMT" w:hAnsi="TimesNewRomanPSMT" w:cs="TimesNewRomanPSMT"/>
          <w:color w:val="1C1C1C"/>
          <w:sz w:val="32"/>
          <w:szCs w:val="32"/>
        </w:rPr>
        <w:t>20</w:t>
      </w:r>
      <w:r>
        <w:rPr>
          <w:rFonts w:ascii="TimesNewRomanPSMT" w:eastAsia="TimesNewRomanPSMT" w:hAnsi="TimesNewRomanPSMT" w:cs="TimesNewRomanPSMT" w:hint="eastAsia"/>
          <w:color w:val="1C1C1C"/>
          <w:sz w:val="32"/>
          <w:szCs w:val="32"/>
        </w:rPr>
        <w:t>2</w:t>
      </w:r>
      <w:r>
        <w:rPr>
          <w:rFonts w:ascii="TimesNewRomanPSMT" w:hAnsi="TimesNewRomanPSMT" w:cs="TimesNewRomanPSMT" w:hint="eastAsia"/>
          <w:color w:val="1C1C1C"/>
          <w:sz w:val="32"/>
          <w:szCs w:val="32"/>
        </w:rPr>
        <w:t>1</w:t>
      </w:r>
      <w:r>
        <w:rPr>
          <w:rFonts w:ascii="仿宋" w:eastAsia="仿宋" w:hAnsi="仿宋" w:cs="仿宋" w:hint="eastAsia"/>
          <w:color w:val="1C1C1C"/>
          <w:sz w:val="32"/>
          <w:szCs w:val="32"/>
        </w:rPr>
        <w:t>年</w:t>
      </w:r>
      <w:r>
        <w:rPr>
          <w:rFonts w:ascii="TimesNewRomanPSMT" w:eastAsia="TimesNewRomanPSMT" w:hAnsi="TimesNewRomanPSMT" w:cs="TimesNewRomanPSMT"/>
          <w:color w:val="1C1C1C"/>
          <w:sz w:val="32"/>
          <w:szCs w:val="32"/>
        </w:rPr>
        <w:t>12</w:t>
      </w:r>
      <w:r>
        <w:rPr>
          <w:rFonts w:ascii="仿宋" w:eastAsia="仿宋" w:hAnsi="仿宋" w:cs="仿宋" w:hint="eastAsia"/>
          <w:color w:val="1C1C1C"/>
          <w:sz w:val="32"/>
          <w:szCs w:val="32"/>
        </w:rPr>
        <w:t>月</w:t>
      </w:r>
      <w:r>
        <w:rPr>
          <w:rFonts w:ascii="TimesNewRomanPSMT" w:hAnsi="TimesNewRomanPSMT" w:cs="TimesNewRomanPSMT" w:hint="eastAsia"/>
          <w:color w:val="1C1C1C"/>
          <w:sz w:val="32"/>
          <w:szCs w:val="32"/>
        </w:rPr>
        <w:t>31</w:t>
      </w:r>
      <w:r>
        <w:rPr>
          <w:rFonts w:ascii="仿宋" w:eastAsia="仿宋" w:hAnsi="仿宋" w:cs="仿宋" w:hint="eastAsia"/>
          <w:color w:val="1C1C1C"/>
          <w:sz w:val="32"/>
          <w:szCs w:val="32"/>
        </w:rPr>
        <w:t>日在全国</w:t>
      </w:r>
      <w:r>
        <w:rPr>
          <w:rFonts w:ascii="TimesNewRomanPSMT" w:eastAsia="TimesNewRomanPSMT" w:hAnsi="TimesNewRomanPSMT" w:cs="TimesNewRomanPSMT"/>
          <w:color w:val="1C1C1C"/>
          <w:sz w:val="32"/>
          <w:szCs w:val="32"/>
        </w:rPr>
        <w:t>100</w:t>
      </w:r>
      <w:r>
        <w:rPr>
          <w:rFonts w:ascii="仿宋" w:eastAsia="仿宋" w:hAnsi="仿宋" w:cs="仿宋" w:hint="eastAsia"/>
          <w:color w:val="1C1C1C"/>
          <w:sz w:val="32"/>
          <w:szCs w:val="32"/>
        </w:rPr>
        <w:t>个城市同步展开，总共历时</w:t>
      </w:r>
      <w:r>
        <w:rPr>
          <w:rFonts w:ascii="TimesNewRomanPSMT" w:hAnsi="TimesNewRomanPSMT" w:cs="TimesNewRomanPSMT" w:hint="eastAsia"/>
          <w:color w:val="1C1C1C"/>
          <w:sz w:val="32"/>
          <w:szCs w:val="32"/>
        </w:rPr>
        <w:t>79</w:t>
      </w:r>
      <w:r>
        <w:rPr>
          <w:rFonts w:ascii="仿宋" w:eastAsia="仿宋" w:hAnsi="仿宋" w:cs="仿宋" w:hint="eastAsia"/>
          <w:color w:val="1C1C1C"/>
          <w:sz w:val="32"/>
          <w:szCs w:val="32"/>
        </w:rPr>
        <w:t>天。正式调查前，中国消费者协会会同监理单位制定调查执行工作手册和应急预案，并指导调查执行单位对执行督导</w:t>
      </w:r>
      <w:r>
        <w:rPr>
          <w:rFonts w:ascii="仿宋" w:eastAsia="仿宋" w:hAnsi="仿宋" w:cs="仿宋" w:hint="eastAsia"/>
          <w:color w:val="1C1C1C"/>
          <w:sz w:val="32"/>
          <w:szCs w:val="32"/>
        </w:rPr>
        <w:lastRenderedPageBreak/>
        <w:t>和访问员进行项目讲解和调查培训，培训内容包括：项目简介、抽样过程、问卷题目讲解、调查平台及软件使用规范、质量控制要点等。</w:t>
      </w:r>
    </w:p>
    <w:p w:rsidR="002D6C73" w:rsidRDefault="00FB6868">
      <w:pPr>
        <w:spacing w:line="560" w:lineRule="exact"/>
        <w:ind w:firstLineChars="200" w:firstLine="640"/>
        <w:jc w:val="both"/>
      </w:pPr>
      <w:r>
        <w:rPr>
          <w:rFonts w:ascii="仿宋" w:eastAsia="仿宋" w:hAnsi="仿宋" w:cs="仿宋" w:hint="eastAsia"/>
          <w:color w:val="1C1C1C"/>
          <w:sz w:val="32"/>
          <w:szCs w:val="32"/>
        </w:rPr>
        <w:t>在执行过程中，中消协指导监理单位和调查执行机构通过现场监督、复核程序确保调查执行工作开展的规范性和回收数据的真实性、准确性。</w:t>
      </w:r>
    </w:p>
    <w:p w:rsidR="002D6C73" w:rsidRDefault="00FB6868">
      <w:pPr>
        <w:spacing w:line="560" w:lineRule="exact"/>
        <w:ind w:firstLineChars="200" w:firstLine="640"/>
        <w:jc w:val="both"/>
        <w:rPr>
          <w:rFonts w:ascii="仿宋" w:eastAsia="仿宋" w:hAnsi="仿宋" w:cs="仿宋"/>
          <w:color w:val="1C1C1C"/>
          <w:sz w:val="32"/>
          <w:szCs w:val="32"/>
        </w:rPr>
      </w:pPr>
      <w:r>
        <w:rPr>
          <w:rFonts w:ascii="TimesNewRomanPSMT" w:eastAsia="TimesNewRomanPSMT" w:hAnsi="TimesNewRomanPSMT" w:cs="TimesNewRomanPSMT"/>
          <w:color w:val="1C1C1C"/>
          <w:sz w:val="32"/>
          <w:szCs w:val="32"/>
        </w:rPr>
        <w:t>1.</w:t>
      </w:r>
      <w:r>
        <w:rPr>
          <w:rFonts w:ascii="仿宋" w:eastAsia="仿宋" w:hAnsi="仿宋" w:cs="仿宋" w:hint="eastAsia"/>
          <w:color w:val="1C1C1C"/>
          <w:sz w:val="32"/>
          <w:szCs w:val="32"/>
        </w:rPr>
        <w:t>各城市执行督导每周一、三、五向调查执行单位汇报工作进度并提交调查执行数据；调查执行单位同步向中消协和中消协委托的监理单位汇报工作进度；对于访问员在调查执行过程中出现的技术问题，各方讨论明确一致意见后由调查执行单位向访问员进行解答反馈。</w:t>
      </w:r>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2</w:t>
      </w:r>
      <w:r>
        <w:rPr>
          <w:rFonts w:ascii="仿宋" w:eastAsia="仿宋" w:hAnsi="仿宋" w:cs="仿宋"/>
          <w:color w:val="1C1C1C"/>
          <w:sz w:val="32"/>
          <w:szCs w:val="32"/>
        </w:rPr>
        <w:t>.</w:t>
      </w:r>
      <w:r>
        <w:rPr>
          <w:rFonts w:ascii="仿宋" w:eastAsia="仿宋" w:hAnsi="仿宋" w:cs="仿宋" w:hint="eastAsia"/>
          <w:color w:val="1C1C1C"/>
          <w:sz w:val="32"/>
          <w:szCs w:val="32"/>
        </w:rPr>
        <w:t>监理单位抽取不少于20</w:t>
      </w:r>
      <w:r>
        <w:rPr>
          <w:rFonts w:ascii="仿宋" w:eastAsia="仿宋" w:hAnsi="仿宋" w:cs="仿宋"/>
          <w:color w:val="1C1C1C"/>
          <w:sz w:val="32"/>
          <w:szCs w:val="32"/>
        </w:rPr>
        <w:t>%</w:t>
      </w:r>
      <w:r>
        <w:rPr>
          <w:rFonts w:ascii="仿宋" w:eastAsia="仿宋" w:hAnsi="仿宋" w:cs="仿宋" w:hint="eastAsia"/>
          <w:color w:val="1C1C1C"/>
          <w:sz w:val="32"/>
          <w:szCs w:val="32"/>
        </w:rPr>
        <w:t>的城市社区进行现场抽查，将发现的问题及时反馈至中消协和所在执行团队进行重点提醒，以保证调查执行工作的规范性，提高访问效率和数据质量。</w:t>
      </w:r>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3</w:t>
      </w:r>
      <w:r>
        <w:rPr>
          <w:rFonts w:ascii="仿宋" w:eastAsia="仿宋" w:hAnsi="仿宋" w:cs="仿宋"/>
          <w:color w:val="1C1C1C"/>
          <w:sz w:val="32"/>
          <w:szCs w:val="32"/>
        </w:rPr>
        <w:t>.</w:t>
      </w:r>
      <w:r>
        <w:rPr>
          <w:rFonts w:ascii="仿宋" w:eastAsia="仿宋" w:hAnsi="仿宋" w:cs="仿宋" w:hint="eastAsia"/>
          <w:color w:val="1C1C1C"/>
          <w:sz w:val="32"/>
          <w:szCs w:val="32"/>
        </w:rPr>
        <w:t>问卷调查结束后，访问员按照要求提交调查数据，执行督导和调查机构负责对调查数据进行自查。</w:t>
      </w:r>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4.监理单位对调查执行方提交的调查数据进行复核和清理。复核主要通过形式审核、电话回访的方式进行，</w:t>
      </w:r>
      <w:proofErr w:type="gramStart"/>
      <w:r>
        <w:rPr>
          <w:rFonts w:ascii="仿宋" w:eastAsia="仿宋" w:hAnsi="仿宋" w:cs="仿宋" w:hint="eastAsia"/>
          <w:color w:val="1C1C1C"/>
          <w:sz w:val="32"/>
          <w:szCs w:val="32"/>
        </w:rPr>
        <w:t>其中形式</w:t>
      </w:r>
      <w:proofErr w:type="gramEnd"/>
      <w:r>
        <w:rPr>
          <w:rFonts w:ascii="仿宋" w:eastAsia="仿宋" w:hAnsi="仿宋" w:cs="仿宋" w:hint="eastAsia"/>
          <w:color w:val="1C1C1C"/>
          <w:sz w:val="32"/>
          <w:szCs w:val="32"/>
        </w:rPr>
        <w:t>审核覆盖全部样本，电话回访以每个城市为单位随机抽取不少于50%的样本进行复核。对不符合调查规范的样本进行作废处理，并要求调查执行方加强自查；对于各个城市剔除不合格问卷后样本不足的情况，要求进行</w:t>
      </w:r>
      <w:proofErr w:type="gramStart"/>
      <w:r>
        <w:rPr>
          <w:rFonts w:ascii="仿宋" w:eastAsia="仿宋" w:hAnsi="仿宋" w:cs="仿宋" w:hint="eastAsia"/>
          <w:color w:val="1C1C1C"/>
          <w:sz w:val="32"/>
          <w:szCs w:val="32"/>
        </w:rPr>
        <w:t>补卷直至</w:t>
      </w:r>
      <w:proofErr w:type="gramEnd"/>
      <w:r>
        <w:rPr>
          <w:rFonts w:ascii="仿宋" w:eastAsia="仿宋" w:hAnsi="仿宋" w:cs="仿宋" w:hint="eastAsia"/>
          <w:color w:val="1C1C1C"/>
          <w:sz w:val="32"/>
          <w:szCs w:val="32"/>
        </w:rPr>
        <w:t>复核成功后的样本量达到计划样本。</w:t>
      </w:r>
    </w:p>
    <w:p w:rsidR="002D6C73" w:rsidRDefault="00FB6868">
      <w:pPr>
        <w:pStyle w:val="2"/>
        <w:spacing w:line="560" w:lineRule="exact"/>
        <w:rPr>
          <w:rFonts w:ascii="黑体" w:eastAsia="黑体" w:hAnsi="黑体" w:cs="黑体"/>
          <w:b w:val="0"/>
          <w:bCs/>
          <w:i w:val="0"/>
          <w:iCs/>
          <w:sz w:val="32"/>
          <w:szCs w:val="28"/>
        </w:rPr>
      </w:pPr>
      <w:bookmarkStart w:id="17" w:name="_Toc286"/>
      <w:bookmarkStart w:id="18" w:name="_Toc62721753"/>
      <w:r>
        <w:rPr>
          <w:rFonts w:ascii="黑体" w:eastAsia="黑体" w:hAnsi="黑体" w:cs="黑体" w:hint="eastAsia"/>
          <w:b w:val="0"/>
          <w:bCs/>
          <w:i w:val="0"/>
          <w:iCs/>
          <w:sz w:val="32"/>
          <w:szCs w:val="28"/>
        </w:rPr>
        <w:lastRenderedPageBreak/>
        <w:t>七、信度与效度检验</w:t>
      </w:r>
      <w:bookmarkEnd w:id="17"/>
      <w:bookmarkEnd w:id="18"/>
      <w:r>
        <w:rPr>
          <w:rFonts w:ascii="黑体" w:eastAsia="黑体" w:hAnsi="黑体" w:cs="黑体" w:hint="eastAsia"/>
          <w:b w:val="0"/>
          <w:bCs/>
          <w:i w:val="0"/>
          <w:iCs/>
          <w:sz w:val="32"/>
          <w:szCs w:val="28"/>
        </w:rPr>
        <w:t xml:space="preserve"> </w:t>
      </w:r>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color w:val="1C1C1C"/>
          <w:sz w:val="32"/>
          <w:szCs w:val="32"/>
        </w:rPr>
        <w:t>信度即可靠性，指的是采用同样的方法对同一对象进行重复</w:t>
      </w:r>
      <w:r>
        <w:rPr>
          <w:rFonts w:ascii="仿宋" w:eastAsia="仿宋" w:hAnsi="仿宋" w:cs="仿宋" w:hint="eastAsia"/>
          <w:color w:val="1C1C1C"/>
          <w:sz w:val="32"/>
          <w:szCs w:val="32"/>
        </w:rPr>
        <w:t>测量时，测量的结果是否一致。信度考察的是测量数据的可靠程度。目前，国内外采用问卷进行的调查，通常是对问卷内部一致性信度进行分析，其中克朗巴哈系数（Cronbach</w:t>
      </w:r>
      <w:proofErr w:type="gramStart"/>
      <w:r>
        <w:rPr>
          <w:rFonts w:ascii="仿宋" w:eastAsia="仿宋" w:hAnsi="仿宋" w:cs="仿宋" w:hint="eastAsia"/>
          <w:color w:val="1C1C1C"/>
          <w:sz w:val="32"/>
          <w:szCs w:val="32"/>
        </w:rPr>
        <w:t>’</w:t>
      </w:r>
      <w:proofErr w:type="gramEnd"/>
      <w:r>
        <w:rPr>
          <w:rFonts w:ascii="仿宋" w:eastAsia="仿宋" w:hAnsi="仿宋" w:cs="仿宋" w:hint="eastAsia"/>
          <w:color w:val="1C1C1C"/>
          <w:sz w:val="32"/>
          <w:szCs w:val="32"/>
        </w:rPr>
        <w:t>s Alpha）的应用最为广泛。</w:t>
      </w:r>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调查结束后，对数据结果进行信度检验，得到的克朗巴哈系数是0.951。说明调查结果具有较高的可靠性。</w:t>
      </w:r>
    </w:p>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表3 克朗巴哈系数的度量标准</w:t>
      </w:r>
    </w:p>
    <w:tbl>
      <w:tblPr>
        <w:tblStyle w:val="af1"/>
        <w:tblW w:w="0" w:type="auto"/>
        <w:tblLook w:val="04A0" w:firstRow="1" w:lastRow="0" w:firstColumn="1" w:lastColumn="0" w:noHBand="0" w:noVBand="1"/>
      </w:tblPr>
      <w:tblGrid>
        <w:gridCol w:w="4133"/>
        <w:gridCol w:w="4163"/>
      </w:tblGrid>
      <w:tr w:rsidR="002D6C73">
        <w:tc>
          <w:tcPr>
            <w:tcW w:w="4261" w:type="dxa"/>
            <w:shd w:val="clear" w:color="auto" w:fill="4472C4" w:themeFill="accent5"/>
            <w:vAlign w:val="center"/>
          </w:tcPr>
          <w:p w:rsidR="002D6C73" w:rsidRDefault="00FB6868">
            <w:pPr>
              <w:jc w:val="center"/>
              <w:rPr>
                <w:rFonts w:ascii="黑体" w:eastAsia="黑体" w:hAnsi="黑体" w:cs="黑体"/>
                <w:sz w:val="28"/>
                <w:szCs w:val="28"/>
              </w:rPr>
            </w:pPr>
            <w:r>
              <w:rPr>
                <w:rFonts w:ascii="黑体" w:eastAsia="黑体" w:hAnsi="黑体" w:cs="黑体" w:hint="eastAsia"/>
                <w:sz w:val="28"/>
                <w:szCs w:val="28"/>
              </w:rPr>
              <w:t>克朗巴哈系数</w:t>
            </w:r>
          </w:p>
        </w:tc>
        <w:tc>
          <w:tcPr>
            <w:tcW w:w="4261" w:type="dxa"/>
            <w:shd w:val="clear" w:color="auto" w:fill="4472C4" w:themeFill="accent5"/>
            <w:vAlign w:val="center"/>
          </w:tcPr>
          <w:p w:rsidR="002D6C73" w:rsidRDefault="00FB6868">
            <w:pPr>
              <w:jc w:val="center"/>
              <w:rPr>
                <w:rFonts w:ascii="黑体" w:eastAsia="黑体" w:hAnsi="黑体" w:cs="黑体"/>
                <w:sz w:val="28"/>
                <w:szCs w:val="28"/>
              </w:rPr>
            </w:pPr>
            <w:r>
              <w:rPr>
                <w:rFonts w:ascii="黑体" w:eastAsia="黑体" w:hAnsi="黑体" w:cs="黑体" w:hint="eastAsia"/>
                <w:sz w:val="28"/>
                <w:szCs w:val="28"/>
              </w:rPr>
              <w:t>内部一致性</w:t>
            </w:r>
          </w:p>
        </w:tc>
      </w:tr>
      <w:tr w:rsidR="002D6C73">
        <w:tc>
          <w:tcPr>
            <w:tcW w:w="4261"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α</w:t>
            </w:r>
            <w:r>
              <w:rPr>
                <w:rFonts w:ascii="TimesNewRomanPSMT" w:eastAsia="TimesNewRomanPSMT" w:hAnsi="TimesNewRomanPSMT" w:cs="TimesNewRomanPSMT" w:hint="eastAsia"/>
                <w:color w:val="1C1C1C"/>
              </w:rPr>
              <w:t xml:space="preserve"> </w:t>
            </w:r>
            <w:r>
              <w:rPr>
                <w:rFonts w:ascii="TimesNewRomanPSMT" w:eastAsia="TimesNewRomanPSMT" w:hAnsi="TimesNewRomanPSMT" w:cs="TimesNewRomanPSMT"/>
                <w:color w:val="1C1C1C"/>
              </w:rPr>
              <w:t>≥ 0.9</w:t>
            </w:r>
          </w:p>
        </w:tc>
        <w:tc>
          <w:tcPr>
            <w:tcW w:w="4261"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Excellent</w:t>
            </w:r>
            <w:r>
              <w:rPr>
                <w:rFonts w:ascii="仿宋" w:eastAsia="仿宋" w:hAnsi="仿宋" w:cs="仿宋"/>
                <w:color w:val="1C1C1C"/>
              </w:rPr>
              <w:t>（非常好）</w:t>
            </w:r>
          </w:p>
        </w:tc>
      </w:tr>
      <w:tr w:rsidR="002D6C73">
        <w:tc>
          <w:tcPr>
            <w:tcW w:w="4261"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0.9 &gt; α ≥ 0.8</w:t>
            </w:r>
          </w:p>
        </w:tc>
        <w:tc>
          <w:tcPr>
            <w:tcW w:w="4261"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Good</w:t>
            </w:r>
            <w:r>
              <w:rPr>
                <w:rFonts w:ascii="仿宋" w:eastAsia="仿宋" w:hAnsi="仿宋" w:cs="仿宋"/>
                <w:color w:val="1C1C1C"/>
              </w:rPr>
              <w:t>（较好）</w:t>
            </w:r>
          </w:p>
        </w:tc>
      </w:tr>
      <w:tr w:rsidR="002D6C73">
        <w:tc>
          <w:tcPr>
            <w:tcW w:w="4261"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0.8 &gt; α ≥ 0.7</w:t>
            </w:r>
          </w:p>
        </w:tc>
        <w:tc>
          <w:tcPr>
            <w:tcW w:w="4261"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Acceptable</w:t>
            </w:r>
            <w:r>
              <w:rPr>
                <w:rFonts w:ascii="仿宋" w:eastAsia="仿宋" w:hAnsi="仿宋" w:cs="仿宋"/>
                <w:color w:val="1C1C1C"/>
              </w:rPr>
              <w:t>（可接受）</w:t>
            </w:r>
          </w:p>
        </w:tc>
      </w:tr>
      <w:tr w:rsidR="002D6C73">
        <w:tc>
          <w:tcPr>
            <w:tcW w:w="4261"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0.</w:t>
            </w:r>
            <w:r>
              <w:rPr>
                <w:rFonts w:ascii="TimesNewRomanPSMT" w:eastAsia="TimesNewRomanPSMT" w:hAnsi="TimesNewRomanPSMT" w:cs="TimesNewRomanPSMT" w:hint="eastAsia"/>
                <w:color w:val="1C1C1C"/>
              </w:rPr>
              <w:t>7</w:t>
            </w:r>
            <w:r>
              <w:rPr>
                <w:rFonts w:ascii="TimesNewRomanPSMT" w:eastAsia="TimesNewRomanPSMT" w:hAnsi="TimesNewRomanPSMT" w:cs="TimesNewRomanPSMT"/>
                <w:color w:val="1C1C1C"/>
              </w:rPr>
              <w:t xml:space="preserve"> &gt; α ≥ 0.</w:t>
            </w:r>
            <w:r>
              <w:rPr>
                <w:rFonts w:ascii="TimesNewRomanPSMT" w:eastAsia="TimesNewRomanPSMT" w:hAnsi="TimesNewRomanPSMT" w:cs="TimesNewRomanPSMT" w:hint="eastAsia"/>
                <w:color w:val="1C1C1C"/>
              </w:rPr>
              <w:t>6</w:t>
            </w:r>
          </w:p>
        </w:tc>
        <w:tc>
          <w:tcPr>
            <w:tcW w:w="4261"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Questionable</w:t>
            </w:r>
            <w:r>
              <w:rPr>
                <w:rFonts w:ascii="仿宋" w:eastAsia="仿宋" w:hAnsi="仿宋" w:cs="仿宋"/>
                <w:color w:val="1C1C1C"/>
              </w:rPr>
              <w:t>（存在质疑）</w:t>
            </w:r>
          </w:p>
        </w:tc>
      </w:tr>
      <w:tr w:rsidR="002D6C73">
        <w:tc>
          <w:tcPr>
            <w:tcW w:w="4261"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0.</w:t>
            </w:r>
            <w:r>
              <w:rPr>
                <w:rFonts w:ascii="TimesNewRomanPSMT" w:eastAsia="TimesNewRomanPSMT" w:hAnsi="TimesNewRomanPSMT" w:cs="TimesNewRomanPSMT" w:hint="eastAsia"/>
                <w:color w:val="1C1C1C"/>
              </w:rPr>
              <w:t>6</w:t>
            </w:r>
            <w:r>
              <w:rPr>
                <w:rFonts w:ascii="TimesNewRomanPSMT" w:eastAsia="TimesNewRomanPSMT" w:hAnsi="TimesNewRomanPSMT" w:cs="TimesNewRomanPSMT"/>
                <w:color w:val="1C1C1C"/>
              </w:rPr>
              <w:t xml:space="preserve"> &gt; α ≥ 0.</w:t>
            </w:r>
            <w:r>
              <w:rPr>
                <w:rFonts w:ascii="TimesNewRomanPSMT" w:eastAsia="TimesNewRomanPSMT" w:hAnsi="TimesNewRomanPSMT" w:cs="TimesNewRomanPSMT" w:hint="eastAsia"/>
                <w:color w:val="1C1C1C"/>
              </w:rPr>
              <w:t>5</w:t>
            </w:r>
          </w:p>
        </w:tc>
        <w:tc>
          <w:tcPr>
            <w:tcW w:w="4261"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Poor</w:t>
            </w:r>
            <w:r>
              <w:rPr>
                <w:rFonts w:ascii="仿宋" w:eastAsia="仿宋" w:hAnsi="仿宋" w:cs="仿宋"/>
                <w:color w:val="1C1C1C"/>
              </w:rPr>
              <w:t>（较差）</w:t>
            </w:r>
          </w:p>
        </w:tc>
      </w:tr>
      <w:tr w:rsidR="002D6C73">
        <w:tc>
          <w:tcPr>
            <w:tcW w:w="4261" w:type="dxa"/>
            <w:vAlign w:val="center"/>
          </w:tcPr>
          <w:p w:rsidR="002D6C73" w:rsidRDefault="00FB6868">
            <w:pPr>
              <w:widowControl/>
              <w:jc w:val="center"/>
              <w:rPr>
                <w:rFonts w:ascii="TimesNewRomanPSMT" w:eastAsia="TimesNewRomanPSMT" w:hAnsi="TimesNewRomanPSMT" w:cs="TimesNewRomanPSMT"/>
                <w:color w:val="1C1C1C"/>
              </w:rPr>
            </w:pPr>
            <w:r>
              <w:rPr>
                <w:rFonts w:ascii="TimesNewRomanPSMT" w:eastAsia="TimesNewRomanPSMT" w:hAnsi="TimesNewRomanPSMT" w:cs="TimesNewRomanPSMT"/>
                <w:color w:val="1C1C1C"/>
              </w:rPr>
              <w:t>0.</w:t>
            </w:r>
            <w:r>
              <w:rPr>
                <w:rFonts w:ascii="TimesNewRomanPSMT" w:eastAsia="TimesNewRomanPSMT" w:hAnsi="TimesNewRomanPSMT" w:cs="TimesNewRomanPSMT" w:hint="eastAsia"/>
                <w:color w:val="1C1C1C"/>
              </w:rPr>
              <w:t>5</w:t>
            </w:r>
            <w:r>
              <w:rPr>
                <w:rFonts w:ascii="TimesNewRomanPSMT" w:eastAsia="TimesNewRomanPSMT" w:hAnsi="TimesNewRomanPSMT" w:cs="TimesNewRomanPSMT"/>
                <w:color w:val="1C1C1C"/>
              </w:rPr>
              <w:t xml:space="preserve"> &gt; α</w:t>
            </w:r>
          </w:p>
        </w:tc>
        <w:tc>
          <w:tcPr>
            <w:tcW w:w="4261"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Unacceptable</w:t>
            </w:r>
            <w:r>
              <w:rPr>
                <w:rFonts w:ascii="仿宋" w:eastAsia="仿宋" w:hAnsi="仿宋" w:cs="仿宋"/>
                <w:color w:val="1C1C1C"/>
              </w:rPr>
              <w:t>（不可接受）</w:t>
            </w:r>
          </w:p>
        </w:tc>
      </w:tr>
    </w:tbl>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效度即有效性，是指测量工具或手段能够准确测出所需测量事物的程度。测量结果与要考察的内容越吻合，则效度越高。一般来说，在市场调查中，效度分析主要是对问卷的结构效度进行测量。而结构效度测量最为常用的方法就是因子分析模型的KMO（</w:t>
      </w:r>
      <w:r>
        <w:rPr>
          <w:rFonts w:ascii="仿宋" w:eastAsia="仿宋" w:hAnsi="仿宋" w:cs="仿宋"/>
          <w:color w:val="1C1C1C"/>
          <w:sz w:val="32"/>
          <w:szCs w:val="32"/>
        </w:rPr>
        <w:t>Kaiser-Meyer-Olkin</w:t>
      </w:r>
      <w:r>
        <w:rPr>
          <w:rFonts w:ascii="仿宋" w:eastAsia="仿宋" w:hAnsi="仿宋" w:cs="仿宋" w:hint="eastAsia"/>
          <w:color w:val="1C1C1C"/>
          <w:sz w:val="32"/>
          <w:szCs w:val="32"/>
        </w:rPr>
        <w:t>）检验和</w:t>
      </w:r>
      <w:r>
        <w:rPr>
          <w:rFonts w:ascii="仿宋" w:eastAsia="仿宋" w:hAnsi="仿宋" w:cs="仿宋"/>
          <w:color w:val="1C1C1C"/>
          <w:sz w:val="32"/>
          <w:szCs w:val="32"/>
        </w:rPr>
        <w:t>Bartlett</w:t>
      </w:r>
      <w:r>
        <w:rPr>
          <w:rFonts w:ascii="仿宋" w:eastAsia="仿宋" w:hAnsi="仿宋" w:cs="仿宋" w:hint="eastAsia"/>
          <w:color w:val="1C1C1C"/>
          <w:sz w:val="32"/>
          <w:szCs w:val="32"/>
        </w:rPr>
        <w:t xml:space="preserve">球形检验。 </w:t>
      </w:r>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在统计学上，</w:t>
      </w:r>
      <w:r>
        <w:rPr>
          <w:rFonts w:ascii="仿宋" w:eastAsia="仿宋" w:hAnsi="仿宋" w:cs="仿宋"/>
          <w:color w:val="1C1C1C"/>
          <w:sz w:val="32"/>
          <w:szCs w:val="32"/>
        </w:rPr>
        <w:t>KMO</w:t>
      </w:r>
      <w:r>
        <w:rPr>
          <w:rFonts w:ascii="仿宋" w:eastAsia="仿宋" w:hAnsi="仿宋" w:cs="仿宋" w:hint="eastAsia"/>
          <w:color w:val="1C1C1C"/>
          <w:sz w:val="32"/>
          <w:szCs w:val="32"/>
        </w:rPr>
        <w:t>值越接近于</w:t>
      </w:r>
      <w:r>
        <w:rPr>
          <w:rFonts w:ascii="仿宋" w:eastAsia="仿宋" w:hAnsi="仿宋" w:cs="仿宋"/>
          <w:color w:val="1C1C1C"/>
          <w:sz w:val="32"/>
          <w:szCs w:val="32"/>
        </w:rPr>
        <w:t>1</w:t>
      </w:r>
      <w:r>
        <w:rPr>
          <w:rFonts w:ascii="仿宋" w:eastAsia="仿宋" w:hAnsi="仿宋" w:cs="仿宋" w:hint="eastAsia"/>
          <w:color w:val="1C1C1C"/>
          <w:sz w:val="32"/>
          <w:szCs w:val="32"/>
        </w:rPr>
        <w:t>，意味着变量间的相关性越强，原有变量越适合作因子分析。学者</w:t>
      </w:r>
      <w:r>
        <w:rPr>
          <w:rFonts w:ascii="仿宋" w:eastAsia="仿宋" w:hAnsi="仿宋" w:cs="仿宋"/>
          <w:color w:val="1C1C1C"/>
          <w:sz w:val="32"/>
          <w:szCs w:val="32"/>
        </w:rPr>
        <w:t>Kaiser</w:t>
      </w:r>
      <w:r>
        <w:rPr>
          <w:rFonts w:ascii="仿宋" w:eastAsia="仿宋" w:hAnsi="仿宋" w:cs="仿宋" w:hint="eastAsia"/>
          <w:color w:val="1C1C1C"/>
          <w:sz w:val="32"/>
          <w:szCs w:val="32"/>
        </w:rPr>
        <w:t>给出了</w:t>
      </w:r>
      <w:r>
        <w:rPr>
          <w:rFonts w:ascii="仿宋" w:eastAsia="仿宋" w:hAnsi="仿宋" w:cs="仿宋"/>
          <w:color w:val="1C1C1C"/>
          <w:sz w:val="32"/>
          <w:szCs w:val="32"/>
        </w:rPr>
        <w:t>KMO</w:t>
      </w:r>
      <w:r>
        <w:rPr>
          <w:rFonts w:ascii="仿宋" w:eastAsia="仿宋" w:hAnsi="仿宋" w:cs="仿宋" w:hint="eastAsia"/>
          <w:color w:val="1C1C1C"/>
          <w:sz w:val="32"/>
          <w:szCs w:val="32"/>
        </w:rPr>
        <w:t>和</w:t>
      </w:r>
      <w:r>
        <w:rPr>
          <w:rFonts w:ascii="仿宋" w:eastAsia="仿宋" w:hAnsi="仿宋" w:cs="仿宋"/>
          <w:color w:val="1C1C1C"/>
          <w:sz w:val="32"/>
          <w:szCs w:val="32"/>
        </w:rPr>
        <w:t>Bartlett</w:t>
      </w:r>
      <w:r>
        <w:rPr>
          <w:rFonts w:ascii="仿宋" w:eastAsia="仿宋" w:hAnsi="仿宋" w:cs="仿宋" w:hint="eastAsia"/>
          <w:color w:val="1C1C1C"/>
          <w:sz w:val="32"/>
          <w:szCs w:val="32"/>
        </w:rPr>
        <w:t>球形检验的度量标准，具体情况下表：</w:t>
      </w:r>
    </w:p>
    <w:p w:rsidR="002D6C73" w:rsidRDefault="002D6C73">
      <w:pPr>
        <w:spacing w:beforeLines="50" w:before="163" w:line="560" w:lineRule="exact"/>
        <w:ind w:firstLineChars="200" w:firstLine="640"/>
        <w:jc w:val="both"/>
        <w:rPr>
          <w:rFonts w:ascii="仿宋" w:eastAsia="仿宋" w:hAnsi="仿宋" w:cs="仿宋"/>
          <w:color w:val="1C1C1C"/>
          <w:sz w:val="32"/>
          <w:szCs w:val="32"/>
        </w:rPr>
      </w:pPr>
    </w:p>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lastRenderedPageBreak/>
        <w:t>表4 KMO 和 Bartlett 球形检验的度量标准</w:t>
      </w:r>
    </w:p>
    <w:tbl>
      <w:tblPr>
        <w:tblStyle w:val="af1"/>
        <w:tblW w:w="0" w:type="auto"/>
        <w:tblLook w:val="04A0" w:firstRow="1" w:lastRow="0" w:firstColumn="1" w:lastColumn="0" w:noHBand="0" w:noVBand="1"/>
      </w:tblPr>
      <w:tblGrid>
        <w:gridCol w:w="2770"/>
        <w:gridCol w:w="2771"/>
        <w:gridCol w:w="2755"/>
      </w:tblGrid>
      <w:tr w:rsidR="002D6C73">
        <w:tc>
          <w:tcPr>
            <w:tcW w:w="2840" w:type="dxa"/>
            <w:vAlign w:val="center"/>
          </w:tcPr>
          <w:p w:rsidR="002D6C73" w:rsidRDefault="002D6C73">
            <w:pPr>
              <w:jc w:val="center"/>
              <w:rPr>
                <w:rFonts w:ascii="黑体" w:eastAsia="黑体" w:hAnsi="黑体" w:cs="黑体"/>
                <w:sz w:val="28"/>
                <w:szCs w:val="28"/>
              </w:rPr>
            </w:pPr>
          </w:p>
        </w:tc>
        <w:tc>
          <w:tcPr>
            <w:tcW w:w="2840" w:type="dxa"/>
            <w:shd w:val="clear" w:color="auto" w:fill="4472C4" w:themeFill="accent5"/>
            <w:vAlign w:val="center"/>
          </w:tcPr>
          <w:p w:rsidR="002D6C73" w:rsidRDefault="00FB6868">
            <w:pPr>
              <w:jc w:val="center"/>
              <w:rPr>
                <w:rFonts w:ascii="黑体" w:eastAsia="黑体" w:hAnsi="黑体" w:cs="黑体"/>
                <w:sz w:val="28"/>
                <w:szCs w:val="28"/>
              </w:rPr>
            </w:pPr>
            <w:r>
              <w:rPr>
                <w:rFonts w:ascii="黑体" w:eastAsia="黑体" w:hAnsi="黑体" w:cs="黑体" w:hint="eastAsia"/>
                <w:sz w:val="28"/>
                <w:szCs w:val="28"/>
              </w:rPr>
              <w:t>范围</w:t>
            </w:r>
          </w:p>
        </w:tc>
        <w:tc>
          <w:tcPr>
            <w:tcW w:w="2840" w:type="dxa"/>
            <w:shd w:val="clear" w:color="auto" w:fill="4472C4" w:themeFill="accent5"/>
            <w:vAlign w:val="center"/>
          </w:tcPr>
          <w:p w:rsidR="002D6C73" w:rsidRDefault="00FB6868">
            <w:pPr>
              <w:jc w:val="center"/>
              <w:rPr>
                <w:rFonts w:ascii="黑体" w:eastAsia="黑体" w:hAnsi="黑体" w:cs="黑体"/>
                <w:sz w:val="28"/>
                <w:szCs w:val="28"/>
              </w:rPr>
            </w:pPr>
            <w:r>
              <w:rPr>
                <w:rFonts w:ascii="黑体" w:eastAsia="黑体" w:hAnsi="黑体" w:cs="黑体" w:hint="eastAsia"/>
                <w:sz w:val="28"/>
                <w:szCs w:val="28"/>
              </w:rPr>
              <w:t>适合情况</w:t>
            </w:r>
          </w:p>
        </w:tc>
      </w:tr>
      <w:tr w:rsidR="002D6C73">
        <w:tc>
          <w:tcPr>
            <w:tcW w:w="2840" w:type="dxa"/>
            <w:vMerge w:val="restart"/>
            <w:vAlign w:val="center"/>
          </w:tcPr>
          <w:p w:rsidR="002D6C73" w:rsidRDefault="00FB6868">
            <w:pPr>
              <w:widowControl/>
              <w:jc w:val="center"/>
              <w:rPr>
                <w:rFonts w:ascii="TimesNewRomanPSMT" w:eastAsia="TimesNewRomanPSMT" w:hAnsi="TimesNewRomanPSMT" w:cs="TimesNewRomanPSMT"/>
                <w:color w:val="1C1C1C"/>
              </w:rPr>
            </w:pPr>
            <w:r>
              <w:rPr>
                <w:rFonts w:ascii="TimesNewRomanPSMT" w:eastAsia="TimesNewRomanPSMT" w:hAnsi="TimesNewRomanPSMT" w:cs="TimesNewRomanPSMT" w:hint="eastAsia"/>
                <w:color w:val="1C1C1C"/>
              </w:rPr>
              <w:t>KMO值</w:t>
            </w:r>
          </w:p>
        </w:tc>
        <w:tc>
          <w:tcPr>
            <w:tcW w:w="2840"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hint="eastAsia"/>
                <w:color w:val="1C1C1C"/>
              </w:rPr>
              <w:t>大于</w:t>
            </w:r>
            <w:r>
              <w:rPr>
                <w:rFonts w:ascii="TimesNewRomanPSMT" w:eastAsia="TimesNewRomanPSMT" w:hAnsi="TimesNewRomanPSMT" w:cs="TimesNewRomanPSMT"/>
                <w:color w:val="1C1C1C"/>
              </w:rPr>
              <w:t>0.9</w:t>
            </w:r>
          </w:p>
        </w:tc>
        <w:tc>
          <w:tcPr>
            <w:tcW w:w="2840"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hint="eastAsia"/>
                <w:color w:val="1C1C1C"/>
              </w:rPr>
              <w:t>非常适合</w:t>
            </w:r>
          </w:p>
        </w:tc>
      </w:tr>
      <w:tr w:rsidR="002D6C73">
        <w:tc>
          <w:tcPr>
            <w:tcW w:w="2840" w:type="dxa"/>
            <w:vMerge/>
            <w:vAlign w:val="center"/>
          </w:tcPr>
          <w:p w:rsidR="002D6C73" w:rsidRDefault="002D6C73">
            <w:pPr>
              <w:widowControl/>
              <w:jc w:val="center"/>
              <w:rPr>
                <w:rFonts w:ascii="TimesNewRomanPSMT" w:eastAsia="TimesNewRomanPSMT" w:hAnsi="TimesNewRomanPSMT" w:cs="TimesNewRomanPSMT"/>
                <w:color w:val="1C1C1C"/>
              </w:rPr>
            </w:pPr>
          </w:p>
        </w:tc>
        <w:tc>
          <w:tcPr>
            <w:tcW w:w="2840"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0.8</w:t>
            </w:r>
            <w:r>
              <w:rPr>
                <w:rFonts w:ascii="TimesNewRomanPSMT" w:eastAsia="TimesNewRomanPSMT" w:hAnsi="TimesNewRomanPSMT" w:cs="TimesNewRomanPSMT" w:hint="eastAsia"/>
                <w:color w:val="1C1C1C"/>
              </w:rPr>
              <w:t>~0.9</w:t>
            </w:r>
          </w:p>
        </w:tc>
        <w:tc>
          <w:tcPr>
            <w:tcW w:w="2840"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hint="eastAsia"/>
                <w:color w:val="1C1C1C"/>
              </w:rPr>
              <w:t>很适合</w:t>
            </w:r>
          </w:p>
        </w:tc>
      </w:tr>
      <w:tr w:rsidR="002D6C73">
        <w:tc>
          <w:tcPr>
            <w:tcW w:w="2840" w:type="dxa"/>
            <w:vMerge/>
            <w:vAlign w:val="center"/>
          </w:tcPr>
          <w:p w:rsidR="002D6C73" w:rsidRDefault="002D6C73">
            <w:pPr>
              <w:widowControl/>
              <w:jc w:val="center"/>
              <w:rPr>
                <w:rFonts w:ascii="TimesNewRomanPSMT" w:eastAsia="TimesNewRomanPSMT" w:hAnsi="TimesNewRomanPSMT" w:cs="TimesNewRomanPSMT"/>
                <w:color w:val="1C1C1C"/>
              </w:rPr>
            </w:pPr>
          </w:p>
        </w:tc>
        <w:tc>
          <w:tcPr>
            <w:tcW w:w="2840"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0.7</w:t>
            </w:r>
            <w:r>
              <w:rPr>
                <w:rFonts w:ascii="TimesNewRomanPSMT" w:eastAsia="TimesNewRomanPSMT" w:hAnsi="TimesNewRomanPSMT" w:cs="TimesNewRomanPSMT" w:hint="eastAsia"/>
                <w:color w:val="1C1C1C"/>
              </w:rPr>
              <w:t>~0.8</w:t>
            </w:r>
          </w:p>
        </w:tc>
        <w:tc>
          <w:tcPr>
            <w:tcW w:w="2840"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hint="eastAsia"/>
                <w:color w:val="1C1C1C"/>
              </w:rPr>
              <w:t>适合</w:t>
            </w:r>
          </w:p>
        </w:tc>
      </w:tr>
      <w:tr w:rsidR="002D6C73">
        <w:tc>
          <w:tcPr>
            <w:tcW w:w="2840" w:type="dxa"/>
            <w:vMerge/>
            <w:vAlign w:val="center"/>
          </w:tcPr>
          <w:p w:rsidR="002D6C73" w:rsidRDefault="002D6C73">
            <w:pPr>
              <w:widowControl/>
              <w:jc w:val="center"/>
              <w:rPr>
                <w:rFonts w:ascii="TimesNewRomanPSMT" w:eastAsia="TimesNewRomanPSMT" w:hAnsi="TimesNewRomanPSMT" w:cs="TimesNewRomanPSMT"/>
                <w:color w:val="1C1C1C"/>
              </w:rPr>
            </w:pPr>
          </w:p>
        </w:tc>
        <w:tc>
          <w:tcPr>
            <w:tcW w:w="2840"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hint="eastAsia"/>
                <w:color w:val="1C1C1C"/>
              </w:rPr>
              <w:t>0.6~0.7</w:t>
            </w:r>
          </w:p>
        </w:tc>
        <w:tc>
          <w:tcPr>
            <w:tcW w:w="2840"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hint="eastAsia"/>
                <w:color w:val="1C1C1C"/>
              </w:rPr>
              <w:t>不太适合</w:t>
            </w:r>
          </w:p>
        </w:tc>
      </w:tr>
      <w:tr w:rsidR="002D6C73">
        <w:tc>
          <w:tcPr>
            <w:tcW w:w="2840" w:type="dxa"/>
            <w:vMerge/>
            <w:vAlign w:val="center"/>
          </w:tcPr>
          <w:p w:rsidR="002D6C73" w:rsidRDefault="002D6C73">
            <w:pPr>
              <w:widowControl/>
              <w:jc w:val="center"/>
              <w:rPr>
                <w:rFonts w:ascii="TimesNewRomanPSMT" w:eastAsia="TimesNewRomanPSMT" w:hAnsi="TimesNewRomanPSMT" w:cs="TimesNewRomanPSMT"/>
                <w:color w:val="1C1C1C"/>
              </w:rPr>
            </w:pPr>
          </w:p>
        </w:tc>
        <w:tc>
          <w:tcPr>
            <w:tcW w:w="2840"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color w:val="1C1C1C"/>
              </w:rPr>
              <w:t>0.</w:t>
            </w:r>
            <w:r>
              <w:rPr>
                <w:rFonts w:ascii="TimesNewRomanPSMT" w:eastAsia="TimesNewRomanPSMT" w:hAnsi="TimesNewRomanPSMT" w:cs="TimesNewRomanPSMT" w:hint="eastAsia"/>
                <w:color w:val="1C1C1C"/>
              </w:rPr>
              <w:t>5~0.6</w:t>
            </w:r>
          </w:p>
        </w:tc>
        <w:tc>
          <w:tcPr>
            <w:tcW w:w="2840"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hint="eastAsia"/>
                <w:color w:val="1C1C1C"/>
              </w:rPr>
              <w:t>勉强适合</w:t>
            </w:r>
          </w:p>
        </w:tc>
      </w:tr>
      <w:tr w:rsidR="002D6C73">
        <w:tc>
          <w:tcPr>
            <w:tcW w:w="2840" w:type="dxa"/>
            <w:vMerge/>
            <w:vAlign w:val="center"/>
          </w:tcPr>
          <w:p w:rsidR="002D6C73" w:rsidRDefault="002D6C73">
            <w:pPr>
              <w:widowControl/>
              <w:jc w:val="center"/>
              <w:rPr>
                <w:rFonts w:ascii="TimesNewRomanPSMT" w:eastAsia="TimesNewRomanPSMT" w:hAnsi="TimesNewRomanPSMT" w:cs="TimesNewRomanPSMT"/>
                <w:color w:val="1C1C1C"/>
              </w:rPr>
            </w:pPr>
          </w:p>
        </w:tc>
        <w:tc>
          <w:tcPr>
            <w:tcW w:w="2840" w:type="dxa"/>
            <w:vAlign w:val="center"/>
          </w:tcPr>
          <w:p w:rsidR="002D6C73" w:rsidRDefault="00FB6868">
            <w:pPr>
              <w:widowControl/>
              <w:jc w:val="center"/>
              <w:rPr>
                <w:rFonts w:ascii="TimesNewRomanPSMT" w:eastAsia="TimesNewRomanPSMT" w:hAnsi="TimesNewRomanPSMT" w:cs="TimesNewRomanPSMT"/>
                <w:color w:val="1C1C1C"/>
              </w:rPr>
            </w:pPr>
            <w:r>
              <w:rPr>
                <w:rFonts w:ascii="TimesNewRomanPSMT" w:eastAsia="TimesNewRomanPSMT" w:hAnsi="TimesNewRomanPSMT" w:cs="TimesNewRomanPSMT" w:hint="eastAsia"/>
                <w:color w:val="1C1C1C"/>
              </w:rPr>
              <w:t>小于</w:t>
            </w:r>
            <w:r>
              <w:rPr>
                <w:rFonts w:ascii="TimesNewRomanPSMT" w:eastAsia="TimesNewRomanPSMT" w:hAnsi="TimesNewRomanPSMT" w:cs="TimesNewRomanPSMT"/>
                <w:color w:val="1C1C1C"/>
              </w:rPr>
              <w:t>0.</w:t>
            </w:r>
            <w:r>
              <w:rPr>
                <w:rFonts w:ascii="TimesNewRomanPSMT" w:eastAsia="TimesNewRomanPSMT" w:hAnsi="TimesNewRomanPSMT" w:cs="TimesNewRomanPSMT" w:hint="eastAsia"/>
                <w:color w:val="1C1C1C"/>
              </w:rPr>
              <w:t>5</w:t>
            </w:r>
          </w:p>
        </w:tc>
        <w:tc>
          <w:tcPr>
            <w:tcW w:w="2840" w:type="dxa"/>
            <w:vAlign w:val="center"/>
          </w:tcPr>
          <w:p w:rsidR="002D6C73" w:rsidRDefault="00FB6868">
            <w:pPr>
              <w:widowControl/>
              <w:jc w:val="center"/>
              <w:rPr>
                <w:rFonts w:ascii="仿宋" w:eastAsia="仿宋" w:hAnsi="仿宋" w:cs="仿宋"/>
              </w:rPr>
            </w:pPr>
            <w:r>
              <w:rPr>
                <w:rFonts w:ascii="TimesNewRomanPSMT" w:eastAsia="TimesNewRomanPSMT" w:hAnsi="TimesNewRomanPSMT" w:cs="TimesNewRomanPSMT" w:hint="eastAsia"/>
                <w:color w:val="1C1C1C"/>
              </w:rPr>
              <w:t>不适合</w:t>
            </w:r>
          </w:p>
        </w:tc>
      </w:tr>
      <w:tr w:rsidR="002D6C73">
        <w:trPr>
          <w:trHeight w:val="844"/>
        </w:trPr>
        <w:tc>
          <w:tcPr>
            <w:tcW w:w="2840" w:type="dxa"/>
            <w:vAlign w:val="center"/>
          </w:tcPr>
          <w:p w:rsidR="002D6C73" w:rsidRDefault="00FB6868">
            <w:pPr>
              <w:widowControl/>
              <w:jc w:val="center"/>
              <w:rPr>
                <w:rFonts w:ascii="TimesNewRomanPSMT" w:eastAsia="TimesNewRomanPSMT" w:hAnsi="TimesNewRomanPSMT" w:cs="TimesNewRomanPSMT"/>
                <w:color w:val="1C1C1C"/>
              </w:rPr>
            </w:pPr>
            <w:r>
              <w:rPr>
                <w:rFonts w:ascii="TimesNewRomanPSMT" w:eastAsia="TimesNewRomanPSMT" w:hAnsi="TimesNewRomanPSMT" w:cs="TimesNewRomanPSMT"/>
                <w:color w:val="1C1C1C"/>
              </w:rPr>
              <w:t>Bartlett</w:t>
            </w:r>
            <w:r>
              <w:rPr>
                <w:rFonts w:ascii="TimesNewRomanPSMT" w:eastAsia="TimesNewRomanPSMT" w:hAnsi="TimesNewRomanPSMT" w:cs="TimesNewRomanPSMT" w:hint="eastAsia"/>
                <w:color w:val="1C1C1C"/>
              </w:rPr>
              <w:t>球形检验的</w:t>
            </w:r>
          </w:p>
          <w:p w:rsidR="002D6C73" w:rsidRDefault="00FB6868">
            <w:pPr>
              <w:widowControl/>
              <w:jc w:val="center"/>
              <w:rPr>
                <w:rFonts w:ascii="TimesNewRomanPSMT" w:eastAsia="TimesNewRomanPSMT" w:hAnsi="TimesNewRomanPSMT" w:cs="TimesNewRomanPSMT"/>
                <w:color w:val="1C1C1C"/>
              </w:rPr>
            </w:pPr>
            <w:r>
              <w:rPr>
                <w:rFonts w:ascii="TimesNewRomanPSMT" w:eastAsia="TimesNewRomanPSMT" w:hAnsi="TimesNewRomanPSMT" w:cs="TimesNewRomanPSMT" w:hint="eastAsia"/>
                <w:color w:val="1C1C1C"/>
              </w:rPr>
              <w:t>Sig.值</w:t>
            </w:r>
          </w:p>
        </w:tc>
        <w:tc>
          <w:tcPr>
            <w:tcW w:w="2840" w:type="dxa"/>
            <w:vAlign w:val="center"/>
          </w:tcPr>
          <w:p w:rsidR="002D6C73" w:rsidRDefault="00FB6868">
            <w:pPr>
              <w:widowControl/>
              <w:jc w:val="center"/>
              <w:rPr>
                <w:rFonts w:ascii="TimesNewRomanPSMT" w:eastAsia="TimesNewRomanPSMT" w:hAnsi="TimesNewRomanPSMT" w:cs="TimesNewRomanPSMT"/>
                <w:color w:val="1C1C1C"/>
              </w:rPr>
            </w:pPr>
            <w:r>
              <w:rPr>
                <w:rFonts w:ascii="TimesNewRomanPSMT" w:eastAsia="TimesNewRomanPSMT" w:hAnsi="TimesNewRomanPSMT" w:cs="TimesNewRomanPSMT"/>
                <w:color w:val="1C1C1C"/>
              </w:rPr>
              <w:t>≤0.05</w:t>
            </w:r>
          </w:p>
        </w:tc>
        <w:tc>
          <w:tcPr>
            <w:tcW w:w="2840" w:type="dxa"/>
            <w:vAlign w:val="center"/>
          </w:tcPr>
          <w:p w:rsidR="002D6C73" w:rsidRDefault="00FB6868">
            <w:pPr>
              <w:widowControl/>
              <w:jc w:val="center"/>
              <w:rPr>
                <w:rFonts w:ascii="TimesNewRomanPSMT" w:eastAsia="TimesNewRomanPSMT" w:hAnsi="TimesNewRomanPSMT" w:cs="TimesNewRomanPSMT"/>
                <w:color w:val="1C1C1C"/>
              </w:rPr>
            </w:pPr>
            <w:r>
              <w:rPr>
                <w:rFonts w:ascii="TimesNewRomanPSMT" w:eastAsia="TimesNewRomanPSMT" w:hAnsi="TimesNewRomanPSMT" w:cs="TimesNewRomanPSMT" w:hint="eastAsia"/>
                <w:color w:val="1C1C1C"/>
              </w:rPr>
              <w:t>适合</w:t>
            </w:r>
          </w:p>
        </w:tc>
      </w:tr>
    </w:tbl>
    <w:p w:rsidR="002D6C73" w:rsidRDefault="00FB6868">
      <w:pPr>
        <w:spacing w:line="580" w:lineRule="exact"/>
        <w:ind w:firstLineChars="200" w:firstLine="640"/>
        <w:jc w:val="both"/>
      </w:pPr>
      <w:r>
        <w:rPr>
          <w:rFonts w:ascii="仿宋" w:eastAsia="仿宋" w:hAnsi="仿宋" w:cs="仿宋" w:hint="eastAsia"/>
          <w:color w:val="1C1C1C"/>
          <w:sz w:val="32"/>
          <w:szCs w:val="32"/>
        </w:rPr>
        <w:t>在调查结束后，对指标体系的结构效度进行了检验。KMO值为</w:t>
      </w:r>
      <w:r>
        <w:rPr>
          <w:rFonts w:ascii="仿宋" w:eastAsia="仿宋" w:hAnsi="仿宋" w:cs="仿宋"/>
          <w:color w:val="1C1C1C"/>
          <w:sz w:val="32"/>
          <w:szCs w:val="32"/>
        </w:rPr>
        <w:t>0.9</w:t>
      </w:r>
      <w:r>
        <w:rPr>
          <w:rFonts w:ascii="仿宋" w:eastAsia="仿宋" w:hAnsi="仿宋" w:cs="仿宋" w:hint="eastAsia"/>
          <w:color w:val="1C1C1C"/>
          <w:sz w:val="32"/>
          <w:szCs w:val="32"/>
        </w:rPr>
        <w:t>72，并且</w:t>
      </w:r>
      <w:r>
        <w:rPr>
          <w:rFonts w:ascii="仿宋" w:eastAsia="仿宋" w:hAnsi="仿宋" w:cs="仿宋"/>
          <w:color w:val="1C1C1C"/>
          <w:sz w:val="32"/>
          <w:szCs w:val="32"/>
        </w:rPr>
        <w:t>Bartlett</w:t>
      </w:r>
      <w:r>
        <w:rPr>
          <w:rFonts w:ascii="仿宋" w:eastAsia="仿宋" w:hAnsi="仿宋" w:cs="仿宋" w:hint="eastAsia"/>
          <w:color w:val="1C1C1C"/>
          <w:sz w:val="32"/>
          <w:szCs w:val="32"/>
        </w:rPr>
        <w:t>球形检验的</w:t>
      </w:r>
      <w:r>
        <w:rPr>
          <w:rFonts w:ascii="仿宋" w:eastAsia="仿宋" w:hAnsi="仿宋" w:cs="仿宋"/>
          <w:color w:val="1C1C1C"/>
          <w:sz w:val="32"/>
          <w:szCs w:val="32"/>
        </w:rPr>
        <w:t>Sig.</w:t>
      </w:r>
      <w:r>
        <w:rPr>
          <w:rFonts w:ascii="仿宋" w:eastAsia="仿宋" w:hAnsi="仿宋" w:cs="仿宋" w:hint="eastAsia"/>
          <w:color w:val="1C1C1C"/>
          <w:sz w:val="32"/>
          <w:szCs w:val="32"/>
        </w:rPr>
        <w:t>值</w:t>
      </w:r>
      <w:r>
        <w:rPr>
          <w:rFonts w:ascii="仿宋" w:eastAsia="仿宋" w:hAnsi="仿宋" w:cs="仿宋"/>
          <w:color w:val="1C1C1C"/>
          <w:sz w:val="32"/>
          <w:szCs w:val="32"/>
        </w:rPr>
        <w:t>≤0.05</w:t>
      </w:r>
      <w:r>
        <w:rPr>
          <w:rFonts w:ascii="仿宋" w:eastAsia="仿宋" w:hAnsi="仿宋" w:cs="仿宋" w:hint="eastAsia"/>
          <w:color w:val="1C1C1C"/>
          <w:sz w:val="32"/>
          <w:szCs w:val="32"/>
        </w:rPr>
        <w:t>，说明该问卷指标体系结构效度非常适合。</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335"/>
        <w:gridCol w:w="3007"/>
        <w:gridCol w:w="1964"/>
      </w:tblGrid>
      <w:tr w:rsidR="002D6C73">
        <w:trPr>
          <w:cantSplit/>
        </w:trPr>
        <w:tc>
          <w:tcPr>
            <w:tcW w:w="5000" w:type="pct"/>
            <w:gridSpan w:val="3"/>
            <w:tcBorders>
              <w:top w:val="nil"/>
              <w:left w:val="nil"/>
              <w:bottom w:val="single" w:sz="4" w:space="0" w:color="auto"/>
              <w:right w:val="nil"/>
              <w:tl2br w:val="nil"/>
              <w:tr2bl w:val="nil"/>
            </w:tcBorders>
            <w:shd w:val="clear" w:color="auto" w:fill="FFFFFF"/>
          </w:tcPr>
          <w:p w:rsidR="002D6C73" w:rsidRDefault="00FB6868">
            <w:pPr>
              <w:jc w:val="center"/>
              <w:rPr>
                <w:rFonts w:ascii="TimesNewRomanPSMT" w:eastAsia="TimesNewRomanPSMT" w:hAnsi="TimesNewRomanPSMT" w:cs="TimesNewRomanPSMT"/>
                <w:color w:val="1C1C1C"/>
                <w:sz w:val="28"/>
                <w:szCs w:val="28"/>
              </w:rPr>
            </w:pPr>
            <w:r>
              <w:rPr>
                <w:rFonts w:ascii="黑体" w:eastAsia="黑体" w:hAnsi="黑体" w:cs="黑体" w:hint="eastAsia"/>
                <w:color w:val="1C1C1C"/>
                <w:sz w:val="28"/>
                <w:szCs w:val="28"/>
              </w:rPr>
              <w:t>表5 KMO和Bartlett检验结果</w:t>
            </w:r>
          </w:p>
        </w:tc>
      </w:tr>
      <w:tr w:rsidR="002D6C73">
        <w:trPr>
          <w:cantSplit/>
        </w:trPr>
        <w:tc>
          <w:tcPr>
            <w:tcW w:w="3818" w:type="pct"/>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D6C73" w:rsidRDefault="00FB6868">
            <w:pPr>
              <w:jc w:val="center"/>
              <w:rPr>
                <w:rFonts w:ascii="TimesNewRomanPSMT" w:eastAsia="TimesNewRomanPSMT" w:hAnsi="TimesNewRomanPSMT" w:cs="TimesNewRomanPSMT"/>
                <w:color w:val="1C1C1C"/>
              </w:rPr>
            </w:pPr>
            <w:r>
              <w:rPr>
                <w:rFonts w:ascii="TimesNewRomanPSMT" w:eastAsia="TimesNewRomanPSMT" w:hAnsi="TimesNewRomanPSMT" w:cs="TimesNewRomanPSMT"/>
                <w:color w:val="1C1C1C"/>
              </w:rPr>
              <w:t>取样足够度的 Kaiser-Meyer-Olkin 度量。</w:t>
            </w:r>
          </w:p>
        </w:tc>
        <w:tc>
          <w:tcPr>
            <w:tcW w:w="196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D6C73" w:rsidRDefault="00FB6868">
            <w:pPr>
              <w:jc w:val="center"/>
              <w:rPr>
                <w:rFonts w:ascii="TimesNewRomanPSMT" w:eastAsia="TimesNewRomanPSMT" w:hAnsi="TimesNewRomanPSMT" w:cs="TimesNewRomanPSMT"/>
                <w:color w:val="1C1C1C"/>
              </w:rPr>
            </w:pPr>
            <w:r>
              <w:rPr>
                <w:rFonts w:ascii="TimesNewRomanPSMT" w:eastAsia="TimesNewRomanPSMT" w:hAnsi="TimesNewRomanPSMT" w:cs="TimesNewRomanPSMT"/>
                <w:color w:val="1C1C1C"/>
              </w:rPr>
              <w:t>.9</w:t>
            </w:r>
            <w:r>
              <w:rPr>
                <w:rFonts w:ascii="TimesNewRomanPSMT" w:hAnsi="TimesNewRomanPSMT" w:cs="TimesNewRomanPSMT" w:hint="eastAsia"/>
                <w:color w:val="1C1C1C"/>
              </w:rPr>
              <w:t>72</w:t>
            </w:r>
          </w:p>
        </w:tc>
      </w:tr>
      <w:tr w:rsidR="002D6C73">
        <w:trPr>
          <w:cantSplit/>
        </w:trPr>
        <w:tc>
          <w:tcPr>
            <w:tcW w:w="2008" w:type="pct"/>
            <w:vMerge w:val="restar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D6C73" w:rsidRDefault="00FB6868">
            <w:pPr>
              <w:jc w:val="center"/>
              <w:rPr>
                <w:rFonts w:ascii="TimesNewRomanPSMT" w:eastAsia="TimesNewRomanPSMT" w:hAnsi="TimesNewRomanPSMT" w:cs="TimesNewRomanPSMT"/>
                <w:color w:val="1C1C1C"/>
              </w:rPr>
            </w:pPr>
            <w:r>
              <w:rPr>
                <w:rFonts w:ascii="TimesNewRomanPSMT" w:eastAsia="TimesNewRomanPSMT" w:hAnsi="TimesNewRomanPSMT" w:cs="TimesNewRomanPSMT"/>
                <w:color w:val="1C1C1C"/>
              </w:rPr>
              <w:t>Bartlett 的球形度检验</w:t>
            </w:r>
          </w:p>
        </w:tc>
        <w:tc>
          <w:tcPr>
            <w:tcW w:w="1810"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D6C73" w:rsidRDefault="00FB6868">
            <w:pPr>
              <w:jc w:val="center"/>
              <w:rPr>
                <w:rFonts w:ascii="TimesNewRomanPSMT" w:eastAsia="TimesNewRomanPSMT" w:hAnsi="TimesNewRomanPSMT" w:cs="TimesNewRomanPSMT"/>
                <w:color w:val="1C1C1C"/>
              </w:rPr>
            </w:pPr>
            <w:proofErr w:type="gramStart"/>
            <w:r>
              <w:rPr>
                <w:rFonts w:ascii="TimesNewRomanPSMT" w:eastAsia="TimesNewRomanPSMT" w:hAnsi="TimesNewRomanPSMT" w:cs="TimesNewRomanPSMT"/>
                <w:color w:val="1C1C1C"/>
              </w:rPr>
              <w:t>近似卡方</w:t>
            </w:r>
            <w:proofErr w:type="gramEnd"/>
          </w:p>
        </w:tc>
        <w:tc>
          <w:tcPr>
            <w:tcW w:w="196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D6C73" w:rsidRDefault="00FB6868">
            <w:pPr>
              <w:jc w:val="center"/>
              <w:rPr>
                <w:rFonts w:ascii="TimesNewRomanPSMT" w:eastAsia="TimesNewRomanPSMT" w:hAnsi="TimesNewRomanPSMT" w:cs="TimesNewRomanPSMT"/>
                <w:color w:val="1C1C1C"/>
              </w:rPr>
            </w:pPr>
            <w:r>
              <w:rPr>
                <w:rFonts w:ascii="TimesNewRomanPSMT" w:hAnsi="TimesNewRomanPSMT" w:cs="TimesNewRomanPSMT" w:hint="eastAsia"/>
                <w:color w:val="1C1C1C"/>
              </w:rPr>
              <w:t>174828.265</w:t>
            </w:r>
          </w:p>
        </w:tc>
      </w:tr>
      <w:tr w:rsidR="002D6C73">
        <w:trPr>
          <w:cantSplit/>
        </w:trPr>
        <w:tc>
          <w:tcPr>
            <w:tcW w:w="2008" w:type="pct"/>
            <w:vMerge/>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D6C73" w:rsidRDefault="002D6C73">
            <w:pPr>
              <w:jc w:val="center"/>
              <w:rPr>
                <w:rFonts w:ascii="TimesNewRomanPSMT" w:eastAsia="TimesNewRomanPSMT" w:hAnsi="TimesNewRomanPSMT" w:cs="TimesNewRomanPSMT"/>
                <w:color w:val="1C1C1C"/>
              </w:rPr>
            </w:pPr>
          </w:p>
        </w:tc>
        <w:tc>
          <w:tcPr>
            <w:tcW w:w="1810"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D6C73" w:rsidRDefault="00FB6868">
            <w:pPr>
              <w:jc w:val="center"/>
              <w:rPr>
                <w:rFonts w:ascii="TimesNewRomanPSMT" w:eastAsia="TimesNewRomanPSMT" w:hAnsi="TimesNewRomanPSMT" w:cs="TimesNewRomanPSMT"/>
                <w:color w:val="1C1C1C"/>
              </w:rPr>
            </w:pPr>
            <w:r>
              <w:rPr>
                <w:rFonts w:ascii="TimesNewRomanPSMT" w:eastAsia="TimesNewRomanPSMT" w:hAnsi="TimesNewRomanPSMT" w:cs="TimesNewRomanPSMT"/>
                <w:color w:val="1C1C1C"/>
              </w:rPr>
              <w:t>df</w:t>
            </w:r>
          </w:p>
        </w:tc>
        <w:tc>
          <w:tcPr>
            <w:tcW w:w="196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D6C73" w:rsidRDefault="00FB6868">
            <w:pPr>
              <w:jc w:val="center"/>
              <w:rPr>
                <w:rFonts w:ascii="TimesNewRomanPSMT" w:eastAsia="TimesNewRomanPSMT" w:hAnsi="TimesNewRomanPSMT" w:cs="TimesNewRomanPSMT"/>
                <w:color w:val="1C1C1C"/>
              </w:rPr>
            </w:pPr>
            <w:r>
              <w:rPr>
                <w:rFonts w:ascii="TimesNewRomanPSMT" w:eastAsia="TimesNewRomanPSMT" w:hAnsi="TimesNewRomanPSMT" w:cs="TimesNewRomanPSMT"/>
                <w:color w:val="1C1C1C"/>
              </w:rPr>
              <w:t>300</w:t>
            </w:r>
          </w:p>
        </w:tc>
      </w:tr>
      <w:tr w:rsidR="002D6C73">
        <w:trPr>
          <w:cantSplit/>
        </w:trPr>
        <w:tc>
          <w:tcPr>
            <w:tcW w:w="2008" w:type="pct"/>
            <w:vMerge/>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D6C73" w:rsidRDefault="002D6C73">
            <w:pPr>
              <w:jc w:val="center"/>
              <w:rPr>
                <w:rFonts w:ascii="TimesNewRomanPSMT" w:eastAsia="TimesNewRomanPSMT" w:hAnsi="TimesNewRomanPSMT" w:cs="TimesNewRomanPSMT"/>
                <w:color w:val="1C1C1C"/>
              </w:rPr>
            </w:pPr>
          </w:p>
        </w:tc>
        <w:tc>
          <w:tcPr>
            <w:tcW w:w="1810"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D6C73" w:rsidRDefault="00FB6868">
            <w:pPr>
              <w:jc w:val="center"/>
              <w:rPr>
                <w:rFonts w:ascii="TimesNewRomanPSMT" w:eastAsia="TimesNewRomanPSMT" w:hAnsi="TimesNewRomanPSMT" w:cs="TimesNewRomanPSMT"/>
                <w:color w:val="1C1C1C"/>
              </w:rPr>
            </w:pPr>
            <w:r>
              <w:rPr>
                <w:rFonts w:ascii="TimesNewRomanPSMT" w:eastAsia="TimesNewRomanPSMT" w:hAnsi="TimesNewRomanPSMT" w:cs="TimesNewRomanPSMT"/>
                <w:color w:val="1C1C1C"/>
              </w:rPr>
              <w:t>Sig.</w:t>
            </w:r>
          </w:p>
        </w:tc>
        <w:tc>
          <w:tcPr>
            <w:tcW w:w="196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D6C73" w:rsidRDefault="00FB6868">
            <w:pPr>
              <w:jc w:val="center"/>
              <w:rPr>
                <w:rFonts w:ascii="TimesNewRomanPSMT" w:eastAsia="TimesNewRomanPSMT" w:hAnsi="TimesNewRomanPSMT" w:cs="TimesNewRomanPSMT"/>
                <w:color w:val="1C1C1C"/>
              </w:rPr>
            </w:pPr>
            <w:r>
              <w:rPr>
                <w:rFonts w:ascii="TimesNewRomanPSMT" w:eastAsia="TimesNewRomanPSMT" w:hAnsi="TimesNewRomanPSMT" w:cs="TimesNewRomanPSMT"/>
                <w:color w:val="1C1C1C"/>
              </w:rPr>
              <w:t>.000</w:t>
            </w:r>
          </w:p>
        </w:tc>
      </w:tr>
    </w:tbl>
    <w:p w:rsidR="002D6C73" w:rsidRDefault="00FB6868">
      <w:pPr>
        <w:rPr>
          <w:rFonts w:ascii="仿宋" w:eastAsia="仿宋" w:hAnsi="仿宋" w:cs="仿宋"/>
          <w:sz w:val="32"/>
          <w:szCs w:val="32"/>
        </w:rPr>
      </w:pPr>
      <w:r>
        <w:rPr>
          <w:rFonts w:ascii="仿宋" w:eastAsia="仿宋" w:hAnsi="仿宋" w:cs="仿宋"/>
          <w:sz w:val="32"/>
          <w:szCs w:val="32"/>
        </w:rPr>
        <w:br w:type="page"/>
      </w:r>
    </w:p>
    <w:p w:rsidR="002D6C73" w:rsidRDefault="002D6C73">
      <w:pPr>
        <w:spacing w:line="400" w:lineRule="exact"/>
        <w:rPr>
          <w:rFonts w:ascii="仿宋" w:eastAsia="仿宋" w:hAnsi="仿宋" w:cs="仿宋"/>
          <w:sz w:val="32"/>
          <w:szCs w:val="32"/>
        </w:rPr>
      </w:pPr>
    </w:p>
    <w:p w:rsidR="002D6C73" w:rsidRDefault="00FB6868">
      <w:pPr>
        <w:pStyle w:val="1"/>
        <w:spacing w:beforeLines="100" w:before="326" w:afterLines="100" w:after="326"/>
        <w:jc w:val="center"/>
        <w:rPr>
          <w:rFonts w:ascii="方正小标宋简体" w:eastAsia="方正小标宋简体" w:hAnsi="华文中宋" w:cs="华文中宋"/>
          <w:b w:val="0"/>
          <w:bCs/>
          <w:sz w:val="40"/>
          <w:szCs w:val="28"/>
        </w:rPr>
      </w:pPr>
      <w:bookmarkStart w:id="19" w:name="_Toc62721754"/>
      <w:bookmarkStart w:id="20" w:name="_Toc6922"/>
      <w:r>
        <w:rPr>
          <w:rFonts w:ascii="方正小标宋简体" w:eastAsia="方正小标宋简体" w:hAnsi="华文中宋" w:cs="华文中宋" w:hint="eastAsia"/>
          <w:b w:val="0"/>
          <w:bCs/>
          <w:sz w:val="40"/>
          <w:szCs w:val="28"/>
        </w:rPr>
        <w:t>第三部分  消费者满意度总体测评结果</w:t>
      </w:r>
      <w:bookmarkEnd w:id="19"/>
      <w:bookmarkEnd w:id="20"/>
    </w:p>
    <w:p w:rsidR="002D6C73" w:rsidRDefault="00FB6868">
      <w:pPr>
        <w:spacing w:line="560" w:lineRule="exact"/>
        <w:ind w:firstLineChars="200" w:firstLine="640"/>
        <w:jc w:val="both"/>
        <w:rPr>
          <w:rFonts w:ascii="仿宋" w:eastAsia="仿宋" w:hAnsi="仿宋" w:cs="仿宋"/>
          <w:sz w:val="32"/>
          <w:szCs w:val="32"/>
        </w:rPr>
      </w:pPr>
      <w:r>
        <w:rPr>
          <w:rFonts w:ascii="仿宋" w:eastAsia="仿宋" w:hAnsi="仿宋" w:cs="仿宋" w:hint="eastAsia"/>
          <w:color w:val="1C1C1C"/>
          <w:sz w:val="32"/>
          <w:szCs w:val="32"/>
        </w:rPr>
        <w:t>按照项目设计思路，为保障调查分析数据的科学性、严谨性，按照100个城市最新的常住人口规模和社会消费品零售总额情况统一对样本结构进行加权，从而得到</w:t>
      </w:r>
      <w:r>
        <w:rPr>
          <w:rFonts w:ascii="仿宋" w:eastAsia="仿宋" w:hAnsi="仿宋" w:cs="仿宋"/>
          <w:color w:val="1C1C1C"/>
          <w:sz w:val="32"/>
          <w:szCs w:val="32"/>
        </w:rPr>
        <w:t>20</w:t>
      </w:r>
      <w:r>
        <w:rPr>
          <w:rFonts w:ascii="仿宋" w:eastAsia="仿宋" w:hAnsi="仿宋" w:cs="仿宋" w:hint="eastAsia"/>
          <w:color w:val="1C1C1C"/>
          <w:sz w:val="32"/>
          <w:szCs w:val="32"/>
        </w:rPr>
        <w:t>2</w:t>
      </w:r>
      <w:r>
        <w:rPr>
          <w:rFonts w:ascii="仿宋" w:eastAsia="仿宋" w:hAnsi="仿宋" w:cs="仿宋"/>
          <w:color w:val="1C1C1C"/>
          <w:sz w:val="32"/>
          <w:szCs w:val="32"/>
        </w:rPr>
        <w:t>1</w:t>
      </w:r>
      <w:r>
        <w:rPr>
          <w:rFonts w:ascii="仿宋" w:eastAsia="仿宋" w:hAnsi="仿宋" w:cs="仿宋" w:hint="eastAsia"/>
          <w:color w:val="1C1C1C"/>
          <w:sz w:val="32"/>
          <w:szCs w:val="32"/>
        </w:rPr>
        <w:t>年度</w:t>
      </w:r>
      <w:r>
        <w:rPr>
          <w:rFonts w:ascii="仿宋" w:eastAsia="仿宋" w:hAnsi="仿宋" w:cs="仿宋"/>
          <w:color w:val="1C1C1C"/>
          <w:sz w:val="32"/>
          <w:szCs w:val="32"/>
        </w:rPr>
        <w:t>100</w:t>
      </w:r>
      <w:r>
        <w:rPr>
          <w:rFonts w:ascii="仿宋" w:eastAsia="仿宋" w:hAnsi="仿宋" w:cs="仿宋" w:hint="eastAsia"/>
          <w:color w:val="1C1C1C"/>
          <w:sz w:val="32"/>
          <w:szCs w:val="32"/>
        </w:rPr>
        <w:t>个城市消费者满意</w:t>
      </w:r>
      <w:proofErr w:type="gramStart"/>
      <w:r>
        <w:rPr>
          <w:rFonts w:ascii="仿宋" w:eastAsia="仿宋" w:hAnsi="仿宋" w:cs="仿宋" w:hint="eastAsia"/>
          <w:color w:val="1C1C1C"/>
          <w:sz w:val="32"/>
          <w:szCs w:val="32"/>
        </w:rPr>
        <w:t>度综合</w:t>
      </w:r>
      <w:proofErr w:type="gramEnd"/>
      <w:r>
        <w:rPr>
          <w:rFonts w:ascii="仿宋" w:eastAsia="仿宋" w:hAnsi="仿宋" w:cs="仿宋" w:hint="eastAsia"/>
          <w:color w:val="1C1C1C"/>
          <w:sz w:val="32"/>
          <w:szCs w:val="32"/>
        </w:rPr>
        <w:t>得分。</w:t>
      </w:r>
    </w:p>
    <w:p w:rsidR="002D6C73" w:rsidRDefault="00FB6868">
      <w:pPr>
        <w:pStyle w:val="2"/>
        <w:numPr>
          <w:ilvl w:val="0"/>
          <w:numId w:val="1"/>
        </w:numPr>
        <w:spacing w:line="560" w:lineRule="exact"/>
        <w:rPr>
          <w:rFonts w:ascii="黑体" w:eastAsia="黑体" w:hAnsi="黑体" w:cs="黑体"/>
          <w:b w:val="0"/>
          <w:bCs/>
          <w:i w:val="0"/>
          <w:iCs/>
          <w:sz w:val="32"/>
          <w:szCs w:val="28"/>
        </w:rPr>
      </w:pPr>
      <w:bookmarkStart w:id="21" w:name="_Toc18682"/>
      <w:bookmarkStart w:id="22" w:name="_Toc62721755"/>
      <w:r>
        <w:rPr>
          <w:rFonts w:ascii="黑体" w:eastAsia="黑体" w:hAnsi="黑体" w:cs="黑体" w:hint="eastAsia"/>
          <w:b w:val="0"/>
          <w:bCs/>
          <w:i w:val="0"/>
          <w:iCs/>
          <w:sz w:val="32"/>
          <w:szCs w:val="28"/>
        </w:rPr>
        <w:t>消费者满意</w:t>
      </w:r>
      <w:proofErr w:type="gramStart"/>
      <w:r>
        <w:rPr>
          <w:rFonts w:ascii="黑体" w:eastAsia="黑体" w:hAnsi="黑体" w:cs="黑体" w:hint="eastAsia"/>
          <w:b w:val="0"/>
          <w:bCs/>
          <w:i w:val="0"/>
          <w:iCs/>
          <w:sz w:val="32"/>
          <w:szCs w:val="28"/>
        </w:rPr>
        <w:t>度综合</w:t>
      </w:r>
      <w:proofErr w:type="gramEnd"/>
      <w:r>
        <w:rPr>
          <w:rFonts w:ascii="黑体" w:eastAsia="黑体" w:hAnsi="黑体" w:cs="黑体" w:hint="eastAsia"/>
          <w:b w:val="0"/>
          <w:bCs/>
          <w:i w:val="0"/>
          <w:iCs/>
          <w:sz w:val="32"/>
          <w:szCs w:val="28"/>
        </w:rPr>
        <w:t>得分</w:t>
      </w:r>
      <w:bookmarkEnd w:id="21"/>
      <w:bookmarkEnd w:id="22"/>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百分制下，202</w:t>
      </w:r>
      <w:r>
        <w:rPr>
          <w:rFonts w:ascii="仿宋" w:eastAsia="仿宋" w:hAnsi="仿宋" w:cs="仿宋"/>
          <w:color w:val="1C1C1C"/>
          <w:sz w:val="32"/>
          <w:szCs w:val="32"/>
        </w:rPr>
        <w:t>1</w:t>
      </w:r>
      <w:r>
        <w:rPr>
          <w:rFonts w:ascii="仿宋" w:eastAsia="仿宋" w:hAnsi="仿宋" w:cs="仿宋" w:hint="eastAsia"/>
          <w:color w:val="1C1C1C"/>
          <w:sz w:val="32"/>
          <w:szCs w:val="32"/>
        </w:rPr>
        <w:t>年</w:t>
      </w:r>
      <w:r>
        <w:rPr>
          <w:rFonts w:ascii="仿宋" w:eastAsia="仿宋" w:hAnsi="仿宋" w:cs="仿宋"/>
          <w:color w:val="1C1C1C"/>
          <w:sz w:val="32"/>
          <w:szCs w:val="32"/>
        </w:rPr>
        <w:t>100</w:t>
      </w:r>
      <w:r>
        <w:rPr>
          <w:rFonts w:ascii="仿宋" w:eastAsia="仿宋" w:hAnsi="仿宋" w:cs="仿宋" w:hint="eastAsia"/>
          <w:color w:val="1C1C1C"/>
          <w:sz w:val="32"/>
          <w:szCs w:val="32"/>
        </w:rPr>
        <w:t>个城市的消费者满意</w:t>
      </w:r>
      <w:proofErr w:type="gramStart"/>
      <w:r>
        <w:rPr>
          <w:rFonts w:ascii="仿宋" w:eastAsia="仿宋" w:hAnsi="仿宋" w:cs="仿宋" w:hint="eastAsia"/>
          <w:color w:val="1C1C1C"/>
          <w:sz w:val="32"/>
          <w:szCs w:val="32"/>
        </w:rPr>
        <w:t>度综合</w:t>
      </w:r>
      <w:proofErr w:type="gramEnd"/>
      <w:r>
        <w:rPr>
          <w:rFonts w:ascii="仿宋" w:eastAsia="仿宋" w:hAnsi="仿宋" w:cs="仿宋" w:hint="eastAsia"/>
          <w:color w:val="1C1C1C"/>
          <w:sz w:val="32"/>
          <w:szCs w:val="32"/>
        </w:rPr>
        <w:t>得分为</w:t>
      </w:r>
      <w:r>
        <w:rPr>
          <w:rFonts w:ascii="仿宋" w:eastAsia="仿宋" w:hAnsi="仿宋" w:cs="仿宋"/>
          <w:b/>
          <w:color w:val="FF0000"/>
          <w:sz w:val="32"/>
          <w:szCs w:val="32"/>
        </w:rPr>
        <w:t>80.59</w:t>
      </w:r>
      <w:r>
        <w:rPr>
          <w:rFonts w:ascii="仿宋" w:eastAsia="仿宋" w:hAnsi="仿宋" w:cs="仿宋" w:hint="eastAsia"/>
          <w:color w:val="1C1C1C"/>
          <w:sz w:val="32"/>
          <w:szCs w:val="32"/>
        </w:rPr>
        <w:t>分，首次突破80分，比上年得分增长了1</w:t>
      </w:r>
      <w:r>
        <w:rPr>
          <w:rFonts w:ascii="仿宋" w:eastAsia="仿宋" w:hAnsi="仿宋" w:cs="仿宋"/>
          <w:color w:val="1C1C1C"/>
          <w:sz w:val="32"/>
          <w:szCs w:val="32"/>
        </w:rPr>
        <w:t>.60%</w:t>
      </w:r>
      <w:r>
        <w:rPr>
          <w:rFonts w:ascii="仿宋" w:eastAsia="仿宋" w:hAnsi="仿宋" w:cs="仿宋" w:hint="eastAsia"/>
          <w:color w:val="1C1C1C"/>
          <w:sz w:val="32"/>
          <w:szCs w:val="32"/>
        </w:rPr>
        <w:t>。综合2017至2021年测评情况，近五年消费者满意</w:t>
      </w:r>
      <w:proofErr w:type="gramStart"/>
      <w:r>
        <w:rPr>
          <w:rFonts w:ascii="仿宋" w:eastAsia="仿宋" w:hAnsi="仿宋" w:cs="仿宋" w:hint="eastAsia"/>
          <w:color w:val="1C1C1C"/>
          <w:sz w:val="32"/>
          <w:szCs w:val="32"/>
        </w:rPr>
        <w:t>度综合</w:t>
      </w:r>
      <w:proofErr w:type="gramEnd"/>
      <w:r>
        <w:rPr>
          <w:rFonts w:ascii="仿宋" w:eastAsia="仿宋" w:hAnsi="仿宋" w:cs="仿宋" w:hint="eastAsia"/>
          <w:color w:val="1C1C1C"/>
          <w:sz w:val="32"/>
          <w:szCs w:val="32"/>
        </w:rPr>
        <w:t>得分呈现出逐年增长的态势，即从2</w:t>
      </w:r>
      <w:r>
        <w:rPr>
          <w:rFonts w:ascii="仿宋" w:eastAsia="仿宋" w:hAnsi="仿宋" w:cs="仿宋"/>
          <w:color w:val="1C1C1C"/>
          <w:sz w:val="32"/>
          <w:szCs w:val="32"/>
        </w:rPr>
        <w:t>017</w:t>
      </w:r>
      <w:r>
        <w:rPr>
          <w:rFonts w:ascii="仿宋" w:eastAsia="仿宋" w:hAnsi="仿宋" w:cs="仿宋" w:hint="eastAsia"/>
          <w:color w:val="1C1C1C"/>
          <w:sz w:val="32"/>
          <w:szCs w:val="32"/>
        </w:rPr>
        <w:t>年的7</w:t>
      </w:r>
      <w:r>
        <w:rPr>
          <w:rFonts w:ascii="仿宋" w:eastAsia="仿宋" w:hAnsi="仿宋" w:cs="仿宋"/>
          <w:color w:val="1C1C1C"/>
          <w:sz w:val="32"/>
          <w:szCs w:val="32"/>
        </w:rPr>
        <w:t>1.75</w:t>
      </w:r>
      <w:r>
        <w:rPr>
          <w:rFonts w:ascii="仿宋" w:eastAsia="仿宋" w:hAnsi="仿宋" w:cs="仿宋" w:hint="eastAsia"/>
          <w:color w:val="1C1C1C"/>
          <w:sz w:val="32"/>
          <w:szCs w:val="32"/>
        </w:rPr>
        <w:t>分增长到了2</w:t>
      </w:r>
      <w:r>
        <w:rPr>
          <w:rFonts w:ascii="仿宋" w:eastAsia="仿宋" w:hAnsi="仿宋" w:cs="仿宋"/>
          <w:color w:val="1C1C1C"/>
          <w:sz w:val="32"/>
          <w:szCs w:val="32"/>
        </w:rPr>
        <w:t>021</w:t>
      </w:r>
      <w:r>
        <w:rPr>
          <w:rFonts w:ascii="仿宋" w:eastAsia="仿宋" w:hAnsi="仿宋" w:cs="仿宋" w:hint="eastAsia"/>
          <w:color w:val="1C1C1C"/>
          <w:sz w:val="32"/>
          <w:szCs w:val="32"/>
        </w:rPr>
        <w:t>年的8</w:t>
      </w:r>
      <w:r>
        <w:rPr>
          <w:rFonts w:ascii="仿宋" w:eastAsia="仿宋" w:hAnsi="仿宋" w:cs="仿宋"/>
          <w:color w:val="1C1C1C"/>
          <w:sz w:val="32"/>
          <w:szCs w:val="32"/>
        </w:rPr>
        <w:t>0.59</w:t>
      </w:r>
      <w:r>
        <w:rPr>
          <w:rFonts w:ascii="仿宋" w:eastAsia="仿宋" w:hAnsi="仿宋" w:cs="仿宋" w:hint="eastAsia"/>
          <w:color w:val="1C1C1C"/>
          <w:sz w:val="32"/>
          <w:szCs w:val="32"/>
        </w:rPr>
        <w:t>分，上升了8</w:t>
      </w:r>
      <w:r>
        <w:rPr>
          <w:rFonts w:ascii="仿宋" w:eastAsia="仿宋" w:hAnsi="仿宋" w:cs="仿宋"/>
          <w:color w:val="1C1C1C"/>
          <w:sz w:val="32"/>
          <w:szCs w:val="32"/>
        </w:rPr>
        <w:t>.84</w:t>
      </w:r>
      <w:r>
        <w:rPr>
          <w:rFonts w:ascii="仿宋" w:eastAsia="仿宋" w:hAnsi="仿宋" w:cs="仿宋" w:hint="eastAsia"/>
          <w:color w:val="1C1C1C"/>
          <w:sz w:val="32"/>
          <w:szCs w:val="32"/>
        </w:rPr>
        <w:t>分，而增长的</w:t>
      </w:r>
      <w:r>
        <w:rPr>
          <w:rFonts w:ascii="仿宋" w:eastAsia="仿宋" w:hAnsi="仿宋" w:cs="仿宋"/>
          <w:color w:val="1C1C1C"/>
          <w:sz w:val="32"/>
          <w:szCs w:val="32"/>
        </w:rPr>
        <w:t>速度呈现出先上升后下降的</w:t>
      </w:r>
      <w:r>
        <w:rPr>
          <w:rFonts w:ascii="仿宋" w:eastAsia="仿宋" w:hAnsi="仿宋" w:cs="仿宋" w:hint="eastAsia"/>
          <w:color w:val="1C1C1C"/>
          <w:sz w:val="32"/>
          <w:szCs w:val="32"/>
        </w:rPr>
        <w:t>“弓形</w:t>
      </w:r>
      <w:r>
        <w:rPr>
          <w:rFonts w:ascii="仿宋" w:eastAsia="仿宋" w:hAnsi="仿宋" w:cs="仿宋"/>
          <w:color w:val="1C1C1C"/>
          <w:sz w:val="32"/>
          <w:szCs w:val="32"/>
        </w:rPr>
        <w:t>”</w:t>
      </w:r>
      <w:r>
        <w:rPr>
          <w:rFonts w:ascii="仿宋" w:eastAsia="仿宋" w:hAnsi="仿宋" w:cs="仿宋" w:hint="eastAsia"/>
          <w:color w:val="1C1C1C"/>
          <w:sz w:val="32"/>
          <w:szCs w:val="32"/>
        </w:rPr>
        <w:t>变化（</w:t>
      </w:r>
      <w:r>
        <w:rPr>
          <w:rFonts w:ascii="仿宋" w:eastAsia="仿宋" w:hAnsi="仿宋" w:cs="仿宋"/>
          <w:color w:val="1C1C1C"/>
          <w:sz w:val="32"/>
          <w:szCs w:val="32"/>
        </w:rPr>
        <w:t>最大</w:t>
      </w:r>
      <w:r>
        <w:rPr>
          <w:rFonts w:ascii="仿宋" w:eastAsia="仿宋" w:hAnsi="仿宋" w:cs="仿宋" w:hint="eastAsia"/>
          <w:color w:val="1C1C1C"/>
          <w:sz w:val="32"/>
          <w:szCs w:val="32"/>
        </w:rPr>
        <w:t>速度为2019</w:t>
      </w:r>
      <w:r>
        <w:rPr>
          <w:rFonts w:ascii="仿宋" w:eastAsia="仿宋" w:hAnsi="仿宋" w:cs="仿宋"/>
          <w:color w:val="1C1C1C"/>
          <w:sz w:val="32"/>
          <w:szCs w:val="32"/>
        </w:rPr>
        <w:t>年</w:t>
      </w:r>
      <w:r>
        <w:rPr>
          <w:rFonts w:ascii="仿宋" w:eastAsia="仿宋" w:hAnsi="仿宋" w:cs="仿宋" w:hint="eastAsia"/>
          <w:color w:val="1C1C1C"/>
          <w:sz w:val="32"/>
          <w:szCs w:val="32"/>
        </w:rPr>
        <w:t>的4.53%</w:t>
      </w:r>
      <w:r>
        <w:rPr>
          <w:rFonts w:ascii="仿宋" w:eastAsia="仿宋" w:hAnsi="仿宋" w:cs="仿宋"/>
          <w:color w:val="1C1C1C"/>
          <w:sz w:val="32"/>
          <w:szCs w:val="32"/>
        </w:rPr>
        <w:t>）</w:t>
      </w:r>
      <w:r>
        <w:rPr>
          <w:rFonts w:ascii="仿宋" w:eastAsia="仿宋" w:hAnsi="仿宋" w:cs="仿宋" w:hint="eastAsia"/>
          <w:color w:val="1C1C1C"/>
          <w:sz w:val="32"/>
          <w:szCs w:val="32"/>
        </w:rPr>
        <w:t>。</w:t>
      </w:r>
    </w:p>
    <w:p w:rsidR="002D6C73" w:rsidRDefault="00FB6868">
      <w:pPr>
        <w:jc w:val="center"/>
      </w:pPr>
      <w:r>
        <w:rPr>
          <w:noProof/>
        </w:rPr>
        <w:drawing>
          <wp:inline distT="0" distB="0" distL="0" distR="0">
            <wp:extent cx="5274310" cy="3076575"/>
            <wp:effectExtent l="0" t="0" r="254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D6C73" w:rsidRDefault="00FB6868">
      <w:pPr>
        <w:jc w:val="center"/>
        <w:rPr>
          <w:rFonts w:ascii="黑体" w:eastAsia="黑体" w:hAnsi="黑体" w:cs="黑体"/>
          <w:color w:val="1C1C1C"/>
          <w:sz w:val="28"/>
          <w:szCs w:val="28"/>
        </w:rPr>
      </w:pPr>
      <w:r>
        <w:rPr>
          <w:rFonts w:ascii="黑体" w:eastAsia="黑体" w:hAnsi="黑体" w:cs="黑体" w:hint="eastAsia"/>
          <w:sz w:val="28"/>
          <w:szCs w:val="28"/>
        </w:rPr>
        <w:t xml:space="preserve">图1  </w:t>
      </w:r>
      <w:r>
        <w:rPr>
          <w:rFonts w:ascii="黑体" w:eastAsia="黑体" w:hAnsi="黑体" w:cs="黑体" w:hint="eastAsia"/>
          <w:color w:val="1C1C1C"/>
          <w:sz w:val="28"/>
          <w:szCs w:val="28"/>
        </w:rPr>
        <w:t>2017-202</w:t>
      </w:r>
      <w:r>
        <w:rPr>
          <w:rFonts w:ascii="黑体" w:eastAsia="黑体" w:hAnsi="黑体" w:cs="黑体"/>
          <w:color w:val="1C1C1C"/>
          <w:sz w:val="28"/>
          <w:szCs w:val="28"/>
        </w:rPr>
        <w:t>1</w:t>
      </w:r>
      <w:r>
        <w:rPr>
          <w:rFonts w:ascii="黑体" w:eastAsia="黑体" w:hAnsi="黑体" w:cs="黑体" w:hint="eastAsia"/>
          <w:color w:val="1C1C1C"/>
          <w:sz w:val="28"/>
          <w:szCs w:val="28"/>
        </w:rPr>
        <w:t>年消费者满意</w:t>
      </w:r>
      <w:proofErr w:type="gramStart"/>
      <w:r>
        <w:rPr>
          <w:rFonts w:ascii="黑体" w:eastAsia="黑体" w:hAnsi="黑体" w:cs="黑体" w:hint="eastAsia"/>
          <w:color w:val="1C1C1C"/>
          <w:sz w:val="28"/>
          <w:szCs w:val="28"/>
        </w:rPr>
        <w:t>度综合</w:t>
      </w:r>
      <w:proofErr w:type="gramEnd"/>
      <w:r>
        <w:rPr>
          <w:rFonts w:ascii="黑体" w:eastAsia="黑体" w:hAnsi="黑体" w:cs="黑体" w:hint="eastAsia"/>
          <w:color w:val="1C1C1C"/>
          <w:sz w:val="28"/>
          <w:szCs w:val="28"/>
        </w:rPr>
        <w:t>得分</w:t>
      </w:r>
    </w:p>
    <w:p w:rsidR="002D6C73" w:rsidRDefault="00FB6868">
      <w:pPr>
        <w:pStyle w:val="2"/>
        <w:numPr>
          <w:ilvl w:val="0"/>
          <w:numId w:val="1"/>
        </w:numPr>
        <w:rPr>
          <w:rFonts w:ascii="黑体" w:eastAsia="黑体" w:hAnsi="黑体" w:cs="黑体"/>
          <w:b w:val="0"/>
          <w:bCs/>
          <w:i w:val="0"/>
          <w:iCs/>
          <w:sz w:val="32"/>
          <w:szCs w:val="28"/>
        </w:rPr>
      </w:pPr>
      <w:bookmarkStart w:id="23" w:name="_Toc23873"/>
      <w:bookmarkStart w:id="24" w:name="_Toc62721756"/>
      <w:r>
        <w:rPr>
          <w:rFonts w:ascii="黑体" w:eastAsia="黑体" w:hAnsi="黑体" w:cs="黑体" w:hint="eastAsia"/>
          <w:b w:val="0"/>
          <w:bCs/>
          <w:i w:val="0"/>
          <w:iCs/>
          <w:sz w:val="32"/>
          <w:szCs w:val="28"/>
        </w:rPr>
        <w:lastRenderedPageBreak/>
        <w:t>消费者满意度一级指标得分</w:t>
      </w:r>
      <w:bookmarkEnd w:id="23"/>
      <w:bookmarkEnd w:id="24"/>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消费者满意度一级指标共有3个：消费供给、消费环境、消费维权。调查结果显示，消费满意度一级指标得分均在80分以上。消费供给的得分最高，为8</w:t>
      </w:r>
      <w:r>
        <w:rPr>
          <w:rFonts w:ascii="仿宋" w:eastAsia="仿宋" w:hAnsi="仿宋" w:cs="仿宋"/>
          <w:sz w:val="32"/>
          <w:szCs w:val="32"/>
        </w:rPr>
        <w:t>1.93</w:t>
      </w:r>
      <w:r>
        <w:rPr>
          <w:rFonts w:ascii="仿宋" w:eastAsia="仿宋" w:hAnsi="仿宋" w:cs="仿宋" w:hint="eastAsia"/>
          <w:sz w:val="32"/>
          <w:szCs w:val="32"/>
        </w:rPr>
        <w:t>分；消费维权的得分最低，为8</w:t>
      </w:r>
      <w:r>
        <w:rPr>
          <w:rFonts w:ascii="仿宋" w:eastAsia="仿宋" w:hAnsi="仿宋" w:cs="仿宋"/>
          <w:sz w:val="32"/>
          <w:szCs w:val="32"/>
        </w:rPr>
        <w:t>0.05</w:t>
      </w:r>
      <w:r>
        <w:rPr>
          <w:rFonts w:ascii="仿宋" w:eastAsia="仿宋" w:hAnsi="仿宋" w:cs="仿宋" w:hint="eastAsia"/>
          <w:sz w:val="32"/>
          <w:szCs w:val="32"/>
        </w:rPr>
        <w:t>分；消费环境的得分为8</w:t>
      </w:r>
      <w:r>
        <w:rPr>
          <w:rFonts w:ascii="仿宋" w:eastAsia="仿宋" w:hAnsi="仿宋" w:cs="仿宋"/>
          <w:sz w:val="32"/>
          <w:szCs w:val="32"/>
        </w:rPr>
        <w:t>0.52</w:t>
      </w:r>
      <w:r>
        <w:rPr>
          <w:rFonts w:ascii="仿宋" w:eastAsia="仿宋" w:hAnsi="仿宋" w:cs="仿宋" w:hint="eastAsia"/>
          <w:sz w:val="32"/>
          <w:szCs w:val="32"/>
        </w:rPr>
        <w:t>分。</w:t>
      </w:r>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对比2017年-202</w:t>
      </w:r>
      <w:r>
        <w:rPr>
          <w:rFonts w:ascii="仿宋" w:eastAsia="仿宋" w:hAnsi="仿宋" w:cs="仿宋"/>
          <w:sz w:val="32"/>
          <w:szCs w:val="32"/>
        </w:rPr>
        <w:t>1</w:t>
      </w:r>
      <w:r>
        <w:rPr>
          <w:rFonts w:ascii="仿宋" w:eastAsia="仿宋" w:hAnsi="仿宋" w:cs="仿宋" w:hint="eastAsia"/>
          <w:sz w:val="32"/>
          <w:szCs w:val="32"/>
        </w:rPr>
        <w:t>年五年得分情况，一级指标得分主要呈现如下特征：</w:t>
      </w:r>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一是整体指标结构保持一致。2</w:t>
      </w:r>
      <w:r>
        <w:rPr>
          <w:rFonts w:ascii="仿宋" w:eastAsia="仿宋" w:hAnsi="仿宋" w:cs="仿宋"/>
          <w:sz w:val="32"/>
          <w:szCs w:val="32"/>
        </w:rPr>
        <w:t>021</w:t>
      </w:r>
      <w:r>
        <w:rPr>
          <w:rFonts w:ascii="仿宋" w:eastAsia="仿宋" w:hAnsi="仿宋" w:cs="仿宋" w:hint="eastAsia"/>
          <w:sz w:val="32"/>
          <w:szCs w:val="32"/>
        </w:rPr>
        <w:t>年，三个指标得分的相对排名近四年来总体次序保持一致，依然是“消费供给”（8</w:t>
      </w:r>
      <w:r>
        <w:rPr>
          <w:rFonts w:ascii="仿宋" w:eastAsia="仿宋" w:hAnsi="仿宋" w:cs="仿宋"/>
          <w:sz w:val="32"/>
          <w:szCs w:val="32"/>
        </w:rPr>
        <w:t>1.93</w:t>
      </w:r>
      <w:r>
        <w:rPr>
          <w:rFonts w:ascii="仿宋" w:eastAsia="仿宋" w:hAnsi="仿宋" w:cs="仿宋" w:hint="eastAsia"/>
          <w:sz w:val="32"/>
          <w:szCs w:val="32"/>
        </w:rPr>
        <w:t>分）得分最高、“消费环境”（8</w:t>
      </w:r>
      <w:r>
        <w:rPr>
          <w:rFonts w:ascii="仿宋" w:eastAsia="仿宋" w:hAnsi="仿宋" w:cs="仿宋"/>
          <w:sz w:val="32"/>
          <w:szCs w:val="32"/>
        </w:rPr>
        <w:t>0.52</w:t>
      </w:r>
      <w:r>
        <w:rPr>
          <w:rFonts w:ascii="仿宋" w:eastAsia="仿宋" w:hAnsi="仿宋" w:cs="仿宋" w:hint="eastAsia"/>
          <w:sz w:val="32"/>
          <w:szCs w:val="32"/>
        </w:rPr>
        <w:t>分）次之、“消费维权”（8</w:t>
      </w:r>
      <w:r>
        <w:rPr>
          <w:rFonts w:ascii="仿宋" w:eastAsia="仿宋" w:hAnsi="仿宋" w:cs="仿宋"/>
          <w:sz w:val="32"/>
          <w:szCs w:val="32"/>
        </w:rPr>
        <w:t>0.05</w:t>
      </w:r>
      <w:r>
        <w:rPr>
          <w:rFonts w:ascii="仿宋" w:eastAsia="仿宋" w:hAnsi="仿宋" w:cs="仿宋" w:hint="eastAsia"/>
          <w:sz w:val="32"/>
          <w:szCs w:val="32"/>
        </w:rPr>
        <w:t xml:space="preserve">分）最低。 </w:t>
      </w:r>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二是个别指标得分大幅跃升。“消费维权”从2</w:t>
      </w:r>
      <w:r>
        <w:rPr>
          <w:rFonts w:ascii="仿宋" w:eastAsia="仿宋" w:hAnsi="仿宋" w:cs="仿宋"/>
          <w:sz w:val="32"/>
          <w:szCs w:val="32"/>
        </w:rPr>
        <w:t>018</w:t>
      </w:r>
      <w:r>
        <w:rPr>
          <w:rFonts w:ascii="仿宋" w:eastAsia="仿宋" w:hAnsi="仿宋" w:cs="仿宋" w:hint="eastAsia"/>
          <w:sz w:val="32"/>
          <w:szCs w:val="32"/>
        </w:rPr>
        <w:t>年的最低位开始崛起，连续3年大幅上升，2</w:t>
      </w:r>
      <w:r>
        <w:rPr>
          <w:rFonts w:ascii="仿宋" w:eastAsia="仿宋" w:hAnsi="仿宋" w:cs="仿宋"/>
          <w:sz w:val="32"/>
          <w:szCs w:val="32"/>
        </w:rPr>
        <w:t>021</w:t>
      </w:r>
      <w:r>
        <w:rPr>
          <w:rFonts w:ascii="仿宋" w:eastAsia="仿宋" w:hAnsi="仿宋" w:cs="仿宋" w:hint="eastAsia"/>
          <w:sz w:val="32"/>
          <w:szCs w:val="32"/>
        </w:rPr>
        <w:t>年突破80分线。对照“消费维权”单项指标五年来的得分表现，2</w:t>
      </w:r>
      <w:r>
        <w:rPr>
          <w:rFonts w:ascii="仿宋" w:eastAsia="仿宋" w:hAnsi="仿宋" w:cs="仿宋"/>
          <w:sz w:val="32"/>
          <w:szCs w:val="32"/>
        </w:rPr>
        <w:t>017</w:t>
      </w:r>
      <w:r>
        <w:rPr>
          <w:rFonts w:ascii="仿宋" w:eastAsia="仿宋" w:hAnsi="仿宋" w:cs="仿宋" w:hint="eastAsia"/>
          <w:sz w:val="32"/>
          <w:szCs w:val="32"/>
        </w:rPr>
        <w:t>年“消费维权”指标得分仅为6</w:t>
      </w:r>
      <w:r>
        <w:rPr>
          <w:rFonts w:ascii="仿宋" w:eastAsia="仿宋" w:hAnsi="仿宋" w:cs="仿宋"/>
          <w:sz w:val="32"/>
          <w:szCs w:val="32"/>
        </w:rPr>
        <w:t>6.92</w:t>
      </w:r>
      <w:r>
        <w:rPr>
          <w:rFonts w:ascii="仿宋" w:eastAsia="仿宋" w:hAnsi="仿宋" w:cs="仿宋" w:hint="eastAsia"/>
          <w:sz w:val="32"/>
          <w:szCs w:val="32"/>
        </w:rPr>
        <w:t>分，比同年得分居首的“消费供给”低了8</w:t>
      </w:r>
      <w:r>
        <w:rPr>
          <w:rFonts w:ascii="仿宋" w:eastAsia="仿宋" w:hAnsi="仿宋" w:cs="仿宋"/>
          <w:sz w:val="32"/>
          <w:szCs w:val="32"/>
        </w:rPr>
        <w:t>.1</w:t>
      </w:r>
      <w:r>
        <w:rPr>
          <w:rFonts w:ascii="仿宋" w:eastAsia="仿宋" w:hAnsi="仿宋" w:cs="仿宋" w:hint="eastAsia"/>
          <w:sz w:val="32"/>
          <w:szCs w:val="32"/>
        </w:rPr>
        <w:t>分。2</w:t>
      </w:r>
      <w:r>
        <w:rPr>
          <w:rFonts w:ascii="仿宋" w:eastAsia="仿宋" w:hAnsi="仿宋" w:cs="仿宋"/>
          <w:sz w:val="32"/>
          <w:szCs w:val="32"/>
        </w:rPr>
        <w:t>018</w:t>
      </w:r>
      <w:r>
        <w:rPr>
          <w:rFonts w:ascii="仿宋" w:eastAsia="仿宋" w:hAnsi="仿宋" w:cs="仿宋" w:hint="eastAsia"/>
          <w:sz w:val="32"/>
          <w:szCs w:val="32"/>
        </w:rPr>
        <w:t>年有轻微下降，达到近五年最低分6</w:t>
      </w:r>
      <w:r>
        <w:rPr>
          <w:rFonts w:ascii="仿宋" w:eastAsia="仿宋" w:hAnsi="仿宋" w:cs="仿宋"/>
          <w:sz w:val="32"/>
          <w:szCs w:val="32"/>
        </w:rPr>
        <w:t>6.33</w:t>
      </w:r>
      <w:r>
        <w:rPr>
          <w:rFonts w:ascii="仿宋" w:eastAsia="仿宋" w:hAnsi="仿宋" w:cs="仿宋" w:hint="eastAsia"/>
          <w:sz w:val="32"/>
          <w:szCs w:val="32"/>
        </w:rPr>
        <w:t>分。自2</w:t>
      </w:r>
      <w:r>
        <w:rPr>
          <w:rFonts w:ascii="仿宋" w:eastAsia="仿宋" w:hAnsi="仿宋" w:cs="仿宋"/>
          <w:sz w:val="32"/>
          <w:szCs w:val="32"/>
        </w:rPr>
        <w:t>019</w:t>
      </w:r>
      <w:r>
        <w:rPr>
          <w:rFonts w:ascii="仿宋" w:eastAsia="仿宋" w:hAnsi="仿宋" w:cs="仿宋" w:hint="eastAsia"/>
          <w:sz w:val="32"/>
          <w:szCs w:val="32"/>
        </w:rPr>
        <w:t>年起开始持续稳定提升（平均增长率</w:t>
      </w:r>
      <w:r>
        <w:rPr>
          <w:rFonts w:ascii="仿宋" w:eastAsia="仿宋" w:hAnsi="仿宋" w:cs="仿宋"/>
          <w:sz w:val="32"/>
          <w:szCs w:val="32"/>
        </w:rPr>
        <w:t>6.47%</w:t>
      </w:r>
      <w:r>
        <w:rPr>
          <w:rFonts w:ascii="仿宋" w:eastAsia="仿宋" w:hAnsi="仿宋" w:cs="仿宋" w:hint="eastAsia"/>
          <w:sz w:val="32"/>
          <w:szCs w:val="32"/>
        </w:rPr>
        <w:t>），2</w:t>
      </w:r>
      <w:r>
        <w:rPr>
          <w:rFonts w:ascii="仿宋" w:eastAsia="仿宋" w:hAnsi="仿宋" w:cs="仿宋"/>
          <w:sz w:val="32"/>
          <w:szCs w:val="32"/>
        </w:rPr>
        <w:t>021</w:t>
      </w:r>
      <w:r>
        <w:rPr>
          <w:rFonts w:ascii="仿宋" w:eastAsia="仿宋" w:hAnsi="仿宋" w:cs="仿宋" w:hint="eastAsia"/>
          <w:sz w:val="32"/>
          <w:szCs w:val="32"/>
        </w:rPr>
        <w:t>年测评时单项得分为80</w:t>
      </w:r>
      <w:r>
        <w:rPr>
          <w:rFonts w:ascii="仿宋" w:eastAsia="仿宋" w:hAnsi="仿宋" w:cs="仿宋"/>
          <w:sz w:val="32"/>
          <w:szCs w:val="32"/>
        </w:rPr>
        <w:t>.05</w:t>
      </w:r>
      <w:r>
        <w:rPr>
          <w:rFonts w:ascii="仿宋" w:eastAsia="仿宋" w:hAnsi="仿宋" w:cs="仿宋" w:hint="eastAsia"/>
          <w:sz w:val="32"/>
          <w:szCs w:val="32"/>
        </w:rPr>
        <w:t>分，与排在首位的“消费供给”得分差距仅为1</w:t>
      </w:r>
      <w:r>
        <w:rPr>
          <w:rFonts w:ascii="仿宋" w:eastAsia="仿宋" w:hAnsi="仿宋" w:cs="仿宋"/>
          <w:sz w:val="32"/>
          <w:szCs w:val="32"/>
        </w:rPr>
        <w:t>.88</w:t>
      </w:r>
      <w:r>
        <w:rPr>
          <w:rFonts w:ascii="仿宋" w:eastAsia="仿宋" w:hAnsi="仿宋" w:cs="仿宋" w:hint="eastAsia"/>
          <w:sz w:val="32"/>
          <w:szCs w:val="32"/>
        </w:rPr>
        <w:t>分，几乎达到了与“消费环境”同等水平。</w:t>
      </w:r>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“消费供给”“消费环境”两个一级指标目前得分仍然相对领先于“消费维权”指标得分，但近三年的分值增长幅度来看则相对趋于平缓。若三个指标保持现有增长态势，未</w:t>
      </w:r>
      <w:r>
        <w:rPr>
          <w:rFonts w:ascii="仿宋" w:eastAsia="仿宋" w:hAnsi="仿宋" w:cs="仿宋" w:hint="eastAsia"/>
          <w:sz w:val="32"/>
          <w:szCs w:val="32"/>
        </w:rPr>
        <w:lastRenderedPageBreak/>
        <w:t>来“消费维权”或许有机会赶超“消费供给”和“消费环境”得分。</w:t>
      </w:r>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近年来，</w:t>
      </w:r>
      <w:r w:rsidR="00A04050">
        <w:rPr>
          <w:rFonts w:ascii="仿宋" w:eastAsia="仿宋" w:hAnsi="仿宋" w:cs="仿宋" w:hint="eastAsia"/>
          <w:sz w:val="32"/>
          <w:szCs w:val="32"/>
        </w:rPr>
        <w:t>全社会高度关注消费维权工作，</w:t>
      </w:r>
      <w:r>
        <w:rPr>
          <w:rFonts w:ascii="仿宋" w:eastAsia="仿宋" w:hAnsi="仿宋" w:cs="仿宋" w:hint="eastAsia"/>
          <w:sz w:val="32"/>
          <w:szCs w:val="32"/>
        </w:rPr>
        <w:t>消费者权益保护</w:t>
      </w:r>
      <w:r w:rsidR="009C3839">
        <w:rPr>
          <w:rFonts w:ascii="仿宋" w:eastAsia="仿宋" w:hAnsi="仿宋" w:cs="仿宋" w:hint="eastAsia"/>
          <w:sz w:val="32"/>
          <w:szCs w:val="32"/>
        </w:rPr>
        <w:t>立法和行政保护</w:t>
      </w:r>
      <w:r w:rsidR="00A04050">
        <w:rPr>
          <w:rFonts w:ascii="仿宋" w:eastAsia="仿宋" w:hAnsi="仿宋" w:cs="仿宋" w:hint="eastAsia"/>
          <w:sz w:val="32"/>
          <w:szCs w:val="32"/>
        </w:rPr>
        <w:t>力度不断</w:t>
      </w:r>
      <w:r w:rsidR="009C3839">
        <w:rPr>
          <w:rFonts w:ascii="仿宋" w:eastAsia="仿宋" w:hAnsi="仿宋" w:cs="仿宋" w:hint="eastAsia"/>
          <w:sz w:val="32"/>
          <w:szCs w:val="32"/>
        </w:rPr>
        <w:t>增强</w:t>
      </w:r>
      <w:r>
        <w:rPr>
          <w:rFonts w:ascii="仿宋" w:eastAsia="仿宋" w:hAnsi="仿宋" w:cs="仿宋" w:hint="eastAsia"/>
          <w:sz w:val="32"/>
          <w:szCs w:val="32"/>
        </w:rPr>
        <w:t>。首先，立法层面的保障。2021年1月，《民法典》正式实施。《民法典》是中国成立以来第一部以“法典”形式命名的法律，在消费者知情权、自主选择权、公平交易权、个人信息保护</w:t>
      </w:r>
      <w:r w:rsidR="009C3839">
        <w:rPr>
          <w:rFonts w:ascii="仿宋" w:eastAsia="仿宋" w:hAnsi="仿宋" w:cs="仿宋" w:hint="eastAsia"/>
          <w:sz w:val="32"/>
          <w:szCs w:val="32"/>
        </w:rPr>
        <w:t>和隐私</w:t>
      </w:r>
      <w:r>
        <w:rPr>
          <w:rFonts w:ascii="仿宋" w:eastAsia="仿宋" w:hAnsi="仿宋" w:cs="仿宋" w:hint="eastAsia"/>
          <w:sz w:val="32"/>
          <w:szCs w:val="32"/>
        </w:rPr>
        <w:t>权等方面都有明确规定，为</w:t>
      </w:r>
      <w:r w:rsidR="009C3839">
        <w:rPr>
          <w:rFonts w:ascii="仿宋" w:eastAsia="仿宋" w:hAnsi="仿宋" w:cs="仿宋" w:hint="eastAsia"/>
          <w:sz w:val="32"/>
          <w:szCs w:val="32"/>
        </w:rPr>
        <w:t>完善消费者权益保护法律体系、支持</w:t>
      </w:r>
      <w:r>
        <w:rPr>
          <w:rFonts w:ascii="仿宋" w:eastAsia="仿宋" w:hAnsi="仿宋" w:cs="仿宋" w:hint="eastAsia"/>
          <w:sz w:val="32"/>
          <w:szCs w:val="32"/>
        </w:rPr>
        <w:t>消费者维权提供了坚实的法律依据。</w:t>
      </w:r>
      <w:r w:rsidR="00A04050">
        <w:rPr>
          <w:rFonts w:ascii="仿宋" w:eastAsia="仿宋" w:hAnsi="仿宋" w:cs="仿宋" w:hint="eastAsia"/>
          <w:sz w:val="32"/>
          <w:szCs w:val="32"/>
        </w:rPr>
        <w:t>《网络安全法》《数据安全法》</w:t>
      </w:r>
      <w:r>
        <w:rPr>
          <w:rFonts w:ascii="仿宋" w:eastAsia="仿宋" w:hAnsi="仿宋" w:cs="仿宋" w:hint="eastAsia"/>
          <w:sz w:val="32"/>
          <w:szCs w:val="32"/>
        </w:rPr>
        <w:t>《个人信息保护法》</w:t>
      </w:r>
      <w:r w:rsidR="00A04050">
        <w:rPr>
          <w:rFonts w:ascii="仿宋" w:eastAsia="仿宋" w:hAnsi="仿宋" w:cs="仿宋" w:hint="eastAsia"/>
          <w:sz w:val="32"/>
          <w:szCs w:val="32"/>
        </w:rPr>
        <w:t>等相继</w:t>
      </w:r>
      <w:r>
        <w:rPr>
          <w:rFonts w:ascii="仿宋" w:eastAsia="仿宋" w:hAnsi="仿宋" w:cs="仿宋" w:hint="eastAsia"/>
          <w:sz w:val="32"/>
          <w:szCs w:val="32"/>
        </w:rPr>
        <w:t>公布</w:t>
      </w:r>
      <w:r w:rsidR="00A04050">
        <w:rPr>
          <w:rFonts w:ascii="仿宋" w:eastAsia="仿宋" w:hAnsi="仿宋" w:cs="仿宋" w:hint="eastAsia"/>
          <w:sz w:val="32"/>
          <w:szCs w:val="32"/>
        </w:rPr>
        <w:t>生效</w:t>
      </w:r>
      <w:r>
        <w:rPr>
          <w:rFonts w:ascii="仿宋" w:eastAsia="仿宋" w:hAnsi="仿宋" w:cs="仿宋" w:hint="eastAsia"/>
          <w:sz w:val="32"/>
          <w:szCs w:val="32"/>
        </w:rPr>
        <w:t>，明确了个人信息的概念</w:t>
      </w:r>
      <w:r w:rsidR="00A04050">
        <w:rPr>
          <w:rFonts w:ascii="仿宋" w:eastAsia="仿宋" w:hAnsi="仿宋" w:cs="仿宋" w:hint="eastAsia"/>
          <w:sz w:val="32"/>
          <w:szCs w:val="32"/>
        </w:rPr>
        <w:t>及</w:t>
      </w:r>
      <w:r>
        <w:rPr>
          <w:rFonts w:ascii="仿宋" w:eastAsia="仿宋" w:hAnsi="仿宋" w:cs="仿宋" w:hint="eastAsia"/>
          <w:sz w:val="32"/>
          <w:szCs w:val="32"/>
        </w:rPr>
        <w:t>处理规则、个人信息处理活动中的权利与义务等，与《消费者权益保护法》</w:t>
      </w:r>
      <w:r w:rsidR="00A04050">
        <w:rPr>
          <w:rFonts w:ascii="仿宋" w:eastAsia="仿宋" w:hAnsi="仿宋" w:cs="仿宋" w:hint="eastAsia"/>
          <w:sz w:val="32"/>
          <w:szCs w:val="32"/>
        </w:rPr>
        <w:t>《电子商务法》《广告法》</w:t>
      </w:r>
      <w:r>
        <w:rPr>
          <w:rFonts w:ascii="仿宋" w:eastAsia="仿宋" w:hAnsi="仿宋" w:cs="仿宋" w:hint="eastAsia"/>
          <w:sz w:val="32"/>
          <w:szCs w:val="32"/>
        </w:rPr>
        <w:t>等共同编织成一张</w:t>
      </w:r>
      <w:r w:rsidR="009C3839">
        <w:rPr>
          <w:rFonts w:ascii="仿宋" w:eastAsia="仿宋" w:hAnsi="仿宋" w:cs="仿宋" w:hint="eastAsia"/>
          <w:sz w:val="32"/>
          <w:szCs w:val="32"/>
        </w:rPr>
        <w:t>保护</w:t>
      </w:r>
      <w:r>
        <w:rPr>
          <w:rFonts w:ascii="仿宋" w:eastAsia="仿宋" w:hAnsi="仿宋" w:cs="仿宋" w:hint="eastAsia"/>
          <w:sz w:val="32"/>
          <w:szCs w:val="32"/>
        </w:rPr>
        <w:t>消费者</w:t>
      </w:r>
      <w:r w:rsidR="009C3839">
        <w:rPr>
          <w:rFonts w:ascii="仿宋" w:eastAsia="仿宋" w:hAnsi="仿宋" w:cs="仿宋" w:hint="eastAsia"/>
          <w:sz w:val="32"/>
          <w:szCs w:val="32"/>
        </w:rPr>
        <w:t>平等交易、权益主张、监督评价等权益的立体</w:t>
      </w:r>
      <w:r>
        <w:rPr>
          <w:rFonts w:ascii="仿宋" w:eastAsia="仿宋" w:hAnsi="仿宋" w:cs="仿宋" w:hint="eastAsia"/>
          <w:sz w:val="32"/>
          <w:szCs w:val="32"/>
        </w:rPr>
        <w:t>“保护网”。其次，监管层面的推动。2021年以来，</w:t>
      </w:r>
      <w:proofErr w:type="gramStart"/>
      <w:r>
        <w:rPr>
          <w:rFonts w:ascii="仿宋" w:eastAsia="仿宋" w:hAnsi="仿宋" w:cs="仿宋" w:hint="eastAsia"/>
          <w:sz w:val="32"/>
          <w:szCs w:val="32"/>
        </w:rPr>
        <w:t>中央网信办</w:t>
      </w:r>
      <w:proofErr w:type="gramEnd"/>
      <w:r>
        <w:rPr>
          <w:rFonts w:ascii="仿宋" w:eastAsia="仿宋" w:hAnsi="仿宋" w:cs="仿宋" w:hint="eastAsia"/>
          <w:sz w:val="32"/>
          <w:szCs w:val="32"/>
        </w:rPr>
        <w:t>、商务部、工信部、交通运输部、市场监管总局、国家税务总局、文化和旅游部、农业农村部等先后开展一系列线上线下和行业领域专项治理行动，针对虚假营销、刷单炒信、非法交易、垄断和不正当竞争等有关失信违法行为进行约谈、通报和处罚，出台监管政策、完善规范标准，监管手段和监管效能持续提升，从不同层面净化市场环境、优化交易秩序，提升消费者权益保护力度。</w:t>
      </w:r>
    </w:p>
    <w:p w:rsidR="002D6C73" w:rsidRDefault="00FB6868">
      <w:pPr>
        <w:jc w:val="center"/>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0" distR="0">
            <wp:extent cx="5274310" cy="3076575"/>
            <wp:effectExtent l="0" t="0" r="254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6C73" w:rsidRDefault="00FB6868">
      <w:pPr>
        <w:jc w:val="center"/>
        <w:rPr>
          <w:rFonts w:ascii="黑体" w:eastAsia="黑体" w:hAnsi="黑体" w:cs="黑体"/>
          <w:color w:val="1C1C1C"/>
          <w:sz w:val="28"/>
          <w:szCs w:val="28"/>
        </w:rPr>
      </w:pPr>
      <w:r>
        <w:rPr>
          <w:rFonts w:ascii="黑体" w:eastAsia="黑体" w:hAnsi="黑体" w:cs="黑体" w:hint="eastAsia"/>
          <w:sz w:val="28"/>
          <w:szCs w:val="28"/>
        </w:rPr>
        <w:t xml:space="preserve">图2 </w:t>
      </w:r>
      <w:r>
        <w:rPr>
          <w:rFonts w:ascii="黑体" w:eastAsia="黑体" w:hAnsi="黑体" w:cs="黑体" w:hint="eastAsia"/>
          <w:color w:val="1C1C1C"/>
          <w:sz w:val="28"/>
          <w:szCs w:val="28"/>
        </w:rPr>
        <w:t>2017-202</w:t>
      </w:r>
      <w:r>
        <w:rPr>
          <w:rFonts w:ascii="黑体" w:eastAsia="黑体" w:hAnsi="黑体" w:cs="黑体"/>
          <w:color w:val="1C1C1C"/>
          <w:sz w:val="28"/>
          <w:szCs w:val="28"/>
        </w:rPr>
        <w:t>1</w:t>
      </w:r>
      <w:r>
        <w:rPr>
          <w:rFonts w:ascii="黑体" w:eastAsia="黑体" w:hAnsi="黑体" w:cs="黑体" w:hint="eastAsia"/>
          <w:color w:val="1C1C1C"/>
          <w:sz w:val="28"/>
          <w:szCs w:val="28"/>
        </w:rPr>
        <w:t>年消费者满意度一级指标得分</w:t>
      </w:r>
    </w:p>
    <w:p w:rsidR="002D6C73" w:rsidRDefault="00FB6868">
      <w:pPr>
        <w:pStyle w:val="2"/>
        <w:numPr>
          <w:ilvl w:val="0"/>
          <w:numId w:val="1"/>
        </w:numPr>
        <w:rPr>
          <w:rFonts w:ascii="黑体" w:eastAsia="黑体" w:hAnsi="黑体" w:cs="黑体"/>
          <w:b w:val="0"/>
          <w:bCs/>
          <w:i w:val="0"/>
          <w:iCs/>
          <w:sz w:val="32"/>
          <w:szCs w:val="28"/>
        </w:rPr>
      </w:pPr>
      <w:bookmarkStart w:id="25" w:name="_Toc62721757"/>
      <w:bookmarkStart w:id="26" w:name="_Toc21140"/>
      <w:r>
        <w:rPr>
          <w:rFonts w:ascii="黑体" w:eastAsia="黑体" w:hAnsi="黑体" w:cs="黑体" w:hint="eastAsia"/>
          <w:b w:val="0"/>
          <w:bCs/>
          <w:i w:val="0"/>
          <w:iCs/>
          <w:sz w:val="32"/>
          <w:szCs w:val="28"/>
        </w:rPr>
        <w:t>消费者满意度二级指标得分</w:t>
      </w:r>
      <w:bookmarkEnd w:id="25"/>
      <w:bookmarkEnd w:id="26"/>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消费者满意度二级指标共有1</w:t>
      </w:r>
      <w:r>
        <w:rPr>
          <w:rFonts w:ascii="仿宋" w:eastAsia="仿宋" w:hAnsi="仿宋" w:cs="仿宋"/>
          <w:sz w:val="32"/>
          <w:szCs w:val="32"/>
        </w:rPr>
        <w:t>6</w:t>
      </w:r>
      <w:r>
        <w:rPr>
          <w:rFonts w:ascii="仿宋" w:eastAsia="仿宋" w:hAnsi="仿宋" w:cs="仿宋" w:hint="eastAsia"/>
          <w:sz w:val="32"/>
          <w:szCs w:val="32"/>
        </w:rPr>
        <w:t xml:space="preserve">个：供给丰富性、供给便利性、供给创新性、质量水平、服务水平、消费设施、价格合理、信息真实、售后保障、商家信任度、交易安全、消费知情权、消费自主选择权、权益保护、消费宣传、消费执法。 </w:t>
      </w:r>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总体来看，2</w:t>
      </w:r>
      <w:r>
        <w:rPr>
          <w:rFonts w:ascii="仿宋" w:eastAsia="仿宋" w:hAnsi="仿宋" w:cs="仿宋"/>
          <w:sz w:val="32"/>
          <w:szCs w:val="32"/>
        </w:rPr>
        <w:t>021</w:t>
      </w:r>
      <w:r>
        <w:rPr>
          <w:rFonts w:ascii="仿宋" w:eastAsia="仿宋" w:hAnsi="仿宋" w:cs="仿宋" w:hint="eastAsia"/>
          <w:sz w:val="32"/>
          <w:szCs w:val="32"/>
        </w:rPr>
        <w:t>年各二级指标得分相比2</w:t>
      </w:r>
      <w:r>
        <w:rPr>
          <w:rFonts w:ascii="仿宋" w:eastAsia="仿宋" w:hAnsi="仿宋" w:cs="仿宋"/>
          <w:sz w:val="32"/>
          <w:szCs w:val="32"/>
        </w:rPr>
        <w:t>020</w:t>
      </w:r>
      <w:r>
        <w:rPr>
          <w:rFonts w:ascii="仿宋" w:eastAsia="仿宋" w:hAnsi="仿宋" w:cs="仿宋" w:hint="eastAsia"/>
          <w:sz w:val="32"/>
          <w:szCs w:val="32"/>
        </w:rPr>
        <w:t>年来说更加平均。2</w:t>
      </w:r>
      <w:r>
        <w:rPr>
          <w:rFonts w:ascii="仿宋" w:eastAsia="仿宋" w:hAnsi="仿宋" w:cs="仿宋"/>
          <w:sz w:val="32"/>
          <w:szCs w:val="32"/>
        </w:rPr>
        <w:t>021</w:t>
      </w:r>
      <w:r>
        <w:rPr>
          <w:rFonts w:ascii="仿宋" w:eastAsia="仿宋" w:hAnsi="仿宋" w:cs="仿宋" w:hint="eastAsia"/>
          <w:sz w:val="32"/>
          <w:szCs w:val="32"/>
        </w:rPr>
        <w:t>年二级指标最高分（“消费自主选择权”8</w:t>
      </w:r>
      <w:r>
        <w:rPr>
          <w:rFonts w:ascii="仿宋" w:eastAsia="仿宋" w:hAnsi="仿宋" w:cs="仿宋"/>
          <w:sz w:val="32"/>
          <w:szCs w:val="32"/>
        </w:rPr>
        <w:t>6.97</w:t>
      </w:r>
      <w:r>
        <w:rPr>
          <w:rFonts w:ascii="仿宋" w:eastAsia="仿宋" w:hAnsi="仿宋" w:cs="仿宋" w:hint="eastAsia"/>
          <w:sz w:val="32"/>
          <w:szCs w:val="32"/>
        </w:rPr>
        <w:t>分）与最低分（“信息真实”7</w:t>
      </w:r>
      <w:r>
        <w:rPr>
          <w:rFonts w:ascii="仿宋" w:eastAsia="仿宋" w:hAnsi="仿宋" w:cs="仿宋"/>
          <w:sz w:val="32"/>
          <w:szCs w:val="32"/>
        </w:rPr>
        <w:t>4.93</w:t>
      </w:r>
      <w:r>
        <w:rPr>
          <w:rFonts w:ascii="仿宋" w:eastAsia="仿宋" w:hAnsi="仿宋" w:cs="仿宋" w:hint="eastAsia"/>
          <w:sz w:val="32"/>
          <w:szCs w:val="32"/>
        </w:rPr>
        <w:t>分）之间的差距为1</w:t>
      </w:r>
      <w:r>
        <w:rPr>
          <w:rFonts w:ascii="仿宋" w:eastAsia="仿宋" w:hAnsi="仿宋" w:cs="仿宋"/>
          <w:sz w:val="32"/>
          <w:szCs w:val="32"/>
        </w:rPr>
        <w:t>2.04</w:t>
      </w:r>
      <w:r>
        <w:rPr>
          <w:rFonts w:ascii="仿宋" w:eastAsia="仿宋" w:hAnsi="仿宋" w:cs="仿宋" w:hint="eastAsia"/>
          <w:sz w:val="32"/>
          <w:szCs w:val="32"/>
        </w:rPr>
        <w:t>分。今年排名前5名的指标中，有2个属于一级指标“消费环境”（“消费自主选择权”、“消费知情权”），有</w:t>
      </w:r>
      <w:r>
        <w:rPr>
          <w:rFonts w:ascii="仿宋" w:eastAsia="仿宋" w:hAnsi="仿宋" w:cs="仿宋"/>
          <w:sz w:val="32"/>
          <w:szCs w:val="32"/>
        </w:rPr>
        <w:t>1</w:t>
      </w:r>
      <w:r>
        <w:rPr>
          <w:rFonts w:ascii="仿宋" w:eastAsia="仿宋" w:hAnsi="仿宋" w:cs="仿宋" w:hint="eastAsia"/>
          <w:sz w:val="32"/>
          <w:szCs w:val="32"/>
        </w:rPr>
        <w:t>个属于一级指标“消费维权”（“权益保护”），有2个属于一级指标“消费供给”（“供给丰富性”、“供给便利性”）。排名后5名的指标中，有</w:t>
      </w:r>
      <w:r>
        <w:rPr>
          <w:rFonts w:ascii="仿宋" w:eastAsia="仿宋" w:hAnsi="仿宋" w:cs="仿宋"/>
          <w:sz w:val="32"/>
          <w:szCs w:val="32"/>
        </w:rPr>
        <w:t>4</w:t>
      </w:r>
      <w:r>
        <w:rPr>
          <w:rFonts w:ascii="仿宋" w:eastAsia="仿宋" w:hAnsi="仿宋" w:cs="仿宋" w:hint="eastAsia"/>
          <w:sz w:val="32"/>
          <w:szCs w:val="32"/>
        </w:rPr>
        <w:t>个属于一级指标“消费环境”（“售后保障”、“交易安全”、“服务水平”、“信息真实”），</w:t>
      </w:r>
      <w:r>
        <w:rPr>
          <w:rFonts w:ascii="仿宋" w:eastAsia="仿宋" w:hAnsi="仿宋" w:cs="仿宋" w:hint="eastAsia"/>
          <w:sz w:val="32"/>
          <w:szCs w:val="32"/>
        </w:rPr>
        <w:lastRenderedPageBreak/>
        <w:t>有</w:t>
      </w:r>
      <w:r>
        <w:rPr>
          <w:rFonts w:ascii="仿宋" w:eastAsia="仿宋" w:hAnsi="仿宋" w:cs="仿宋"/>
          <w:sz w:val="32"/>
          <w:szCs w:val="32"/>
        </w:rPr>
        <w:t>1</w:t>
      </w:r>
      <w:r>
        <w:rPr>
          <w:rFonts w:ascii="仿宋" w:eastAsia="仿宋" w:hAnsi="仿宋" w:cs="仿宋" w:hint="eastAsia"/>
          <w:sz w:val="32"/>
          <w:szCs w:val="32"/>
        </w:rPr>
        <w:t>个属于一级指标“消费维权”（“消费执法”）。说明供给相关的二级指标整体得分较高，环境、维权相关的二级指标得分有一定参差。</w:t>
      </w:r>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根据2</w:t>
      </w:r>
      <w:r>
        <w:rPr>
          <w:rFonts w:ascii="仿宋" w:eastAsia="仿宋" w:hAnsi="仿宋" w:cs="仿宋"/>
          <w:sz w:val="32"/>
          <w:szCs w:val="32"/>
        </w:rPr>
        <w:t>021</w:t>
      </w:r>
      <w:r>
        <w:rPr>
          <w:rFonts w:ascii="仿宋" w:eastAsia="仿宋" w:hAnsi="仿宋" w:cs="仿宋" w:hint="eastAsia"/>
          <w:sz w:val="32"/>
          <w:szCs w:val="32"/>
        </w:rPr>
        <w:t>年消费者满意度二级指标的得分情况，大致可以将1</w:t>
      </w:r>
      <w:r>
        <w:rPr>
          <w:rFonts w:ascii="仿宋" w:eastAsia="仿宋" w:hAnsi="仿宋" w:cs="仿宋"/>
          <w:sz w:val="32"/>
          <w:szCs w:val="32"/>
        </w:rPr>
        <w:t>6</w:t>
      </w:r>
      <w:r>
        <w:rPr>
          <w:rFonts w:ascii="仿宋" w:eastAsia="仿宋" w:hAnsi="仿宋" w:cs="仿宋" w:hint="eastAsia"/>
          <w:sz w:val="32"/>
          <w:szCs w:val="32"/>
        </w:rPr>
        <w:t>个二级指标分为以下四个梯队：</w:t>
      </w:r>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第一梯队得分在</w:t>
      </w:r>
      <w:r>
        <w:rPr>
          <w:rFonts w:ascii="仿宋" w:eastAsia="仿宋" w:hAnsi="仿宋" w:cs="仿宋"/>
          <w:sz w:val="32"/>
          <w:szCs w:val="32"/>
        </w:rPr>
        <w:t>8</w:t>
      </w:r>
      <w:r>
        <w:rPr>
          <w:rFonts w:ascii="仿宋" w:eastAsia="仿宋" w:hAnsi="仿宋" w:cs="仿宋" w:hint="eastAsia"/>
          <w:sz w:val="32"/>
          <w:szCs w:val="32"/>
        </w:rPr>
        <w:t>5分以上，包括</w:t>
      </w:r>
      <w:r>
        <w:rPr>
          <w:rFonts w:ascii="仿宋" w:eastAsia="仿宋" w:hAnsi="仿宋" w:cs="仿宋"/>
          <w:sz w:val="32"/>
          <w:szCs w:val="32"/>
        </w:rPr>
        <w:t>1</w:t>
      </w:r>
      <w:r>
        <w:rPr>
          <w:rFonts w:ascii="仿宋" w:eastAsia="仿宋" w:hAnsi="仿宋" w:cs="仿宋" w:hint="eastAsia"/>
          <w:sz w:val="32"/>
          <w:szCs w:val="32"/>
        </w:rPr>
        <w:t>个指标：“消费自主选择权”（8</w:t>
      </w:r>
      <w:r>
        <w:rPr>
          <w:rFonts w:ascii="仿宋" w:eastAsia="仿宋" w:hAnsi="仿宋" w:cs="仿宋"/>
          <w:sz w:val="32"/>
          <w:szCs w:val="32"/>
        </w:rPr>
        <w:t>6.97</w:t>
      </w:r>
      <w:r>
        <w:rPr>
          <w:rFonts w:ascii="仿宋" w:eastAsia="仿宋" w:hAnsi="仿宋" w:cs="仿宋" w:hint="eastAsia"/>
          <w:sz w:val="32"/>
          <w:szCs w:val="32"/>
        </w:rPr>
        <w:t>分）。</w:t>
      </w:r>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第二梯队得分介于80分</w:t>
      </w:r>
      <w:r>
        <w:rPr>
          <w:rFonts w:ascii="仿宋" w:eastAsia="仿宋" w:hAnsi="仿宋" w:cs="仿宋"/>
          <w:sz w:val="32"/>
          <w:szCs w:val="32"/>
        </w:rPr>
        <w:t>-8</w:t>
      </w:r>
      <w:r>
        <w:rPr>
          <w:rFonts w:ascii="仿宋" w:eastAsia="仿宋" w:hAnsi="仿宋" w:cs="仿宋" w:hint="eastAsia"/>
          <w:sz w:val="32"/>
          <w:szCs w:val="32"/>
        </w:rPr>
        <w:t>5分之间，共有</w:t>
      </w:r>
      <w:r>
        <w:rPr>
          <w:rFonts w:ascii="仿宋" w:eastAsia="仿宋" w:hAnsi="仿宋" w:cs="仿宋"/>
          <w:sz w:val="32"/>
          <w:szCs w:val="32"/>
        </w:rPr>
        <w:t>8</w:t>
      </w:r>
      <w:r>
        <w:rPr>
          <w:rFonts w:ascii="仿宋" w:eastAsia="仿宋" w:hAnsi="仿宋" w:cs="仿宋" w:hint="eastAsia"/>
          <w:sz w:val="32"/>
          <w:szCs w:val="32"/>
        </w:rPr>
        <w:t>个指标，分别是：“消费知情权”（8</w:t>
      </w:r>
      <w:r>
        <w:rPr>
          <w:rFonts w:ascii="仿宋" w:eastAsia="仿宋" w:hAnsi="仿宋" w:cs="仿宋"/>
          <w:sz w:val="32"/>
          <w:szCs w:val="32"/>
        </w:rPr>
        <w:t>3.49</w:t>
      </w:r>
      <w:r>
        <w:rPr>
          <w:rFonts w:ascii="仿宋" w:eastAsia="仿宋" w:hAnsi="仿宋" w:cs="仿宋" w:hint="eastAsia"/>
          <w:sz w:val="32"/>
          <w:szCs w:val="32"/>
        </w:rPr>
        <w:t>分）、 “权益保护”（</w:t>
      </w:r>
      <w:r>
        <w:rPr>
          <w:rFonts w:ascii="仿宋" w:eastAsia="仿宋" w:hAnsi="仿宋" w:cs="仿宋"/>
          <w:sz w:val="32"/>
          <w:szCs w:val="32"/>
        </w:rPr>
        <w:t>82.94</w:t>
      </w:r>
      <w:r>
        <w:rPr>
          <w:rFonts w:ascii="仿宋" w:eastAsia="仿宋" w:hAnsi="仿宋" w:cs="仿宋" w:hint="eastAsia"/>
          <w:sz w:val="32"/>
          <w:szCs w:val="32"/>
        </w:rPr>
        <w:t>分）、“供给丰富性”（8</w:t>
      </w:r>
      <w:r>
        <w:rPr>
          <w:rFonts w:ascii="仿宋" w:eastAsia="仿宋" w:hAnsi="仿宋" w:cs="仿宋"/>
          <w:sz w:val="32"/>
          <w:szCs w:val="32"/>
        </w:rPr>
        <w:t>2.90</w:t>
      </w:r>
      <w:r>
        <w:rPr>
          <w:rFonts w:ascii="仿宋" w:eastAsia="仿宋" w:hAnsi="仿宋" w:cs="仿宋" w:hint="eastAsia"/>
          <w:sz w:val="32"/>
          <w:szCs w:val="32"/>
        </w:rPr>
        <w:t>分）、“供给便利性”（8</w:t>
      </w:r>
      <w:r>
        <w:rPr>
          <w:rFonts w:ascii="仿宋" w:eastAsia="仿宋" w:hAnsi="仿宋" w:cs="仿宋"/>
          <w:sz w:val="32"/>
          <w:szCs w:val="32"/>
        </w:rPr>
        <w:t>2.45</w:t>
      </w:r>
      <w:r>
        <w:rPr>
          <w:rFonts w:ascii="仿宋" w:eastAsia="仿宋" w:hAnsi="仿宋" w:cs="仿宋" w:hint="eastAsia"/>
          <w:sz w:val="32"/>
          <w:szCs w:val="32"/>
        </w:rPr>
        <w:t>分）、“价格合理”（8</w:t>
      </w:r>
      <w:r>
        <w:rPr>
          <w:rFonts w:ascii="仿宋" w:eastAsia="仿宋" w:hAnsi="仿宋" w:cs="仿宋"/>
          <w:sz w:val="32"/>
          <w:szCs w:val="32"/>
        </w:rPr>
        <w:t>2.02</w:t>
      </w:r>
      <w:r>
        <w:rPr>
          <w:rFonts w:ascii="仿宋" w:eastAsia="仿宋" w:hAnsi="仿宋" w:cs="仿宋" w:hint="eastAsia"/>
          <w:sz w:val="32"/>
          <w:szCs w:val="32"/>
        </w:rPr>
        <w:t>分）、“消费设施”（8</w:t>
      </w:r>
      <w:r>
        <w:rPr>
          <w:rFonts w:ascii="仿宋" w:eastAsia="仿宋" w:hAnsi="仿宋" w:cs="仿宋"/>
          <w:sz w:val="32"/>
          <w:szCs w:val="32"/>
        </w:rPr>
        <w:t>1.44</w:t>
      </w:r>
      <w:r>
        <w:rPr>
          <w:rFonts w:ascii="仿宋" w:eastAsia="仿宋" w:hAnsi="仿宋" w:cs="仿宋" w:hint="eastAsia"/>
          <w:sz w:val="32"/>
          <w:szCs w:val="32"/>
        </w:rPr>
        <w:t>分）、“质量水平”（8</w:t>
      </w:r>
      <w:r>
        <w:rPr>
          <w:rFonts w:ascii="仿宋" w:eastAsia="仿宋" w:hAnsi="仿宋" w:cs="仿宋"/>
          <w:sz w:val="32"/>
          <w:szCs w:val="32"/>
        </w:rPr>
        <w:t>1.20</w:t>
      </w:r>
      <w:r>
        <w:rPr>
          <w:rFonts w:ascii="仿宋" w:eastAsia="仿宋" w:hAnsi="仿宋" w:cs="仿宋" w:hint="eastAsia"/>
          <w:sz w:val="32"/>
          <w:szCs w:val="32"/>
        </w:rPr>
        <w:t>分）、“商家信任度”（8</w:t>
      </w:r>
      <w:r>
        <w:rPr>
          <w:rFonts w:ascii="仿宋" w:eastAsia="仿宋" w:hAnsi="仿宋" w:cs="仿宋"/>
          <w:sz w:val="32"/>
          <w:szCs w:val="32"/>
        </w:rPr>
        <w:t>0.54</w:t>
      </w:r>
      <w:r>
        <w:rPr>
          <w:rFonts w:ascii="仿宋" w:eastAsia="仿宋" w:hAnsi="仿宋" w:cs="仿宋" w:hint="eastAsia"/>
          <w:sz w:val="32"/>
          <w:szCs w:val="32"/>
        </w:rPr>
        <w:t>分）。</w:t>
      </w:r>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第三梯队得分介于75分</w:t>
      </w:r>
      <w:r>
        <w:rPr>
          <w:rFonts w:ascii="仿宋" w:eastAsia="仿宋" w:hAnsi="仿宋" w:cs="仿宋"/>
          <w:sz w:val="32"/>
          <w:szCs w:val="32"/>
        </w:rPr>
        <w:t>-8</w:t>
      </w:r>
      <w:r>
        <w:rPr>
          <w:rFonts w:ascii="仿宋" w:eastAsia="仿宋" w:hAnsi="仿宋" w:cs="仿宋" w:hint="eastAsia"/>
          <w:sz w:val="32"/>
          <w:szCs w:val="32"/>
        </w:rPr>
        <w:t>0分之间，共有</w:t>
      </w:r>
      <w:r>
        <w:rPr>
          <w:rFonts w:ascii="仿宋" w:eastAsia="仿宋" w:hAnsi="仿宋" w:cs="仿宋"/>
          <w:sz w:val="32"/>
          <w:szCs w:val="32"/>
        </w:rPr>
        <w:t>6</w:t>
      </w:r>
      <w:r>
        <w:rPr>
          <w:rFonts w:ascii="仿宋" w:eastAsia="仿宋" w:hAnsi="仿宋" w:cs="仿宋" w:hint="eastAsia"/>
          <w:sz w:val="32"/>
          <w:szCs w:val="32"/>
        </w:rPr>
        <w:t>个指标，分别是：“供给创新性”（7</w:t>
      </w:r>
      <w:r>
        <w:rPr>
          <w:rFonts w:ascii="仿宋" w:eastAsia="仿宋" w:hAnsi="仿宋" w:cs="仿宋"/>
          <w:sz w:val="32"/>
          <w:szCs w:val="32"/>
        </w:rPr>
        <w:t>9.93</w:t>
      </w:r>
      <w:r>
        <w:rPr>
          <w:rFonts w:ascii="仿宋" w:eastAsia="仿宋" w:hAnsi="仿宋" w:cs="仿宋" w:hint="eastAsia"/>
          <w:sz w:val="32"/>
          <w:szCs w:val="32"/>
        </w:rPr>
        <w:t>分）、“消费宣传”（7</w:t>
      </w:r>
      <w:r>
        <w:rPr>
          <w:rFonts w:ascii="仿宋" w:eastAsia="仿宋" w:hAnsi="仿宋" w:cs="仿宋"/>
          <w:sz w:val="32"/>
          <w:szCs w:val="32"/>
        </w:rPr>
        <w:t>9.70</w:t>
      </w:r>
      <w:r>
        <w:rPr>
          <w:rFonts w:ascii="仿宋" w:eastAsia="仿宋" w:hAnsi="仿宋" w:cs="仿宋" w:hint="eastAsia"/>
          <w:sz w:val="32"/>
          <w:szCs w:val="32"/>
        </w:rPr>
        <w:t>分）、“售后保障”（7</w:t>
      </w:r>
      <w:r>
        <w:rPr>
          <w:rFonts w:ascii="仿宋" w:eastAsia="仿宋" w:hAnsi="仿宋" w:cs="仿宋"/>
          <w:sz w:val="32"/>
          <w:szCs w:val="32"/>
        </w:rPr>
        <w:t>9.25</w:t>
      </w:r>
      <w:r>
        <w:rPr>
          <w:rFonts w:ascii="仿宋" w:eastAsia="仿宋" w:hAnsi="仿宋" w:cs="仿宋" w:hint="eastAsia"/>
          <w:sz w:val="32"/>
          <w:szCs w:val="32"/>
        </w:rPr>
        <w:t>分）、“交易安全”（7</w:t>
      </w:r>
      <w:r>
        <w:rPr>
          <w:rFonts w:ascii="仿宋" w:eastAsia="仿宋" w:hAnsi="仿宋" w:cs="仿宋"/>
          <w:sz w:val="32"/>
          <w:szCs w:val="32"/>
        </w:rPr>
        <w:t>9.08</w:t>
      </w:r>
      <w:r>
        <w:rPr>
          <w:rFonts w:ascii="仿宋" w:eastAsia="仿宋" w:hAnsi="仿宋" w:cs="仿宋" w:hint="eastAsia"/>
          <w:sz w:val="32"/>
          <w:szCs w:val="32"/>
        </w:rPr>
        <w:t>分）、“消费执法”（7</w:t>
      </w:r>
      <w:r>
        <w:rPr>
          <w:rFonts w:ascii="仿宋" w:eastAsia="仿宋" w:hAnsi="仿宋" w:cs="仿宋"/>
          <w:sz w:val="32"/>
          <w:szCs w:val="32"/>
        </w:rPr>
        <w:t>8.03</w:t>
      </w:r>
      <w:r>
        <w:rPr>
          <w:rFonts w:ascii="仿宋" w:eastAsia="仿宋" w:hAnsi="仿宋" w:cs="仿宋" w:hint="eastAsia"/>
          <w:sz w:val="32"/>
          <w:szCs w:val="32"/>
        </w:rPr>
        <w:t>分）、“服务水平”（7</w:t>
      </w:r>
      <w:r>
        <w:rPr>
          <w:rFonts w:ascii="仿宋" w:eastAsia="仿宋" w:hAnsi="仿宋" w:cs="仿宋"/>
          <w:sz w:val="32"/>
          <w:szCs w:val="32"/>
        </w:rPr>
        <w:t>8.00</w:t>
      </w:r>
      <w:r>
        <w:rPr>
          <w:rFonts w:ascii="仿宋" w:eastAsia="仿宋" w:hAnsi="仿宋" w:cs="仿宋" w:hint="eastAsia"/>
          <w:sz w:val="32"/>
          <w:szCs w:val="32"/>
        </w:rPr>
        <w:t>分）。</w:t>
      </w:r>
    </w:p>
    <w:p w:rsidR="002D6C73" w:rsidRDefault="00FB6868">
      <w:pPr>
        <w:spacing w:line="58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第四梯队得分在</w:t>
      </w:r>
      <w:r>
        <w:rPr>
          <w:rFonts w:ascii="仿宋" w:eastAsia="仿宋" w:hAnsi="仿宋" w:cs="仿宋"/>
          <w:sz w:val="32"/>
          <w:szCs w:val="32"/>
        </w:rPr>
        <w:t>7</w:t>
      </w:r>
      <w:r>
        <w:rPr>
          <w:rFonts w:ascii="仿宋" w:eastAsia="仿宋" w:hAnsi="仿宋" w:cs="仿宋" w:hint="eastAsia"/>
          <w:sz w:val="32"/>
          <w:szCs w:val="32"/>
        </w:rPr>
        <w:t>5分以下，包括</w:t>
      </w:r>
      <w:r>
        <w:rPr>
          <w:rFonts w:ascii="仿宋" w:eastAsia="仿宋" w:hAnsi="仿宋" w:cs="仿宋"/>
          <w:sz w:val="32"/>
          <w:szCs w:val="32"/>
        </w:rPr>
        <w:t>1</w:t>
      </w:r>
      <w:r>
        <w:rPr>
          <w:rFonts w:ascii="仿宋" w:eastAsia="仿宋" w:hAnsi="仿宋" w:cs="仿宋" w:hint="eastAsia"/>
          <w:sz w:val="32"/>
          <w:szCs w:val="32"/>
        </w:rPr>
        <w:t>个指标：“信息真实”（7</w:t>
      </w:r>
      <w:r>
        <w:rPr>
          <w:rFonts w:ascii="仿宋" w:eastAsia="仿宋" w:hAnsi="仿宋" w:cs="仿宋"/>
          <w:sz w:val="32"/>
          <w:szCs w:val="32"/>
        </w:rPr>
        <w:t>4.93</w:t>
      </w:r>
      <w:r>
        <w:rPr>
          <w:rFonts w:ascii="仿宋" w:eastAsia="仿宋" w:hAnsi="仿宋" w:cs="仿宋" w:hint="eastAsia"/>
          <w:sz w:val="32"/>
          <w:szCs w:val="32"/>
        </w:rPr>
        <w:t>分）。</w:t>
      </w:r>
    </w:p>
    <w:p w:rsidR="002D6C73" w:rsidRDefault="00FB6868">
      <w:pPr>
        <w:jc w:val="center"/>
      </w:pPr>
      <w:r>
        <w:rPr>
          <w:rFonts w:hint="eastAsia"/>
          <w:noProof/>
        </w:rPr>
        <w:lastRenderedPageBreak/>
        <w:drawing>
          <wp:inline distT="0" distB="0" distL="0" distR="0">
            <wp:extent cx="5773420" cy="2945130"/>
            <wp:effectExtent l="0" t="0" r="0" b="762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6C73" w:rsidRDefault="00FB6868">
      <w:pPr>
        <w:jc w:val="center"/>
        <w:rPr>
          <w:rFonts w:ascii="黑体" w:eastAsia="黑体" w:hAnsi="黑体" w:cs="黑体"/>
          <w:sz w:val="28"/>
          <w:szCs w:val="28"/>
        </w:rPr>
      </w:pPr>
      <w:r>
        <w:rPr>
          <w:rFonts w:ascii="黑体" w:eastAsia="黑体" w:hAnsi="黑体" w:cs="黑体" w:hint="eastAsia"/>
          <w:sz w:val="28"/>
          <w:szCs w:val="28"/>
        </w:rPr>
        <w:t>图3 202</w:t>
      </w:r>
      <w:r>
        <w:rPr>
          <w:rFonts w:ascii="黑体" w:eastAsia="黑体" w:hAnsi="黑体" w:cs="黑体"/>
          <w:sz w:val="28"/>
          <w:szCs w:val="28"/>
        </w:rPr>
        <w:t>1</w:t>
      </w:r>
      <w:r>
        <w:rPr>
          <w:rFonts w:ascii="黑体" w:eastAsia="黑体" w:hAnsi="黑体" w:cs="黑体" w:hint="eastAsia"/>
          <w:sz w:val="28"/>
          <w:szCs w:val="28"/>
        </w:rPr>
        <w:t>年消费者满意度二级指标得分（按得分高低排序）</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对比2017年-202</w:t>
      </w:r>
      <w:r>
        <w:rPr>
          <w:rFonts w:ascii="仿宋" w:eastAsia="仿宋" w:hAnsi="仿宋" w:cs="仿宋"/>
          <w:sz w:val="32"/>
          <w:szCs w:val="32"/>
        </w:rPr>
        <w:t>1</w:t>
      </w:r>
      <w:r>
        <w:rPr>
          <w:rFonts w:ascii="仿宋" w:eastAsia="仿宋" w:hAnsi="仿宋" w:cs="仿宋" w:hint="eastAsia"/>
          <w:sz w:val="32"/>
          <w:szCs w:val="32"/>
        </w:rPr>
        <w:t>年五年得分情况，主要呈现如下特征：</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一是，整体得分趋向均匀。近年来得分常处于高位的指标，如“消费自主选择权”（-</w:t>
      </w:r>
      <w:r>
        <w:rPr>
          <w:rFonts w:ascii="仿宋" w:eastAsia="仿宋" w:hAnsi="仿宋" w:cs="仿宋"/>
          <w:sz w:val="32"/>
          <w:szCs w:val="32"/>
        </w:rPr>
        <w:t>5.08</w:t>
      </w:r>
      <w:r>
        <w:rPr>
          <w:rFonts w:ascii="仿宋" w:eastAsia="仿宋" w:hAnsi="仿宋" w:cs="仿宋" w:hint="eastAsia"/>
          <w:sz w:val="32"/>
          <w:szCs w:val="32"/>
        </w:rPr>
        <w:t>分）、“消费知情权”（-</w:t>
      </w:r>
      <w:r>
        <w:rPr>
          <w:rFonts w:ascii="仿宋" w:eastAsia="仿宋" w:hAnsi="仿宋" w:cs="仿宋"/>
          <w:sz w:val="32"/>
          <w:szCs w:val="32"/>
        </w:rPr>
        <w:t>5.29</w:t>
      </w:r>
      <w:r>
        <w:rPr>
          <w:rFonts w:ascii="仿宋" w:eastAsia="仿宋" w:hAnsi="仿宋" w:cs="仿宋" w:hint="eastAsia"/>
          <w:sz w:val="32"/>
          <w:szCs w:val="32"/>
        </w:rPr>
        <w:t>分）、“供给便利性”（-</w:t>
      </w:r>
      <w:r>
        <w:rPr>
          <w:rFonts w:ascii="仿宋" w:eastAsia="仿宋" w:hAnsi="仿宋" w:cs="仿宋"/>
          <w:sz w:val="32"/>
          <w:szCs w:val="32"/>
        </w:rPr>
        <w:t>2.01</w:t>
      </w:r>
      <w:r>
        <w:rPr>
          <w:rFonts w:ascii="仿宋" w:eastAsia="仿宋" w:hAnsi="仿宋" w:cs="仿宋" w:hint="eastAsia"/>
          <w:sz w:val="32"/>
          <w:szCs w:val="32"/>
        </w:rPr>
        <w:t>分）等在去年基础上得分有所下降。近年来得分常处于低位的指标，如“权益保护”（+</w:t>
      </w:r>
      <w:r>
        <w:rPr>
          <w:rFonts w:ascii="仿宋" w:eastAsia="仿宋" w:hAnsi="仿宋" w:cs="仿宋"/>
          <w:sz w:val="32"/>
          <w:szCs w:val="32"/>
        </w:rPr>
        <w:t>9.64</w:t>
      </w:r>
      <w:r>
        <w:rPr>
          <w:rFonts w:ascii="仿宋" w:eastAsia="仿宋" w:hAnsi="仿宋" w:cs="仿宋" w:hint="eastAsia"/>
          <w:sz w:val="32"/>
          <w:szCs w:val="32"/>
        </w:rPr>
        <w:t>分）、“交易安全”（+</w:t>
      </w:r>
      <w:r>
        <w:rPr>
          <w:rFonts w:ascii="仿宋" w:eastAsia="仿宋" w:hAnsi="仿宋" w:cs="仿宋"/>
          <w:sz w:val="32"/>
          <w:szCs w:val="32"/>
        </w:rPr>
        <w:t>5.05</w:t>
      </w:r>
      <w:r>
        <w:rPr>
          <w:rFonts w:ascii="仿宋" w:eastAsia="仿宋" w:hAnsi="仿宋" w:cs="仿宋" w:hint="eastAsia"/>
          <w:sz w:val="32"/>
          <w:szCs w:val="32"/>
        </w:rPr>
        <w:t>分）、“消费宣传”（+</w:t>
      </w:r>
      <w:r>
        <w:rPr>
          <w:rFonts w:ascii="仿宋" w:eastAsia="仿宋" w:hAnsi="仿宋" w:cs="仿宋"/>
          <w:sz w:val="32"/>
          <w:szCs w:val="32"/>
        </w:rPr>
        <w:t>5.08</w:t>
      </w:r>
      <w:r>
        <w:rPr>
          <w:rFonts w:ascii="仿宋" w:eastAsia="仿宋" w:hAnsi="仿宋" w:cs="仿宋" w:hint="eastAsia"/>
          <w:sz w:val="32"/>
          <w:szCs w:val="32"/>
        </w:rPr>
        <w:t>分）、“消费执法”（+</w:t>
      </w:r>
      <w:r>
        <w:rPr>
          <w:rFonts w:ascii="仿宋" w:eastAsia="仿宋" w:hAnsi="仿宋" w:cs="仿宋"/>
          <w:sz w:val="32"/>
          <w:szCs w:val="32"/>
        </w:rPr>
        <w:t>2.33</w:t>
      </w:r>
      <w:r>
        <w:rPr>
          <w:rFonts w:ascii="仿宋" w:eastAsia="仿宋" w:hAnsi="仿宋" w:cs="仿宋" w:hint="eastAsia"/>
          <w:sz w:val="32"/>
          <w:szCs w:val="32"/>
        </w:rPr>
        <w:t>分）、“供给创新性”（+</w:t>
      </w:r>
      <w:r>
        <w:rPr>
          <w:rFonts w:ascii="仿宋" w:eastAsia="仿宋" w:hAnsi="仿宋" w:cs="仿宋"/>
          <w:sz w:val="32"/>
          <w:szCs w:val="32"/>
        </w:rPr>
        <w:t>3.44</w:t>
      </w:r>
      <w:r>
        <w:rPr>
          <w:rFonts w:ascii="仿宋" w:eastAsia="仿宋" w:hAnsi="仿宋" w:cs="仿宋" w:hint="eastAsia"/>
          <w:sz w:val="32"/>
          <w:szCs w:val="32"/>
        </w:rPr>
        <w:t>分）等在去年基础上得分有所升高。</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二是，个别指标进步明显。一级指标“消费维权”下属的全部二级指标“权益保护”、“消费执法”、“消费宣传”在2</w:t>
      </w:r>
      <w:r>
        <w:rPr>
          <w:rFonts w:ascii="仿宋" w:eastAsia="仿宋" w:hAnsi="仿宋" w:cs="仿宋"/>
          <w:sz w:val="32"/>
          <w:szCs w:val="32"/>
        </w:rPr>
        <w:t>021</w:t>
      </w:r>
      <w:r>
        <w:rPr>
          <w:rFonts w:ascii="仿宋" w:eastAsia="仿宋" w:hAnsi="仿宋" w:cs="仿宋" w:hint="eastAsia"/>
          <w:sz w:val="32"/>
          <w:szCs w:val="32"/>
        </w:rPr>
        <w:t>年均实现了不小的进步。“权益保护”指标提升最多，较2020年提升了9</w:t>
      </w:r>
      <w:r>
        <w:rPr>
          <w:rFonts w:ascii="仿宋" w:eastAsia="仿宋" w:hAnsi="仿宋" w:cs="仿宋"/>
          <w:sz w:val="32"/>
          <w:szCs w:val="32"/>
        </w:rPr>
        <w:t>.64</w:t>
      </w:r>
      <w:r>
        <w:rPr>
          <w:rFonts w:ascii="仿宋" w:eastAsia="仿宋" w:hAnsi="仿宋" w:cs="仿宋" w:hint="eastAsia"/>
          <w:sz w:val="32"/>
          <w:szCs w:val="32"/>
        </w:rPr>
        <w:t>分。在过去四年里，“权益保护”指标一直排名靠后，</w:t>
      </w:r>
      <w:r>
        <w:rPr>
          <w:rFonts w:ascii="仿宋" w:eastAsia="仿宋" w:hAnsi="仿宋" w:cs="仿宋"/>
          <w:sz w:val="32"/>
          <w:szCs w:val="32"/>
        </w:rPr>
        <w:t>2019</w:t>
      </w:r>
      <w:r>
        <w:rPr>
          <w:rFonts w:ascii="仿宋" w:eastAsia="仿宋" w:hAnsi="仿宋" w:cs="仿宋" w:hint="eastAsia"/>
          <w:sz w:val="32"/>
          <w:szCs w:val="32"/>
        </w:rPr>
        <w:t>和2</w:t>
      </w:r>
      <w:r>
        <w:rPr>
          <w:rFonts w:ascii="仿宋" w:eastAsia="仿宋" w:hAnsi="仿宋" w:cs="仿宋"/>
          <w:sz w:val="32"/>
          <w:szCs w:val="32"/>
        </w:rPr>
        <w:t>020</w:t>
      </w:r>
      <w:r>
        <w:rPr>
          <w:rFonts w:ascii="仿宋" w:eastAsia="仿宋" w:hAnsi="仿宋" w:cs="仿宋" w:hint="eastAsia"/>
          <w:sz w:val="32"/>
          <w:szCs w:val="32"/>
        </w:rPr>
        <w:t>年排在最后一名，四年得</w:t>
      </w:r>
      <w:r>
        <w:rPr>
          <w:rFonts w:ascii="仿宋" w:eastAsia="仿宋" w:hAnsi="仿宋" w:cs="仿宋" w:hint="eastAsia"/>
          <w:sz w:val="32"/>
          <w:szCs w:val="32"/>
        </w:rPr>
        <w:lastRenderedPageBreak/>
        <w:t>分最高仅为7</w:t>
      </w:r>
      <w:r>
        <w:rPr>
          <w:rFonts w:ascii="仿宋" w:eastAsia="仿宋" w:hAnsi="仿宋" w:cs="仿宋"/>
          <w:sz w:val="32"/>
          <w:szCs w:val="32"/>
        </w:rPr>
        <w:t>3.30</w:t>
      </w:r>
      <w:r>
        <w:rPr>
          <w:rFonts w:ascii="仿宋" w:eastAsia="仿宋" w:hAnsi="仿宋" w:cs="仿宋" w:hint="eastAsia"/>
          <w:sz w:val="32"/>
          <w:szCs w:val="32"/>
        </w:rPr>
        <w:t>分，其余几年未超7</w:t>
      </w:r>
      <w:r>
        <w:rPr>
          <w:rFonts w:ascii="仿宋" w:eastAsia="仿宋" w:hAnsi="仿宋" w:cs="仿宋"/>
          <w:sz w:val="32"/>
          <w:szCs w:val="32"/>
        </w:rPr>
        <w:t>0</w:t>
      </w:r>
      <w:r>
        <w:rPr>
          <w:rFonts w:ascii="仿宋" w:eastAsia="仿宋" w:hAnsi="仿宋" w:cs="仿宋" w:hint="eastAsia"/>
          <w:sz w:val="32"/>
          <w:szCs w:val="32"/>
        </w:rPr>
        <w:t>分。</w:t>
      </w:r>
      <w:r>
        <w:rPr>
          <w:rFonts w:ascii="仿宋" w:eastAsia="仿宋" w:hAnsi="仿宋" w:cs="仿宋"/>
          <w:sz w:val="32"/>
          <w:szCs w:val="32"/>
        </w:rPr>
        <w:t>2021</w:t>
      </w:r>
      <w:r>
        <w:rPr>
          <w:rFonts w:ascii="仿宋" w:eastAsia="仿宋" w:hAnsi="仿宋" w:cs="仿宋" w:hint="eastAsia"/>
          <w:sz w:val="32"/>
          <w:szCs w:val="32"/>
        </w:rPr>
        <w:t>年，“权益保护”得分迅速提高，达到了8</w:t>
      </w:r>
      <w:r>
        <w:rPr>
          <w:rFonts w:ascii="仿宋" w:eastAsia="仿宋" w:hAnsi="仿宋" w:cs="仿宋"/>
          <w:sz w:val="32"/>
          <w:szCs w:val="32"/>
        </w:rPr>
        <w:t>2.94</w:t>
      </w:r>
      <w:r>
        <w:rPr>
          <w:rFonts w:ascii="仿宋" w:eastAsia="仿宋" w:hAnsi="仿宋" w:cs="仿宋" w:hint="eastAsia"/>
          <w:sz w:val="32"/>
          <w:szCs w:val="32"/>
        </w:rPr>
        <w:t>分，在所有二级指标中排第3位。“消费宣传”得分提升仅次于“权益保护”，比2</w:t>
      </w:r>
      <w:r>
        <w:rPr>
          <w:rFonts w:ascii="仿宋" w:eastAsia="仿宋" w:hAnsi="仿宋" w:cs="仿宋"/>
          <w:sz w:val="32"/>
          <w:szCs w:val="32"/>
        </w:rPr>
        <w:t>02</w:t>
      </w:r>
      <w:r>
        <w:rPr>
          <w:rFonts w:ascii="仿宋" w:eastAsia="仿宋" w:hAnsi="仿宋" w:cs="仿宋" w:hint="eastAsia"/>
          <w:sz w:val="32"/>
          <w:szCs w:val="32"/>
        </w:rPr>
        <w:t>0年提升5</w:t>
      </w:r>
      <w:r>
        <w:rPr>
          <w:rFonts w:ascii="仿宋" w:eastAsia="仿宋" w:hAnsi="仿宋" w:cs="仿宋"/>
          <w:sz w:val="32"/>
          <w:szCs w:val="32"/>
        </w:rPr>
        <w:t>.08</w:t>
      </w:r>
      <w:r>
        <w:rPr>
          <w:rFonts w:ascii="仿宋" w:eastAsia="仿宋" w:hAnsi="仿宋" w:cs="仿宋" w:hint="eastAsia"/>
          <w:sz w:val="32"/>
          <w:szCs w:val="32"/>
        </w:rPr>
        <w:t>分，比得分最低时的2</w:t>
      </w:r>
      <w:r>
        <w:rPr>
          <w:rFonts w:ascii="仿宋" w:eastAsia="仿宋" w:hAnsi="仿宋" w:cs="仿宋"/>
          <w:sz w:val="32"/>
          <w:szCs w:val="32"/>
        </w:rPr>
        <w:t>018</w:t>
      </w:r>
      <w:r>
        <w:rPr>
          <w:rFonts w:ascii="仿宋" w:eastAsia="仿宋" w:hAnsi="仿宋" w:cs="仿宋" w:hint="eastAsia"/>
          <w:sz w:val="32"/>
          <w:szCs w:val="32"/>
        </w:rPr>
        <w:t>年提升1</w:t>
      </w:r>
      <w:r>
        <w:rPr>
          <w:rFonts w:ascii="仿宋" w:eastAsia="仿宋" w:hAnsi="仿宋" w:cs="仿宋"/>
          <w:sz w:val="32"/>
          <w:szCs w:val="32"/>
        </w:rPr>
        <w:t>2.97</w:t>
      </w:r>
      <w:r>
        <w:rPr>
          <w:rFonts w:ascii="仿宋" w:eastAsia="仿宋" w:hAnsi="仿宋" w:cs="仿宋" w:hint="eastAsia"/>
          <w:sz w:val="32"/>
          <w:szCs w:val="32"/>
        </w:rPr>
        <w:t>分。2021年，该指标达到7</w:t>
      </w:r>
      <w:r>
        <w:rPr>
          <w:rFonts w:ascii="仿宋" w:eastAsia="仿宋" w:hAnsi="仿宋" w:cs="仿宋"/>
          <w:sz w:val="32"/>
          <w:szCs w:val="32"/>
        </w:rPr>
        <w:t>9.70</w:t>
      </w:r>
      <w:r>
        <w:rPr>
          <w:rFonts w:ascii="仿宋" w:eastAsia="仿宋" w:hAnsi="仿宋" w:cs="仿宋" w:hint="eastAsia"/>
          <w:sz w:val="32"/>
          <w:szCs w:val="32"/>
        </w:rPr>
        <w:t>分，在所有二级指标中排第1</w:t>
      </w:r>
      <w:r>
        <w:rPr>
          <w:rFonts w:ascii="仿宋" w:eastAsia="仿宋" w:hAnsi="仿宋" w:cs="仿宋"/>
          <w:sz w:val="32"/>
          <w:szCs w:val="32"/>
        </w:rPr>
        <w:t>1</w:t>
      </w:r>
      <w:r>
        <w:rPr>
          <w:rFonts w:ascii="仿宋" w:eastAsia="仿宋" w:hAnsi="仿宋" w:cs="仿宋" w:hint="eastAsia"/>
          <w:sz w:val="32"/>
          <w:szCs w:val="32"/>
        </w:rPr>
        <w:t>位。</w:t>
      </w:r>
    </w:p>
    <w:p w:rsidR="002D6C73" w:rsidRDefault="002D6C73">
      <w:pPr>
        <w:ind w:firstLineChars="200" w:firstLine="640"/>
        <w:rPr>
          <w:rFonts w:ascii="仿宋" w:eastAsia="仿宋" w:hAnsi="仿宋" w:cs="仿宋"/>
          <w:sz w:val="32"/>
          <w:szCs w:val="32"/>
        </w:rPr>
        <w:sectPr w:rsidR="002D6C73">
          <w:pgSz w:w="11906" w:h="16838"/>
          <w:pgMar w:top="1440" w:right="1800" w:bottom="1440" w:left="1800" w:header="851" w:footer="992" w:gutter="0"/>
          <w:pgNumType w:fmt="numberInDash" w:start="1"/>
          <w:cols w:space="425"/>
          <w:docGrid w:type="lines" w:linePitch="326"/>
        </w:sectPr>
      </w:pPr>
    </w:p>
    <w:p w:rsidR="002D6C73" w:rsidRDefault="00FB6868">
      <w:pPr>
        <w:jc w:val="center"/>
      </w:pPr>
      <w:r>
        <w:rPr>
          <w:rFonts w:hint="eastAsia"/>
          <w:noProof/>
        </w:rPr>
        <w:lastRenderedPageBreak/>
        <w:drawing>
          <wp:inline distT="0" distB="0" distL="0" distR="0">
            <wp:extent cx="8420735" cy="4826635"/>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6C73" w:rsidRDefault="00FB6868">
      <w:pPr>
        <w:jc w:val="center"/>
        <w:rPr>
          <w:rFonts w:ascii="黑体" w:eastAsia="黑体" w:hAnsi="黑体" w:cs="黑体"/>
          <w:sz w:val="28"/>
          <w:szCs w:val="28"/>
        </w:rPr>
        <w:sectPr w:rsidR="002D6C73">
          <w:pgSz w:w="16838" w:h="11906" w:orient="landscape"/>
          <w:pgMar w:top="1800" w:right="1440" w:bottom="1800" w:left="1440" w:header="851" w:footer="992" w:gutter="0"/>
          <w:pgNumType w:fmt="numberInDash"/>
          <w:cols w:space="425"/>
          <w:docGrid w:type="lines" w:linePitch="312"/>
        </w:sectPr>
      </w:pPr>
      <w:r>
        <w:rPr>
          <w:rFonts w:ascii="黑体" w:eastAsia="黑体" w:hAnsi="黑体" w:cs="黑体" w:hint="eastAsia"/>
          <w:sz w:val="28"/>
          <w:szCs w:val="28"/>
        </w:rPr>
        <w:t>图4 2017-202</w:t>
      </w:r>
      <w:r>
        <w:rPr>
          <w:rFonts w:ascii="黑体" w:eastAsia="黑体" w:hAnsi="黑体" w:cs="黑体"/>
          <w:sz w:val="28"/>
          <w:szCs w:val="28"/>
        </w:rPr>
        <w:t>1</w:t>
      </w:r>
      <w:r>
        <w:rPr>
          <w:rFonts w:ascii="黑体" w:eastAsia="黑体" w:hAnsi="黑体" w:cs="黑体" w:hint="eastAsia"/>
          <w:sz w:val="28"/>
          <w:szCs w:val="28"/>
        </w:rPr>
        <w:t>年消费者满意度二级指标得分对比（按2020年指标得分高低排序）</w:t>
      </w:r>
    </w:p>
    <w:p w:rsidR="002D6C73" w:rsidRDefault="00FB6868">
      <w:pPr>
        <w:pStyle w:val="2"/>
        <w:numPr>
          <w:ilvl w:val="0"/>
          <w:numId w:val="1"/>
        </w:numPr>
        <w:rPr>
          <w:rFonts w:ascii="黑体" w:eastAsia="黑体" w:hAnsi="黑体" w:cs="黑体"/>
          <w:b w:val="0"/>
          <w:bCs/>
          <w:i w:val="0"/>
          <w:iCs/>
          <w:sz w:val="32"/>
          <w:szCs w:val="32"/>
        </w:rPr>
      </w:pPr>
      <w:bookmarkStart w:id="27" w:name="_Toc62721758"/>
      <w:bookmarkStart w:id="28" w:name="_Toc30422"/>
      <w:r>
        <w:rPr>
          <w:rFonts w:ascii="黑体" w:eastAsia="黑体" w:hAnsi="黑体" w:cs="黑体" w:hint="eastAsia"/>
          <w:b w:val="0"/>
          <w:bCs/>
          <w:i w:val="0"/>
          <w:iCs/>
          <w:sz w:val="32"/>
          <w:szCs w:val="28"/>
        </w:rPr>
        <w:lastRenderedPageBreak/>
        <w:t>消费者满意度</w:t>
      </w:r>
      <w:r>
        <w:rPr>
          <w:rFonts w:ascii="黑体" w:eastAsia="黑体" w:hAnsi="黑体" w:cs="黑体" w:hint="eastAsia"/>
          <w:b w:val="0"/>
          <w:bCs/>
          <w:i w:val="0"/>
          <w:iCs/>
          <w:sz w:val="32"/>
          <w:szCs w:val="32"/>
        </w:rPr>
        <w:t>三级指标得分</w:t>
      </w:r>
      <w:bookmarkEnd w:id="27"/>
      <w:bookmarkEnd w:id="28"/>
    </w:p>
    <w:p w:rsidR="002D6C73" w:rsidRDefault="00FB6868">
      <w:pPr>
        <w:spacing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消费者满意度三级指标共有2</w:t>
      </w:r>
      <w:r>
        <w:rPr>
          <w:rFonts w:ascii="仿宋" w:eastAsia="仿宋" w:hAnsi="仿宋" w:cs="仿宋"/>
          <w:sz w:val="32"/>
          <w:szCs w:val="32"/>
        </w:rPr>
        <w:t>5</w:t>
      </w:r>
      <w:r>
        <w:rPr>
          <w:rFonts w:ascii="仿宋" w:eastAsia="仿宋" w:hAnsi="仿宋" w:cs="仿宋" w:hint="eastAsia"/>
          <w:sz w:val="32"/>
          <w:szCs w:val="32"/>
        </w:rPr>
        <w:t>个：种类丰富性、替代产品丰富性、分布合理、物流便利、公共基础设施完善、供给创新性、货品真实、商品或服务质量、服务水平、安全性、舒适性、价格公道、明码标价、信息真实、售后保障、商家信任度、交易安全、消费知情权、消费自主选择权、维权渠道、维权效率、维权结果、消费警示提示、消费知识法制宣传、消费执法。</w:t>
      </w:r>
    </w:p>
    <w:p w:rsidR="002D6C73" w:rsidRDefault="00FB6868">
      <w:pPr>
        <w:spacing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整体来看，三级指标得分更加地向平均水平集中。2</w:t>
      </w:r>
      <w:r>
        <w:rPr>
          <w:rFonts w:ascii="仿宋" w:eastAsia="仿宋" w:hAnsi="仿宋" w:cs="仿宋"/>
          <w:sz w:val="32"/>
          <w:szCs w:val="32"/>
        </w:rPr>
        <w:t>021</w:t>
      </w:r>
      <w:r>
        <w:rPr>
          <w:rFonts w:ascii="仿宋" w:eastAsia="仿宋" w:hAnsi="仿宋" w:cs="仿宋" w:hint="eastAsia"/>
          <w:sz w:val="32"/>
          <w:szCs w:val="32"/>
        </w:rPr>
        <w:t>年三级指标最高分（“消费自主选择权”8</w:t>
      </w:r>
      <w:r>
        <w:rPr>
          <w:rFonts w:ascii="仿宋" w:eastAsia="仿宋" w:hAnsi="仿宋" w:cs="仿宋"/>
          <w:sz w:val="32"/>
          <w:szCs w:val="32"/>
        </w:rPr>
        <w:t>6.97</w:t>
      </w:r>
      <w:r>
        <w:rPr>
          <w:rFonts w:ascii="仿宋" w:eastAsia="仿宋" w:hAnsi="仿宋" w:cs="仿宋" w:hint="eastAsia"/>
          <w:sz w:val="32"/>
          <w:szCs w:val="32"/>
        </w:rPr>
        <w:t>分）与最低分（“信息真实”7</w:t>
      </w:r>
      <w:r>
        <w:rPr>
          <w:rFonts w:ascii="仿宋" w:eastAsia="仿宋" w:hAnsi="仿宋" w:cs="仿宋"/>
          <w:sz w:val="32"/>
          <w:szCs w:val="32"/>
        </w:rPr>
        <w:t>4.93</w:t>
      </w:r>
      <w:r>
        <w:rPr>
          <w:rFonts w:ascii="仿宋" w:eastAsia="仿宋" w:hAnsi="仿宋" w:cs="仿宋" w:hint="eastAsia"/>
          <w:sz w:val="32"/>
          <w:szCs w:val="32"/>
        </w:rPr>
        <w:t>分）之间的差距为1</w:t>
      </w:r>
      <w:r>
        <w:rPr>
          <w:rFonts w:ascii="仿宋" w:eastAsia="仿宋" w:hAnsi="仿宋" w:cs="仿宋"/>
          <w:sz w:val="32"/>
          <w:szCs w:val="32"/>
        </w:rPr>
        <w:t>2.04</w:t>
      </w:r>
      <w:r>
        <w:rPr>
          <w:rFonts w:ascii="仿宋" w:eastAsia="仿宋" w:hAnsi="仿宋" w:cs="仿宋" w:hint="eastAsia"/>
          <w:sz w:val="32"/>
          <w:szCs w:val="32"/>
        </w:rPr>
        <w:t>分。根据2</w:t>
      </w:r>
      <w:r>
        <w:rPr>
          <w:rFonts w:ascii="仿宋" w:eastAsia="仿宋" w:hAnsi="仿宋" w:cs="仿宋"/>
          <w:sz w:val="32"/>
          <w:szCs w:val="32"/>
        </w:rPr>
        <w:t>021</w:t>
      </w:r>
      <w:r>
        <w:rPr>
          <w:rFonts w:ascii="仿宋" w:eastAsia="仿宋" w:hAnsi="仿宋" w:cs="仿宋" w:hint="eastAsia"/>
          <w:sz w:val="32"/>
          <w:szCs w:val="32"/>
        </w:rPr>
        <w:t>年消费者满意度测评三级指标的得分情况，大致可以将</w:t>
      </w:r>
      <w:r>
        <w:rPr>
          <w:rFonts w:ascii="仿宋" w:eastAsia="仿宋" w:hAnsi="仿宋" w:cs="仿宋"/>
          <w:sz w:val="32"/>
          <w:szCs w:val="32"/>
        </w:rPr>
        <w:t>25</w:t>
      </w:r>
      <w:r>
        <w:rPr>
          <w:rFonts w:ascii="仿宋" w:eastAsia="仿宋" w:hAnsi="仿宋" w:cs="仿宋" w:hint="eastAsia"/>
          <w:sz w:val="32"/>
          <w:szCs w:val="32"/>
        </w:rPr>
        <w:t>个三级指标分为以下四个梯队：</w:t>
      </w:r>
    </w:p>
    <w:p w:rsidR="002D6C73" w:rsidRDefault="00FB6868">
      <w:pPr>
        <w:spacing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第一梯队</w:t>
      </w:r>
      <w:r>
        <w:rPr>
          <w:rFonts w:ascii="仿宋" w:eastAsia="仿宋" w:hAnsi="仿宋" w:cs="仿宋" w:hint="eastAsia"/>
          <w:spacing w:val="-4"/>
          <w:sz w:val="32"/>
          <w:szCs w:val="32"/>
        </w:rPr>
        <w:t>得分在</w:t>
      </w:r>
      <w:r>
        <w:rPr>
          <w:rFonts w:ascii="仿宋" w:eastAsia="仿宋" w:hAnsi="仿宋" w:cs="仿宋"/>
          <w:spacing w:val="-4"/>
          <w:sz w:val="32"/>
          <w:szCs w:val="32"/>
        </w:rPr>
        <w:t>8</w:t>
      </w:r>
      <w:r>
        <w:rPr>
          <w:rFonts w:ascii="仿宋" w:eastAsia="仿宋" w:hAnsi="仿宋" w:cs="仿宋" w:hint="eastAsia"/>
          <w:spacing w:val="-4"/>
          <w:sz w:val="32"/>
          <w:szCs w:val="32"/>
        </w:rPr>
        <w:t>5分以上，包括</w:t>
      </w:r>
      <w:r>
        <w:rPr>
          <w:rFonts w:ascii="仿宋" w:eastAsia="仿宋" w:hAnsi="仿宋" w:cs="仿宋"/>
          <w:spacing w:val="-4"/>
          <w:sz w:val="32"/>
          <w:szCs w:val="32"/>
        </w:rPr>
        <w:t>1</w:t>
      </w:r>
      <w:r>
        <w:rPr>
          <w:rFonts w:ascii="仿宋" w:eastAsia="仿宋" w:hAnsi="仿宋" w:cs="仿宋" w:hint="eastAsia"/>
          <w:spacing w:val="-4"/>
          <w:sz w:val="32"/>
          <w:szCs w:val="32"/>
        </w:rPr>
        <w:t>个指标：“消费自主选择权</w:t>
      </w:r>
      <w:r>
        <w:rPr>
          <w:rFonts w:ascii="仿宋" w:eastAsia="仿宋" w:hAnsi="仿宋" w:cs="仿宋"/>
          <w:spacing w:val="-4"/>
          <w:sz w:val="32"/>
          <w:szCs w:val="32"/>
        </w:rPr>
        <w:t>”</w:t>
      </w:r>
      <w:r>
        <w:rPr>
          <w:rFonts w:ascii="仿宋" w:eastAsia="仿宋" w:hAnsi="仿宋" w:cs="仿宋" w:hint="eastAsia"/>
          <w:spacing w:val="-4"/>
          <w:sz w:val="32"/>
          <w:szCs w:val="32"/>
        </w:rPr>
        <w:t>（8</w:t>
      </w:r>
      <w:r>
        <w:rPr>
          <w:rFonts w:ascii="仿宋" w:eastAsia="仿宋" w:hAnsi="仿宋" w:cs="仿宋"/>
          <w:spacing w:val="-4"/>
          <w:sz w:val="32"/>
          <w:szCs w:val="32"/>
        </w:rPr>
        <w:t>6.97</w:t>
      </w:r>
      <w:r>
        <w:rPr>
          <w:rFonts w:ascii="仿宋" w:eastAsia="仿宋" w:hAnsi="仿宋" w:cs="仿宋" w:hint="eastAsia"/>
          <w:spacing w:val="-4"/>
          <w:sz w:val="32"/>
          <w:szCs w:val="32"/>
        </w:rPr>
        <w:t>分）。</w:t>
      </w:r>
    </w:p>
    <w:p w:rsidR="002D6C73" w:rsidRDefault="00FB6868">
      <w:pPr>
        <w:spacing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第二梯队得分介于80分</w:t>
      </w:r>
      <w:r>
        <w:rPr>
          <w:rFonts w:ascii="仿宋" w:eastAsia="仿宋" w:hAnsi="仿宋" w:cs="仿宋"/>
          <w:sz w:val="32"/>
          <w:szCs w:val="32"/>
        </w:rPr>
        <w:t>-8</w:t>
      </w:r>
      <w:r>
        <w:rPr>
          <w:rFonts w:ascii="仿宋" w:eastAsia="仿宋" w:hAnsi="仿宋" w:cs="仿宋" w:hint="eastAsia"/>
          <w:sz w:val="32"/>
          <w:szCs w:val="32"/>
        </w:rPr>
        <w:t>5分之间，包括</w:t>
      </w:r>
      <w:r>
        <w:rPr>
          <w:rFonts w:ascii="仿宋" w:eastAsia="仿宋" w:hAnsi="仿宋" w:cs="仿宋"/>
          <w:sz w:val="32"/>
          <w:szCs w:val="32"/>
        </w:rPr>
        <w:t>16</w:t>
      </w:r>
      <w:r>
        <w:rPr>
          <w:rFonts w:ascii="仿宋" w:eastAsia="仿宋" w:hAnsi="仿宋" w:cs="仿宋" w:hint="eastAsia"/>
          <w:sz w:val="32"/>
          <w:szCs w:val="32"/>
        </w:rPr>
        <w:t>个指标，分别是：“公共基础设施完善”（8</w:t>
      </w:r>
      <w:r>
        <w:rPr>
          <w:rFonts w:ascii="仿宋" w:eastAsia="仿宋" w:hAnsi="仿宋" w:cs="仿宋"/>
          <w:sz w:val="32"/>
          <w:szCs w:val="32"/>
        </w:rPr>
        <w:t>4.68</w:t>
      </w:r>
      <w:r>
        <w:rPr>
          <w:rFonts w:ascii="仿宋" w:eastAsia="仿宋" w:hAnsi="仿宋" w:cs="仿宋" w:hint="eastAsia"/>
          <w:sz w:val="32"/>
          <w:szCs w:val="32"/>
        </w:rPr>
        <w:t>分）、“明码标价”（8</w:t>
      </w:r>
      <w:r>
        <w:rPr>
          <w:rFonts w:ascii="仿宋" w:eastAsia="仿宋" w:hAnsi="仿宋" w:cs="仿宋"/>
          <w:sz w:val="32"/>
          <w:szCs w:val="32"/>
        </w:rPr>
        <w:t>3.65</w:t>
      </w:r>
      <w:r>
        <w:rPr>
          <w:rFonts w:ascii="仿宋" w:eastAsia="仿宋" w:hAnsi="仿宋" w:cs="仿宋" w:hint="eastAsia"/>
          <w:sz w:val="32"/>
          <w:szCs w:val="32"/>
        </w:rPr>
        <w:t>分）、“替代产品丰富性”（8</w:t>
      </w:r>
      <w:r>
        <w:rPr>
          <w:rFonts w:ascii="仿宋" w:eastAsia="仿宋" w:hAnsi="仿宋" w:cs="仿宋"/>
          <w:sz w:val="32"/>
          <w:szCs w:val="32"/>
        </w:rPr>
        <w:t>3.52</w:t>
      </w:r>
      <w:r>
        <w:rPr>
          <w:rFonts w:ascii="仿宋" w:eastAsia="仿宋" w:hAnsi="仿宋" w:cs="仿宋" w:hint="eastAsia"/>
          <w:sz w:val="32"/>
          <w:szCs w:val="32"/>
        </w:rPr>
        <w:t>分）、“消费知情权”（8</w:t>
      </w:r>
      <w:r>
        <w:rPr>
          <w:rFonts w:ascii="仿宋" w:eastAsia="仿宋" w:hAnsi="仿宋" w:cs="仿宋"/>
          <w:sz w:val="32"/>
          <w:szCs w:val="32"/>
        </w:rPr>
        <w:t>3.49</w:t>
      </w:r>
      <w:r>
        <w:rPr>
          <w:rFonts w:ascii="仿宋" w:eastAsia="仿宋" w:hAnsi="仿宋" w:cs="仿宋" w:hint="eastAsia"/>
          <w:sz w:val="32"/>
          <w:szCs w:val="32"/>
        </w:rPr>
        <w:t>分）、“维权结果”（8</w:t>
      </w:r>
      <w:r>
        <w:rPr>
          <w:rFonts w:ascii="仿宋" w:eastAsia="仿宋" w:hAnsi="仿宋" w:cs="仿宋"/>
          <w:sz w:val="32"/>
          <w:szCs w:val="32"/>
        </w:rPr>
        <w:t>3.02</w:t>
      </w:r>
      <w:r>
        <w:rPr>
          <w:rFonts w:ascii="仿宋" w:eastAsia="仿宋" w:hAnsi="仿宋" w:cs="仿宋" w:hint="eastAsia"/>
          <w:sz w:val="32"/>
          <w:szCs w:val="32"/>
        </w:rPr>
        <w:t>分）、“维权效率”（8</w:t>
      </w:r>
      <w:r>
        <w:rPr>
          <w:rFonts w:ascii="仿宋" w:eastAsia="仿宋" w:hAnsi="仿宋" w:cs="仿宋"/>
          <w:sz w:val="32"/>
          <w:szCs w:val="32"/>
        </w:rPr>
        <w:t>2.97</w:t>
      </w:r>
      <w:r>
        <w:rPr>
          <w:rFonts w:ascii="仿宋" w:eastAsia="仿宋" w:hAnsi="仿宋" w:cs="仿宋" w:hint="eastAsia"/>
          <w:sz w:val="32"/>
          <w:szCs w:val="32"/>
        </w:rPr>
        <w:t>分）、“维权渠道”（8</w:t>
      </w:r>
      <w:r>
        <w:rPr>
          <w:rFonts w:ascii="仿宋" w:eastAsia="仿宋" w:hAnsi="仿宋" w:cs="仿宋"/>
          <w:sz w:val="32"/>
          <w:szCs w:val="32"/>
        </w:rPr>
        <w:t>2.82</w:t>
      </w:r>
      <w:r>
        <w:rPr>
          <w:rFonts w:ascii="仿宋" w:eastAsia="仿宋" w:hAnsi="仿宋" w:cs="仿宋" w:hint="eastAsia"/>
          <w:sz w:val="32"/>
          <w:szCs w:val="32"/>
        </w:rPr>
        <w:t>分）、“物流便利”（8</w:t>
      </w:r>
      <w:r>
        <w:rPr>
          <w:rFonts w:ascii="仿宋" w:eastAsia="仿宋" w:hAnsi="仿宋" w:cs="仿宋"/>
          <w:sz w:val="32"/>
          <w:szCs w:val="32"/>
        </w:rPr>
        <w:t>2.56</w:t>
      </w:r>
      <w:r>
        <w:rPr>
          <w:rFonts w:ascii="仿宋" w:eastAsia="仿宋" w:hAnsi="仿宋" w:cs="仿宋" w:hint="eastAsia"/>
          <w:sz w:val="32"/>
          <w:szCs w:val="32"/>
        </w:rPr>
        <w:t>分）、“货品真实”（8</w:t>
      </w:r>
      <w:r>
        <w:rPr>
          <w:rFonts w:ascii="仿宋" w:eastAsia="仿宋" w:hAnsi="仿宋" w:cs="仿宋"/>
          <w:sz w:val="32"/>
          <w:szCs w:val="32"/>
        </w:rPr>
        <w:t>2.42</w:t>
      </w:r>
      <w:r>
        <w:rPr>
          <w:rFonts w:ascii="仿宋" w:eastAsia="仿宋" w:hAnsi="仿宋" w:cs="仿宋" w:hint="eastAsia"/>
          <w:sz w:val="32"/>
          <w:szCs w:val="32"/>
        </w:rPr>
        <w:t>）、“种类丰富性”（8</w:t>
      </w:r>
      <w:r>
        <w:rPr>
          <w:rFonts w:ascii="仿宋" w:eastAsia="仿宋" w:hAnsi="仿宋" w:cs="仿宋"/>
          <w:sz w:val="32"/>
          <w:szCs w:val="32"/>
        </w:rPr>
        <w:t>2.</w:t>
      </w:r>
      <w:r>
        <w:rPr>
          <w:rFonts w:ascii="仿宋" w:eastAsia="仿宋" w:hAnsi="仿宋" w:cs="仿宋" w:hint="eastAsia"/>
          <w:sz w:val="32"/>
          <w:szCs w:val="32"/>
        </w:rPr>
        <w:t>29分）、“舒适性”（8</w:t>
      </w:r>
      <w:r>
        <w:rPr>
          <w:rFonts w:ascii="仿宋" w:eastAsia="仿宋" w:hAnsi="仿宋" w:cs="仿宋"/>
          <w:sz w:val="32"/>
          <w:szCs w:val="32"/>
        </w:rPr>
        <w:t>2.</w:t>
      </w:r>
      <w:r>
        <w:rPr>
          <w:rFonts w:ascii="仿宋" w:eastAsia="仿宋" w:hAnsi="仿宋" w:cs="仿宋" w:hint="eastAsia"/>
          <w:sz w:val="32"/>
          <w:szCs w:val="32"/>
        </w:rPr>
        <w:t>08分）、“安全性”（8</w:t>
      </w:r>
      <w:r>
        <w:rPr>
          <w:rFonts w:ascii="仿宋" w:eastAsia="仿宋" w:hAnsi="仿宋" w:cs="仿宋"/>
          <w:sz w:val="32"/>
          <w:szCs w:val="32"/>
        </w:rPr>
        <w:t>0.87</w:t>
      </w:r>
      <w:r>
        <w:rPr>
          <w:rFonts w:ascii="仿宋" w:eastAsia="仿宋" w:hAnsi="仿宋" w:cs="仿宋" w:hint="eastAsia"/>
          <w:sz w:val="32"/>
          <w:szCs w:val="32"/>
        </w:rPr>
        <w:t>分）、“价格公道”（8</w:t>
      </w:r>
      <w:r>
        <w:rPr>
          <w:rFonts w:ascii="仿宋" w:eastAsia="仿宋" w:hAnsi="仿宋" w:cs="仿宋"/>
          <w:sz w:val="32"/>
          <w:szCs w:val="32"/>
        </w:rPr>
        <w:t>0.39</w:t>
      </w:r>
      <w:r>
        <w:rPr>
          <w:rFonts w:ascii="仿宋" w:eastAsia="仿宋" w:hAnsi="仿宋" w:cs="仿宋" w:hint="eastAsia"/>
          <w:sz w:val="32"/>
          <w:szCs w:val="32"/>
        </w:rPr>
        <w:t>分）、“消费知识法制宣传”（8</w:t>
      </w:r>
      <w:r>
        <w:rPr>
          <w:rFonts w:ascii="仿宋" w:eastAsia="仿宋" w:hAnsi="仿宋" w:cs="仿宋"/>
          <w:sz w:val="32"/>
          <w:szCs w:val="32"/>
        </w:rPr>
        <w:t>0.26</w:t>
      </w:r>
      <w:r>
        <w:rPr>
          <w:rFonts w:ascii="仿宋" w:eastAsia="仿宋" w:hAnsi="仿宋" w:cs="仿宋" w:hint="eastAsia"/>
          <w:sz w:val="32"/>
          <w:szCs w:val="32"/>
        </w:rPr>
        <w:t>分）、“分布合理”（8</w:t>
      </w:r>
      <w:r>
        <w:rPr>
          <w:rFonts w:ascii="仿宋" w:eastAsia="仿宋" w:hAnsi="仿宋" w:cs="仿宋"/>
          <w:sz w:val="32"/>
          <w:szCs w:val="32"/>
        </w:rPr>
        <w:t>0.17</w:t>
      </w:r>
      <w:r>
        <w:rPr>
          <w:rFonts w:ascii="仿宋" w:eastAsia="仿宋" w:hAnsi="仿宋" w:cs="仿宋" w:hint="eastAsia"/>
          <w:sz w:val="32"/>
          <w:szCs w:val="32"/>
        </w:rPr>
        <w:t xml:space="preserve">分）。 </w:t>
      </w:r>
    </w:p>
    <w:p w:rsidR="002D6C73" w:rsidRDefault="00FB6868">
      <w:pPr>
        <w:spacing w:line="560" w:lineRule="exact"/>
        <w:ind w:firstLineChars="200" w:firstLine="640"/>
        <w:jc w:val="both"/>
        <w:rPr>
          <w:rFonts w:ascii="仿宋" w:eastAsia="仿宋" w:hAnsi="仿宋" w:cs="仿宋"/>
          <w:spacing w:val="-8"/>
          <w:sz w:val="32"/>
          <w:szCs w:val="32"/>
        </w:rPr>
      </w:pPr>
      <w:r>
        <w:rPr>
          <w:rFonts w:ascii="仿宋" w:eastAsia="仿宋" w:hAnsi="仿宋" w:cs="仿宋" w:hint="eastAsia"/>
          <w:sz w:val="32"/>
          <w:szCs w:val="32"/>
        </w:rPr>
        <w:lastRenderedPageBreak/>
        <w:t>第三梯</w:t>
      </w:r>
      <w:r>
        <w:rPr>
          <w:rFonts w:ascii="仿宋" w:eastAsia="仿宋" w:hAnsi="仿宋" w:cs="仿宋" w:hint="eastAsia"/>
          <w:spacing w:val="-8"/>
          <w:sz w:val="32"/>
          <w:szCs w:val="32"/>
        </w:rPr>
        <w:t>队得分介于75分-80分之间，包括</w:t>
      </w:r>
      <w:r>
        <w:rPr>
          <w:rFonts w:ascii="仿宋" w:eastAsia="仿宋" w:hAnsi="仿宋" w:cs="仿宋"/>
          <w:spacing w:val="-8"/>
          <w:sz w:val="32"/>
          <w:szCs w:val="32"/>
        </w:rPr>
        <w:t>7</w:t>
      </w:r>
      <w:r>
        <w:rPr>
          <w:rFonts w:ascii="仿宋" w:eastAsia="仿宋" w:hAnsi="仿宋" w:cs="仿宋" w:hint="eastAsia"/>
          <w:spacing w:val="-8"/>
          <w:sz w:val="32"/>
          <w:szCs w:val="32"/>
        </w:rPr>
        <w:t>个指标，分别是：“商品或服务质量”（80.00分）、“供给创新性”（7</w:t>
      </w:r>
      <w:r>
        <w:rPr>
          <w:rFonts w:ascii="仿宋" w:eastAsia="仿宋" w:hAnsi="仿宋" w:cs="仿宋"/>
          <w:spacing w:val="-8"/>
          <w:sz w:val="32"/>
          <w:szCs w:val="32"/>
        </w:rPr>
        <w:t>9.93</w:t>
      </w:r>
      <w:r>
        <w:rPr>
          <w:rFonts w:ascii="仿宋" w:eastAsia="仿宋" w:hAnsi="仿宋" w:cs="仿宋" w:hint="eastAsia"/>
          <w:spacing w:val="-8"/>
          <w:sz w:val="32"/>
          <w:szCs w:val="32"/>
        </w:rPr>
        <w:t>分）、“售后保障”（7</w:t>
      </w:r>
      <w:r>
        <w:rPr>
          <w:rFonts w:ascii="仿宋" w:eastAsia="仿宋" w:hAnsi="仿宋" w:cs="仿宋"/>
          <w:spacing w:val="-8"/>
          <w:sz w:val="32"/>
          <w:szCs w:val="32"/>
        </w:rPr>
        <w:t>9.25</w:t>
      </w:r>
      <w:r>
        <w:rPr>
          <w:rFonts w:ascii="仿宋" w:eastAsia="仿宋" w:hAnsi="仿宋" w:cs="仿宋" w:hint="eastAsia"/>
          <w:spacing w:val="-8"/>
          <w:sz w:val="32"/>
          <w:szCs w:val="32"/>
        </w:rPr>
        <w:t>分）、“消费警示提示”（7</w:t>
      </w:r>
      <w:r>
        <w:rPr>
          <w:rFonts w:ascii="仿宋" w:eastAsia="仿宋" w:hAnsi="仿宋" w:cs="仿宋"/>
          <w:spacing w:val="-8"/>
          <w:sz w:val="32"/>
          <w:szCs w:val="32"/>
        </w:rPr>
        <w:t>9.15</w:t>
      </w:r>
      <w:r>
        <w:rPr>
          <w:rFonts w:ascii="仿宋" w:eastAsia="仿宋" w:hAnsi="仿宋" w:cs="仿宋" w:hint="eastAsia"/>
          <w:spacing w:val="-8"/>
          <w:sz w:val="32"/>
          <w:szCs w:val="32"/>
        </w:rPr>
        <w:t>分）、“交易安全”（7</w:t>
      </w:r>
      <w:r>
        <w:rPr>
          <w:rFonts w:ascii="仿宋" w:eastAsia="仿宋" w:hAnsi="仿宋" w:cs="仿宋"/>
          <w:spacing w:val="-8"/>
          <w:sz w:val="32"/>
          <w:szCs w:val="32"/>
        </w:rPr>
        <w:t>9.08</w:t>
      </w:r>
      <w:r>
        <w:rPr>
          <w:rFonts w:ascii="仿宋" w:eastAsia="仿宋" w:hAnsi="仿宋" w:cs="仿宋" w:hint="eastAsia"/>
          <w:spacing w:val="-8"/>
          <w:sz w:val="32"/>
          <w:szCs w:val="32"/>
        </w:rPr>
        <w:t>分）、“消费执法”（7</w:t>
      </w:r>
      <w:r>
        <w:rPr>
          <w:rFonts w:ascii="仿宋" w:eastAsia="仿宋" w:hAnsi="仿宋" w:cs="仿宋"/>
          <w:spacing w:val="-8"/>
          <w:sz w:val="32"/>
          <w:szCs w:val="32"/>
        </w:rPr>
        <w:t>8.03</w:t>
      </w:r>
      <w:r>
        <w:rPr>
          <w:rFonts w:ascii="仿宋" w:eastAsia="仿宋" w:hAnsi="仿宋" w:cs="仿宋" w:hint="eastAsia"/>
          <w:spacing w:val="-8"/>
          <w:sz w:val="32"/>
          <w:szCs w:val="32"/>
        </w:rPr>
        <w:t>分）、“服务水平”（7</w:t>
      </w:r>
      <w:r>
        <w:rPr>
          <w:rFonts w:ascii="仿宋" w:eastAsia="仿宋" w:hAnsi="仿宋" w:cs="仿宋"/>
          <w:spacing w:val="-8"/>
          <w:sz w:val="32"/>
          <w:szCs w:val="32"/>
        </w:rPr>
        <w:t>8.00</w:t>
      </w:r>
      <w:r>
        <w:rPr>
          <w:rFonts w:ascii="仿宋" w:eastAsia="仿宋" w:hAnsi="仿宋" w:cs="仿宋" w:hint="eastAsia"/>
          <w:spacing w:val="-8"/>
          <w:sz w:val="32"/>
          <w:szCs w:val="32"/>
        </w:rPr>
        <w:t>分）。</w:t>
      </w:r>
    </w:p>
    <w:p w:rsidR="002D6C73" w:rsidRDefault="00FB6868">
      <w:pPr>
        <w:spacing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第四梯队得分在</w:t>
      </w:r>
      <w:r>
        <w:rPr>
          <w:rFonts w:ascii="仿宋" w:eastAsia="仿宋" w:hAnsi="仿宋" w:cs="仿宋"/>
          <w:sz w:val="32"/>
          <w:szCs w:val="32"/>
        </w:rPr>
        <w:t>7</w:t>
      </w:r>
      <w:r>
        <w:rPr>
          <w:rFonts w:ascii="仿宋" w:eastAsia="仿宋" w:hAnsi="仿宋" w:cs="仿宋" w:hint="eastAsia"/>
          <w:sz w:val="32"/>
          <w:szCs w:val="32"/>
        </w:rPr>
        <w:t>5分以下，包括</w:t>
      </w:r>
      <w:r>
        <w:rPr>
          <w:rFonts w:ascii="仿宋" w:eastAsia="仿宋" w:hAnsi="仿宋" w:cs="仿宋"/>
          <w:sz w:val="32"/>
          <w:szCs w:val="32"/>
        </w:rPr>
        <w:t>1</w:t>
      </w:r>
      <w:r>
        <w:rPr>
          <w:rFonts w:ascii="仿宋" w:eastAsia="仿宋" w:hAnsi="仿宋" w:cs="仿宋" w:hint="eastAsia"/>
          <w:sz w:val="32"/>
          <w:szCs w:val="32"/>
        </w:rPr>
        <w:t>个指标：“信息真实”（7</w:t>
      </w:r>
      <w:r>
        <w:rPr>
          <w:rFonts w:ascii="仿宋" w:eastAsia="仿宋" w:hAnsi="仿宋" w:cs="仿宋"/>
          <w:sz w:val="32"/>
          <w:szCs w:val="32"/>
        </w:rPr>
        <w:t>4.93</w:t>
      </w:r>
      <w:r>
        <w:rPr>
          <w:rFonts w:ascii="仿宋" w:eastAsia="仿宋" w:hAnsi="仿宋" w:cs="仿宋" w:hint="eastAsia"/>
          <w:sz w:val="32"/>
          <w:szCs w:val="32"/>
        </w:rPr>
        <w:t>分）。</w:t>
      </w:r>
    </w:p>
    <w:p w:rsidR="002D6C73" w:rsidRDefault="00FB6868">
      <w:pPr>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extent cx="5698490" cy="320040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6C73" w:rsidRDefault="00FB6868">
      <w:pPr>
        <w:jc w:val="center"/>
        <w:rPr>
          <w:rFonts w:ascii="黑体" w:eastAsia="黑体" w:hAnsi="黑体" w:cs="黑体"/>
          <w:sz w:val="28"/>
          <w:szCs w:val="28"/>
        </w:rPr>
      </w:pPr>
      <w:r>
        <w:rPr>
          <w:rFonts w:ascii="黑体" w:eastAsia="黑体" w:hAnsi="黑体" w:cs="黑体" w:hint="eastAsia"/>
          <w:sz w:val="28"/>
          <w:szCs w:val="28"/>
        </w:rPr>
        <w:t>图5 202</w:t>
      </w:r>
      <w:r>
        <w:rPr>
          <w:rFonts w:ascii="黑体" w:eastAsia="黑体" w:hAnsi="黑体" w:cs="黑体"/>
          <w:sz w:val="28"/>
          <w:szCs w:val="28"/>
        </w:rPr>
        <w:t>1</w:t>
      </w:r>
      <w:r>
        <w:rPr>
          <w:rFonts w:ascii="黑体" w:eastAsia="黑体" w:hAnsi="黑体" w:cs="黑体" w:hint="eastAsia"/>
          <w:sz w:val="28"/>
          <w:szCs w:val="28"/>
        </w:rPr>
        <w:t>年消费者满意度三级指标得分（按指标得分高低排序）</w:t>
      </w:r>
    </w:p>
    <w:p w:rsidR="002D6C73" w:rsidRDefault="00FB6868">
      <w:pPr>
        <w:spacing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对比2017-202</w:t>
      </w:r>
      <w:r>
        <w:rPr>
          <w:rFonts w:ascii="仿宋" w:eastAsia="仿宋" w:hAnsi="仿宋" w:cs="仿宋"/>
          <w:sz w:val="32"/>
          <w:szCs w:val="32"/>
        </w:rPr>
        <w:t>1</w:t>
      </w:r>
      <w:r>
        <w:rPr>
          <w:rFonts w:ascii="仿宋" w:eastAsia="仿宋" w:hAnsi="仿宋" w:cs="仿宋" w:hint="eastAsia"/>
          <w:sz w:val="32"/>
          <w:szCs w:val="32"/>
        </w:rPr>
        <w:t>年五年得分情况，主要呈现如下特征：</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一是整体得分更加平均。往年排名常处于头部的指标，如“消费自主选择权”（</w:t>
      </w:r>
      <w:r>
        <w:rPr>
          <w:rFonts w:ascii="仿宋" w:eastAsia="仿宋" w:hAnsi="仿宋" w:cs="仿宋"/>
          <w:sz w:val="32"/>
          <w:szCs w:val="32"/>
        </w:rPr>
        <w:t>-5.08</w:t>
      </w:r>
      <w:r>
        <w:rPr>
          <w:rFonts w:ascii="仿宋" w:eastAsia="仿宋" w:hAnsi="仿宋" w:cs="仿宋" w:hint="eastAsia"/>
          <w:sz w:val="32"/>
          <w:szCs w:val="32"/>
        </w:rPr>
        <w:t>分）、“消费知情权”（-</w:t>
      </w:r>
      <w:r>
        <w:rPr>
          <w:rFonts w:ascii="仿宋" w:eastAsia="仿宋" w:hAnsi="仿宋" w:cs="仿宋"/>
          <w:sz w:val="32"/>
          <w:szCs w:val="32"/>
        </w:rPr>
        <w:t>5.29</w:t>
      </w:r>
      <w:r>
        <w:rPr>
          <w:rFonts w:ascii="仿宋" w:eastAsia="仿宋" w:hAnsi="仿宋" w:cs="仿宋" w:hint="eastAsia"/>
          <w:sz w:val="32"/>
          <w:szCs w:val="32"/>
        </w:rPr>
        <w:t>分）、“物流便利”（-</w:t>
      </w:r>
      <w:r>
        <w:rPr>
          <w:rFonts w:ascii="仿宋" w:eastAsia="仿宋" w:hAnsi="仿宋" w:cs="仿宋"/>
          <w:sz w:val="32"/>
          <w:szCs w:val="32"/>
        </w:rPr>
        <w:t>4.70</w:t>
      </w:r>
      <w:r>
        <w:rPr>
          <w:rFonts w:ascii="仿宋" w:eastAsia="仿宋" w:hAnsi="仿宋" w:cs="仿宋" w:hint="eastAsia"/>
          <w:sz w:val="32"/>
          <w:szCs w:val="32"/>
        </w:rPr>
        <w:t>分）等指标在2</w:t>
      </w:r>
      <w:r>
        <w:rPr>
          <w:rFonts w:ascii="仿宋" w:eastAsia="仿宋" w:hAnsi="仿宋" w:cs="仿宋"/>
          <w:sz w:val="32"/>
          <w:szCs w:val="32"/>
        </w:rPr>
        <w:t>021</w:t>
      </w:r>
      <w:r>
        <w:rPr>
          <w:rFonts w:ascii="仿宋" w:eastAsia="仿宋" w:hAnsi="仿宋" w:cs="仿宋" w:hint="eastAsia"/>
          <w:sz w:val="32"/>
          <w:szCs w:val="32"/>
        </w:rPr>
        <w:t>年得分有不同程度的下滑。往年排名常处于尾部的指标，如“维权效率”</w:t>
      </w:r>
      <w:r>
        <w:rPr>
          <w:rFonts w:ascii="仿宋" w:eastAsia="仿宋" w:hAnsi="仿宋" w:cs="仿宋" w:hint="eastAsia"/>
          <w:sz w:val="32"/>
          <w:szCs w:val="32"/>
        </w:rPr>
        <w:lastRenderedPageBreak/>
        <w:t>（+</w:t>
      </w:r>
      <w:r>
        <w:rPr>
          <w:rFonts w:ascii="仿宋" w:eastAsia="仿宋" w:hAnsi="仿宋" w:cs="仿宋"/>
          <w:sz w:val="32"/>
          <w:szCs w:val="32"/>
        </w:rPr>
        <w:t>11.08</w:t>
      </w:r>
      <w:r>
        <w:rPr>
          <w:rFonts w:ascii="仿宋" w:eastAsia="仿宋" w:hAnsi="仿宋" w:cs="仿宋" w:hint="eastAsia"/>
          <w:sz w:val="32"/>
          <w:szCs w:val="32"/>
        </w:rPr>
        <w:t>分）、“维权结果”（+</w:t>
      </w:r>
      <w:r>
        <w:rPr>
          <w:rFonts w:ascii="仿宋" w:eastAsia="仿宋" w:hAnsi="仿宋" w:cs="仿宋"/>
          <w:sz w:val="32"/>
          <w:szCs w:val="32"/>
        </w:rPr>
        <w:t>9.33</w:t>
      </w:r>
      <w:r>
        <w:rPr>
          <w:rFonts w:ascii="仿宋" w:eastAsia="仿宋" w:hAnsi="仿宋" w:cs="仿宋" w:hint="eastAsia"/>
          <w:sz w:val="32"/>
          <w:szCs w:val="32"/>
        </w:rPr>
        <w:t>分）、“维权渠道”（+</w:t>
      </w:r>
      <w:r>
        <w:rPr>
          <w:rFonts w:ascii="仿宋" w:eastAsia="仿宋" w:hAnsi="仿宋" w:cs="仿宋"/>
          <w:sz w:val="32"/>
          <w:szCs w:val="32"/>
        </w:rPr>
        <w:t>7.75</w:t>
      </w:r>
      <w:r>
        <w:rPr>
          <w:rFonts w:ascii="仿宋" w:eastAsia="仿宋" w:hAnsi="仿宋" w:cs="仿宋" w:hint="eastAsia"/>
          <w:sz w:val="32"/>
          <w:szCs w:val="32"/>
        </w:rPr>
        <w:t>分）等指标在2</w:t>
      </w:r>
      <w:r>
        <w:rPr>
          <w:rFonts w:ascii="仿宋" w:eastAsia="仿宋" w:hAnsi="仿宋" w:cs="仿宋"/>
          <w:sz w:val="32"/>
          <w:szCs w:val="32"/>
        </w:rPr>
        <w:t>021</w:t>
      </w:r>
      <w:r>
        <w:rPr>
          <w:rFonts w:ascii="仿宋" w:eastAsia="仿宋" w:hAnsi="仿宋" w:cs="仿宋" w:hint="eastAsia"/>
          <w:sz w:val="32"/>
          <w:szCs w:val="32"/>
        </w:rPr>
        <w:t>年得分均有较大幅度的升高。</w:t>
      </w:r>
    </w:p>
    <w:p w:rsidR="002D6C73" w:rsidRDefault="00FB6868">
      <w:pPr>
        <w:spacing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二是“维权类”三级指标追赶势头凸显。上涨幅度前三名的 “维权效率”（+11.08分）、“维权结果”（+9.33）、“维权渠道”（+7.75分）三个指标同属二级指标“权益保护”。一级指标“消费维权”下属三级指标“维权效率”（+11.08）、“维权结果”（+9.33）、“维权渠道”（+7.75分）、 “消费警示提示”（+5.99分）、“消费知识法制宣传”（+4.17分）、“消费执法”（+2.33分）都有至少2分以上的涨幅。</w:t>
      </w:r>
    </w:p>
    <w:p w:rsidR="002D6C73" w:rsidRDefault="00FB6868">
      <w:pPr>
        <w:spacing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其中，“维权效率”指标在2018、2019、2020年排名为最后一名，得分未超过72分。2021年，比得分最低时的2018年上涨了22.28分，首次突破80分，达到了82.97分。“维权结果”指标近几年的进步也十分突出。从得分最低时的2018年（62.22分）一路上涨，2021年首破80分，达到了83.02分，在所有三级指标中排第6名。虽然维权类指标进步明显，但距离得分最高的“消费自主选择权”（86.97分）仍有一定差距。</w:t>
      </w:r>
    </w:p>
    <w:p w:rsidR="002D6C73" w:rsidRDefault="00FB6868">
      <w:pPr>
        <w:spacing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 xml:space="preserve">另外，“消费执法”（第23名）、“交易安全”（第22名）、“消费警示提示”（第21名）、“消费知识法制宣传”（第16名）四个指标虽然在得分方面有显著进步，但在25个三级指标中排名仍然较为靠后。  </w:t>
      </w:r>
    </w:p>
    <w:p w:rsidR="002D6C73" w:rsidRDefault="002D6C73">
      <w:pPr>
        <w:spacing w:line="560" w:lineRule="exact"/>
        <w:jc w:val="both"/>
        <w:rPr>
          <w:rFonts w:ascii="仿宋" w:eastAsia="仿宋" w:hAnsi="仿宋" w:cs="仿宋"/>
          <w:sz w:val="32"/>
          <w:szCs w:val="32"/>
        </w:rPr>
        <w:sectPr w:rsidR="002D6C73">
          <w:pgSz w:w="11906" w:h="16838"/>
          <w:pgMar w:top="1440" w:right="1800" w:bottom="1440" w:left="1800" w:header="851" w:footer="992" w:gutter="0"/>
          <w:pgNumType w:fmt="numberInDash"/>
          <w:cols w:space="425"/>
          <w:docGrid w:type="lines" w:linePitch="312"/>
        </w:sectPr>
      </w:pPr>
    </w:p>
    <w:p w:rsidR="002D6C73" w:rsidRDefault="00FB6868">
      <w:pPr>
        <w:jc w:val="center"/>
      </w:pPr>
      <w:r>
        <w:rPr>
          <w:rFonts w:hint="eastAsia"/>
          <w:noProof/>
        </w:rPr>
        <w:lastRenderedPageBreak/>
        <w:drawing>
          <wp:inline distT="0" distB="0" distL="0" distR="0">
            <wp:extent cx="8303895" cy="4901565"/>
            <wp:effectExtent l="0" t="0" r="1905" b="1333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6C73" w:rsidRDefault="00FB6868">
      <w:pPr>
        <w:jc w:val="center"/>
        <w:rPr>
          <w:rFonts w:ascii="黑体" w:eastAsia="黑体" w:hAnsi="黑体" w:cs="黑体"/>
          <w:sz w:val="28"/>
          <w:szCs w:val="28"/>
        </w:rPr>
        <w:sectPr w:rsidR="002D6C73">
          <w:pgSz w:w="16838" w:h="11906" w:orient="landscape"/>
          <w:pgMar w:top="1800" w:right="1440" w:bottom="1800" w:left="1440" w:header="851" w:footer="992" w:gutter="0"/>
          <w:pgNumType w:fmt="numberInDash"/>
          <w:cols w:space="425"/>
          <w:docGrid w:type="lines" w:linePitch="312"/>
        </w:sectPr>
      </w:pPr>
      <w:r>
        <w:rPr>
          <w:rFonts w:ascii="黑体" w:eastAsia="黑体" w:hAnsi="黑体" w:cs="黑体" w:hint="eastAsia"/>
          <w:sz w:val="28"/>
          <w:szCs w:val="28"/>
        </w:rPr>
        <w:t>图6  2017-202</w:t>
      </w:r>
      <w:r>
        <w:rPr>
          <w:rFonts w:ascii="黑体" w:eastAsia="黑体" w:hAnsi="黑体" w:cs="黑体"/>
          <w:sz w:val="28"/>
          <w:szCs w:val="28"/>
        </w:rPr>
        <w:t>1</w:t>
      </w:r>
      <w:r>
        <w:rPr>
          <w:rFonts w:ascii="黑体" w:eastAsia="黑体" w:hAnsi="黑体" w:cs="黑体" w:hint="eastAsia"/>
          <w:sz w:val="28"/>
          <w:szCs w:val="28"/>
        </w:rPr>
        <w:t>年消费者满意度三级指标得分对比（按2020年指标得分高低排序）</w:t>
      </w:r>
    </w:p>
    <w:p w:rsidR="002D6C73" w:rsidRDefault="00FB6868">
      <w:pPr>
        <w:pStyle w:val="2"/>
        <w:numPr>
          <w:ilvl w:val="0"/>
          <w:numId w:val="1"/>
        </w:numPr>
        <w:rPr>
          <w:rFonts w:ascii="黑体" w:eastAsia="黑体" w:hAnsi="黑体" w:cs="黑体"/>
          <w:b w:val="0"/>
          <w:bCs/>
          <w:i w:val="0"/>
          <w:iCs/>
          <w:sz w:val="32"/>
          <w:szCs w:val="28"/>
        </w:rPr>
      </w:pPr>
      <w:bookmarkStart w:id="29" w:name="_Toc62721759"/>
      <w:bookmarkStart w:id="30" w:name="_Toc27982"/>
      <w:r>
        <w:rPr>
          <w:rFonts w:ascii="黑体" w:eastAsia="黑体" w:hAnsi="黑体" w:cs="黑体" w:hint="eastAsia"/>
          <w:b w:val="0"/>
          <w:bCs/>
          <w:i w:val="0"/>
          <w:iCs/>
          <w:sz w:val="32"/>
          <w:szCs w:val="28"/>
        </w:rPr>
        <w:lastRenderedPageBreak/>
        <w:t>消费者满意度测评指标</w:t>
      </w:r>
      <w:proofErr w:type="gramStart"/>
      <w:r>
        <w:rPr>
          <w:rFonts w:ascii="黑体" w:eastAsia="黑体" w:hAnsi="黑体" w:cs="黑体" w:hint="eastAsia"/>
          <w:b w:val="0"/>
          <w:bCs/>
          <w:i w:val="0"/>
          <w:iCs/>
          <w:sz w:val="32"/>
          <w:szCs w:val="28"/>
        </w:rPr>
        <w:t>体系优改分析</w:t>
      </w:r>
      <w:bookmarkEnd w:id="29"/>
      <w:bookmarkEnd w:id="30"/>
      <w:proofErr w:type="gramEnd"/>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color w:val="1C1C1C"/>
          <w:sz w:val="32"/>
          <w:szCs w:val="32"/>
        </w:rPr>
        <w:t>根据</w:t>
      </w:r>
      <w:r>
        <w:rPr>
          <w:rFonts w:ascii="TimesNewRomanPSMT" w:eastAsia="TimesNewRomanPSMT" w:hAnsi="TimesNewRomanPSMT" w:cs="TimesNewRomanPSMT"/>
          <w:color w:val="1C1C1C"/>
          <w:sz w:val="32"/>
          <w:szCs w:val="32"/>
        </w:rPr>
        <w:t>20</w:t>
      </w:r>
      <w:r>
        <w:rPr>
          <w:rFonts w:ascii="TimesNewRomanPSMT" w:eastAsia="TimesNewRomanPSMT" w:hAnsi="TimesNewRomanPSMT" w:cs="TimesNewRomanPSMT" w:hint="eastAsia"/>
          <w:color w:val="1C1C1C"/>
          <w:sz w:val="32"/>
          <w:szCs w:val="32"/>
        </w:rPr>
        <w:t>2</w:t>
      </w:r>
      <w:r>
        <w:rPr>
          <w:rFonts w:ascii="TimesNewRomanPSMT" w:eastAsia="TimesNewRomanPSMT" w:hAnsi="TimesNewRomanPSMT" w:cs="TimesNewRomanPSMT"/>
          <w:color w:val="1C1C1C"/>
          <w:sz w:val="32"/>
          <w:szCs w:val="32"/>
        </w:rPr>
        <w:t>1</w:t>
      </w:r>
      <w:r>
        <w:rPr>
          <w:rFonts w:ascii="仿宋" w:eastAsia="仿宋" w:hAnsi="仿宋" w:cs="仿宋" w:hint="eastAsia"/>
          <w:color w:val="1C1C1C"/>
          <w:sz w:val="32"/>
          <w:szCs w:val="32"/>
        </w:rPr>
        <w:t>年消费者满意度</w:t>
      </w:r>
      <w:r>
        <w:rPr>
          <w:rFonts w:ascii="TimesNewRomanPSMT" w:eastAsia="TimesNewRomanPSMT" w:hAnsi="TimesNewRomanPSMT" w:cs="TimesNewRomanPSMT"/>
          <w:color w:val="1C1C1C"/>
          <w:sz w:val="32"/>
          <w:szCs w:val="32"/>
        </w:rPr>
        <w:t>2</w:t>
      </w:r>
      <w:r>
        <w:rPr>
          <w:rFonts w:ascii="TimesNewRomanPSMT" w:eastAsia="TimesNewRomanPSMT" w:hAnsi="TimesNewRomanPSMT" w:cs="TimesNewRomanPSMT" w:hint="eastAsia"/>
          <w:color w:val="1C1C1C"/>
          <w:sz w:val="32"/>
          <w:szCs w:val="32"/>
        </w:rPr>
        <w:t>5</w:t>
      </w:r>
      <w:r>
        <w:rPr>
          <w:rFonts w:ascii="仿宋" w:eastAsia="仿宋" w:hAnsi="仿宋" w:cs="仿宋" w:hint="eastAsia"/>
          <w:color w:val="1C1C1C"/>
          <w:sz w:val="32"/>
          <w:szCs w:val="32"/>
        </w:rPr>
        <w:t>个三级指标的重要性（权重）和满意度表现（得分），可以将</w:t>
      </w:r>
      <w:r>
        <w:rPr>
          <w:rFonts w:ascii="TimesNewRomanPSMT" w:eastAsia="TimesNewRomanPSMT" w:hAnsi="TimesNewRomanPSMT" w:cs="TimesNewRomanPSMT" w:hint="eastAsia"/>
          <w:color w:val="1C1C1C"/>
          <w:sz w:val="32"/>
          <w:szCs w:val="32"/>
        </w:rPr>
        <w:t>25</w:t>
      </w:r>
      <w:r>
        <w:rPr>
          <w:rFonts w:ascii="仿宋" w:eastAsia="仿宋" w:hAnsi="仿宋" w:cs="仿宋" w:hint="eastAsia"/>
          <w:color w:val="1C1C1C"/>
          <w:sz w:val="32"/>
          <w:szCs w:val="32"/>
        </w:rPr>
        <w:t>个指标分为四类，</w:t>
      </w:r>
      <w:proofErr w:type="gramStart"/>
      <w:r>
        <w:rPr>
          <w:rFonts w:ascii="仿宋" w:eastAsia="仿宋" w:hAnsi="仿宋" w:cs="仿宋" w:hint="eastAsia"/>
          <w:color w:val="1C1C1C"/>
          <w:sz w:val="32"/>
          <w:szCs w:val="32"/>
        </w:rPr>
        <w:t>进行优改分析</w:t>
      </w:r>
      <w:proofErr w:type="gramEnd"/>
      <w:r>
        <w:rPr>
          <w:rFonts w:ascii="仿宋" w:eastAsia="仿宋" w:hAnsi="仿宋" w:cs="仿宋" w:hint="eastAsia"/>
          <w:color w:val="1C1C1C"/>
          <w:sz w:val="32"/>
          <w:szCs w:val="32"/>
        </w:rPr>
        <w:t>。如图</w:t>
      </w:r>
      <w:r>
        <w:rPr>
          <w:rFonts w:ascii="TimesNewRomanPSMT" w:eastAsia="TimesNewRomanPSMT" w:hAnsi="TimesNewRomanPSMT" w:cs="TimesNewRomanPSMT"/>
          <w:color w:val="1C1C1C"/>
          <w:sz w:val="32"/>
          <w:szCs w:val="32"/>
        </w:rPr>
        <w:t>11</w:t>
      </w:r>
      <w:r>
        <w:rPr>
          <w:rFonts w:ascii="仿宋" w:eastAsia="仿宋" w:hAnsi="仿宋" w:cs="仿宋" w:hint="eastAsia"/>
          <w:color w:val="1C1C1C"/>
          <w:sz w:val="32"/>
          <w:szCs w:val="32"/>
        </w:rPr>
        <w:t>所示，横轴代表重要性，纵轴代表满意度表现。</w:t>
      </w:r>
    </w:p>
    <w:p w:rsidR="002D6C73" w:rsidRDefault="00FB6868">
      <w:pPr>
        <w:numPr>
          <w:ilvl w:val="255"/>
          <w:numId w:val="0"/>
        </w:numPr>
        <w:ind w:firstLineChars="200"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1.</w:t>
      </w:r>
      <w:r>
        <w:rPr>
          <w:rFonts w:ascii="仿宋" w:eastAsia="仿宋" w:hAnsi="仿宋" w:cs="仿宋"/>
          <w:b/>
          <w:bCs/>
          <w:color w:val="1C1C1C"/>
          <w:sz w:val="32"/>
          <w:szCs w:val="32"/>
        </w:rPr>
        <w:t>优势区指标。</w:t>
      </w:r>
      <w:r>
        <w:rPr>
          <w:rFonts w:ascii="仿宋" w:eastAsia="仿宋" w:hAnsi="仿宋" w:cs="仿宋" w:hint="eastAsia"/>
          <w:bCs/>
          <w:color w:val="1C1C1C"/>
          <w:sz w:val="32"/>
          <w:szCs w:val="32"/>
        </w:rPr>
        <w:t>“消费自主选择权”</w:t>
      </w:r>
      <w:r>
        <w:rPr>
          <w:rFonts w:ascii="仿宋" w:eastAsia="仿宋" w:hAnsi="仿宋" w:cs="仿宋" w:hint="eastAsia"/>
          <w:color w:val="1C1C1C"/>
          <w:sz w:val="32"/>
          <w:szCs w:val="32"/>
        </w:rPr>
        <w:t>和“消费知情权”这2个指标的得分和重要性都比较高，说明这两个影响较大的指标同时也获得了比较高的分数。这两个指标均属于“消费环境”这个一级指标。</w:t>
      </w:r>
    </w:p>
    <w:p w:rsidR="002D6C73" w:rsidRDefault="00FB6868">
      <w:pPr>
        <w:numPr>
          <w:ilvl w:val="255"/>
          <w:numId w:val="0"/>
        </w:numPr>
        <w:ind w:firstLineChars="200"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2.</w:t>
      </w:r>
      <w:proofErr w:type="gramStart"/>
      <w:r>
        <w:rPr>
          <w:rFonts w:ascii="仿宋" w:eastAsia="仿宋" w:hAnsi="仿宋" w:cs="仿宋"/>
          <w:b/>
          <w:bCs/>
          <w:color w:val="1C1C1C"/>
          <w:sz w:val="32"/>
          <w:szCs w:val="32"/>
        </w:rPr>
        <w:t>优改区</w:t>
      </w:r>
      <w:proofErr w:type="gramEnd"/>
      <w:r>
        <w:rPr>
          <w:rFonts w:ascii="仿宋" w:eastAsia="仿宋" w:hAnsi="仿宋" w:cs="仿宋"/>
          <w:b/>
          <w:bCs/>
          <w:color w:val="1C1C1C"/>
          <w:sz w:val="32"/>
          <w:szCs w:val="32"/>
        </w:rPr>
        <w:t>指标。</w:t>
      </w:r>
      <w:r>
        <w:rPr>
          <w:rFonts w:ascii="仿宋" w:eastAsia="仿宋" w:hAnsi="仿宋" w:cs="仿宋" w:hint="eastAsia"/>
          <w:color w:val="1C1C1C"/>
          <w:sz w:val="32"/>
          <w:szCs w:val="32"/>
        </w:rPr>
        <w:t>“商家信任度”、“售后保障”、“服务水平”、“交易安全”、“信息真实”、“消费执法”这6个指标</w:t>
      </w:r>
      <w:proofErr w:type="gramStart"/>
      <w:r>
        <w:rPr>
          <w:rFonts w:ascii="仿宋" w:eastAsia="仿宋" w:hAnsi="仿宋" w:cs="仿宋" w:hint="eastAsia"/>
          <w:color w:val="1C1C1C"/>
          <w:sz w:val="32"/>
          <w:szCs w:val="32"/>
        </w:rPr>
        <w:t>处于优改区</w:t>
      </w:r>
      <w:proofErr w:type="gramEnd"/>
      <w:r>
        <w:rPr>
          <w:rFonts w:ascii="仿宋" w:eastAsia="仿宋" w:hAnsi="仿宋" w:cs="仿宋" w:hint="eastAsia"/>
          <w:color w:val="1C1C1C"/>
          <w:sz w:val="32"/>
          <w:szCs w:val="32"/>
        </w:rPr>
        <w:t>，表明这些指标的重要性较高，但满意度得分相对于所有三级指标而言较低，是需要重点关注和改进的指标。</w:t>
      </w:r>
    </w:p>
    <w:p w:rsidR="002D6C73" w:rsidRDefault="00FB6868">
      <w:pPr>
        <w:spacing w:line="600" w:lineRule="exact"/>
        <w:ind w:left="85"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其中，我们针对“交易安全”做了进一步调查。调查结果显示，消费者没有留过信息但是接到过电话的机构主要包括：“投资、理财、贷款类”（5</w:t>
      </w:r>
      <w:r>
        <w:rPr>
          <w:rFonts w:ascii="仿宋" w:eastAsia="仿宋" w:hAnsi="仿宋" w:cs="仿宋"/>
          <w:color w:val="1C1C1C"/>
          <w:sz w:val="32"/>
          <w:szCs w:val="32"/>
        </w:rPr>
        <w:t>6.1%</w:t>
      </w:r>
      <w:r>
        <w:rPr>
          <w:rFonts w:ascii="仿宋" w:eastAsia="仿宋" w:hAnsi="仿宋" w:cs="仿宋" w:hint="eastAsia"/>
          <w:color w:val="1C1C1C"/>
          <w:sz w:val="32"/>
          <w:szCs w:val="32"/>
        </w:rPr>
        <w:t>）、“教育培训机构”（4</w:t>
      </w:r>
      <w:r>
        <w:rPr>
          <w:rFonts w:ascii="仿宋" w:eastAsia="仿宋" w:hAnsi="仿宋" w:cs="仿宋"/>
          <w:color w:val="1C1C1C"/>
          <w:sz w:val="32"/>
          <w:szCs w:val="32"/>
        </w:rPr>
        <w:t>3.7%</w:t>
      </w:r>
      <w:r>
        <w:rPr>
          <w:rFonts w:ascii="仿宋" w:eastAsia="仿宋" w:hAnsi="仿宋" w:cs="仿宋" w:hint="eastAsia"/>
          <w:color w:val="1C1C1C"/>
          <w:sz w:val="32"/>
          <w:szCs w:val="32"/>
        </w:rPr>
        <w:t>）、“电信诈骗类”（4</w:t>
      </w:r>
      <w:r>
        <w:rPr>
          <w:rFonts w:ascii="仿宋" w:eastAsia="仿宋" w:hAnsi="仿宋" w:cs="仿宋"/>
          <w:color w:val="1C1C1C"/>
          <w:sz w:val="32"/>
          <w:szCs w:val="32"/>
        </w:rPr>
        <w:t>3.3%</w:t>
      </w:r>
      <w:r>
        <w:rPr>
          <w:rFonts w:ascii="仿宋" w:eastAsia="仿宋" w:hAnsi="仿宋" w:cs="仿宋" w:hint="eastAsia"/>
          <w:color w:val="1C1C1C"/>
          <w:sz w:val="32"/>
          <w:szCs w:val="32"/>
        </w:rPr>
        <w:t>）、“寿险、车险、医疗险类”（4</w:t>
      </w:r>
      <w:r>
        <w:rPr>
          <w:rFonts w:ascii="仿宋" w:eastAsia="仿宋" w:hAnsi="仿宋" w:cs="仿宋"/>
          <w:color w:val="1C1C1C"/>
          <w:sz w:val="32"/>
          <w:szCs w:val="32"/>
        </w:rPr>
        <w:t>1.8%</w:t>
      </w:r>
      <w:r>
        <w:rPr>
          <w:rFonts w:ascii="仿宋" w:eastAsia="仿宋" w:hAnsi="仿宋" w:cs="仿宋" w:hint="eastAsia"/>
          <w:color w:val="1C1C1C"/>
          <w:sz w:val="32"/>
          <w:szCs w:val="32"/>
        </w:rPr>
        <w:t>）、“房产中介”（3</w:t>
      </w:r>
      <w:r>
        <w:rPr>
          <w:rFonts w:ascii="仿宋" w:eastAsia="仿宋" w:hAnsi="仿宋" w:cs="仿宋"/>
          <w:color w:val="1C1C1C"/>
          <w:sz w:val="32"/>
          <w:szCs w:val="32"/>
        </w:rPr>
        <w:t>7.7%</w:t>
      </w:r>
      <w:r>
        <w:rPr>
          <w:rFonts w:ascii="仿宋" w:eastAsia="仿宋" w:hAnsi="仿宋" w:cs="仿宋" w:hint="eastAsia"/>
          <w:color w:val="1C1C1C"/>
          <w:sz w:val="32"/>
          <w:szCs w:val="32"/>
        </w:rPr>
        <w:t>），这5类机构占比达到了3</w:t>
      </w:r>
      <w:r>
        <w:rPr>
          <w:rFonts w:ascii="仿宋" w:eastAsia="仿宋" w:hAnsi="仿宋" w:cs="仿宋"/>
          <w:color w:val="1C1C1C"/>
          <w:sz w:val="32"/>
          <w:szCs w:val="32"/>
        </w:rPr>
        <w:t>5%</w:t>
      </w:r>
      <w:r>
        <w:rPr>
          <w:rFonts w:ascii="仿宋" w:eastAsia="仿宋" w:hAnsi="仿宋" w:cs="仿宋" w:hint="eastAsia"/>
          <w:color w:val="1C1C1C"/>
          <w:sz w:val="32"/>
          <w:szCs w:val="32"/>
        </w:rPr>
        <w:t>以上。“装修公司”（</w:t>
      </w:r>
      <w:r>
        <w:rPr>
          <w:rFonts w:ascii="仿宋" w:eastAsia="仿宋" w:hAnsi="仿宋" w:cs="仿宋"/>
          <w:color w:val="1C1C1C"/>
          <w:sz w:val="32"/>
          <w:szCs w:val="32"/>
        </w:rPr>
        <w:t>17.4%）、</w:t>
      </w:r>
      <w:r>
        <w:rPr>
          <w:rFonts w:ascii="仿宋" w:eastAsia="仿宋" w:hAnsi="仿宋" w:cs="仿宋" w:hint="eastAsia"/>
          <w:color w:val="1C1C1C"/>
          <w:sz w:val="32"/>
          <w:szCs w:val="32"/>
        </w:rPr>
        <w:t>“</w:t>
      </w:r>
      <w:r>
        <w:rPr>
          <w:rFonts w:ascii="仿宋" w:eastAsia="仿宋" w:hAnsi="仿宋" w:cs="仿宋"/>
          <w:color w:val="1C1C1C"/>
          <w:sz w:val="32"/>
          <w:szCs w:val="32"/>
        </w:rPr>
        <w:t>美容医疗类</w:t>
      </w:r>
      <w:r>
        <w:rPr>
          <w:rFonts w:ascii="仿宋" w:eastAsia="仿宋" w:hAnsi="仿宋" w:cs="仿宋" w:hint="eastAsia"/>
          <w:color w:val="1C1C1C"/>
          <w:sz w:val="32"/>
          <w:szCs w:val="32"/>
        </w:rPr>
        <w:t>”</w:t>
      </w:r>
      <w:r>
        <w:rPr>
          <w:rFonts w:ascii="仿宋" w:eastAsia="仿宋" w:hAnsi="仿宋" w:cs="仿宋"/>
          <w:color w:val="1C1C1C"/>
          <w:sz w:val="32"/>
          <w:szCs w:val="32"/>
        </w:rPr>
        <w:t>（14.5%）</w:t>
      </w:r>
      <w:r>
        <w:rPr>
          <w:rFonts w:ascii="仿宋" w:eastAsia="仿宋" w:hAnsi="仿宋" w:cs="仿宋" w:hint="eastAsia"/>
          <w:color w:val="1C1C1C"/>
          <w:sz w:val="32"/>
          <w:szCs w:val="32"/>
        </w:rPr>
        <w:t>、“</w:t>
      </w:r>
      <w:r>
        <w:rPr>
          <w:rFonts w:ascii="仿宋" w:eastAsia="仿宋" w:hAnsi="仿宋" w:cs="仿宋"/>
          <w:color w:val="1C1C1C"/>
          <w:sz w:val="32"/>
          <w:szCs w:val="32"/>
        </w:rPr>
        <w:t>健身机构</w:t>
      </w:r>
      <w:r>
        <w:rPr>
          <w:rFonts w:ascii="仿宋" w:eastAsia="仿宋" w:hAnsi="仿宋" w:cs="仿宋" w:hint="eastAsia"/>
          <w:color w:val="1C1C1C"/>
          <w:sz w:val="32"/>
          <w:szCs w:val="32"/>
        </w:rPr>
        <w:t>”</w:t>
      </w:r>
      <w:r>
        <w:rPr>
          <w:rFonts w:ascii="仿宋" w:eastAsia="仿宋" w:hAnsi="仿宋" w:cs="仿宋"/>
          <w:color w:val="1C1C1C"/>
          <w:sz w:val="32"/>
          <w:szCs w:val="32"/>
        </w:rPr>
        <w:t>（11.8%）</w:t>
      </w:r>
      <w:r>
        <w:rPr>
          <w:rFonts w:ascii="仿宋" w:eastAsia="仿宋" w:hAnsi="仿宋" w:cs="仿宋" w:hint="eastAsia"/>
          <w:color w:val="1C1C1C"/>
          <w:sz w:val="32"/>
          <w:szCs w:val="32"/>
        </w:rPr>
        <w:t>等机构也有较低的比例。</w:t>
      </w:r>
    </w:p>
    <w:p w:rsidR="002D6C73" w:rsidRDefault="00FB6868">
      <w:pPr>
        <w:spacing w:line="600" w:lineRule="exact"/>
        <w:ind w:left="85"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lastRenderedPageBreak/>
        <w:t>与去年的占比情况相对比，各机构整体的占比结构基本一致，部分机构的占比有所变动。“房产中介”（-</w:t>
      </w:r>
      <w:r>
        <w:rPr>
          <w:rFonts w:ascii="仿宋" w:eastAsia="仿宋" w:hAnsi="仿宋" w:cs="仿宋"/>
          <w:color w:val="1C1C1C"/>
          <w:sz w:val="32"/>
          <w:szCs w:val="32"/>
        </w:rPr>
        <w:t>15%</w:t>
      </w:r>
      <w:r>
        <w:rPr>
          <w:rFonts w:ascii="仿宋" w:eastAsia="仿宋" w:hAnsi="仿宋" w:cs="仿宋" w:hint="eastAsia"/>
          <w:color w:val="1C1C1C"/>
          <w:sz w:val="32"/>
          <w:szCs w:val="32"/>
        </w:rPr>
        <w:t>）、“电信诈骗”（-</w:t>
      </w:r>
      <w:r>
        <w:rPr>
          <w:rFonts w:ascii="仿宋" w:eastAsia="仿宋" w:hAnsi="仿宋" w:cs="仿宋"/>
          <w:color w:val="1C1C1C"/>
          <w:sz w:val="32"/>
          <w:szCs w:val="32"/>
        </w:rPr>
        <w:t>7.9%</w:t>
      </w:r>
      <w:r>
        <w:rPr>
          <w:rFonts w:ascii="仿宋" w:eastAsia="仿宋" w:hAnsi="仿宋" w:cs="仿宋" w:hint="eastAsia"/>
          <w:color w:val="1C1C1C"/>
          <w:sz w:val="32"/>
          <w:szCs w:val="32"/>
        </w:rPr>
        <w:t>）占比下降，“教育培训机构”（+2</w:t>
      </w:r>
      <w:r>
        <w:rPr>
          <w:rFonts w:ascii="仿宋" w:eastAsia="仿宋" w:hAnsi="仿宋" w:cs="仿宋"/>
          <w:color w:val="1C1C1C"/>
          <w:sz w:val="32"/>
          <w:szCs w:val="32"/>
        </w:rPr>
        <w:t>.2%</w:t>
      </w:r>
      <w:r>
        <w:rPr>
          <w:rFonts w:ascii="仿宋" w:eastAsia="仿宋" w:hAnsi="仿宋" w:cs="仿宋" w:hint="eastAsia"/>
          <w:color w:val="1C1C1C"/>
          <w:sz w:val="32"/>
          <w:szCs w:val="32"/>
        </w:rPr>
        <w:t>）上升。</w:t>
      </w:r>
    </w:p>
    <w:p w:rsidR="002D6C73" w:rsidRDefault="00FB6868">
      <w:pPr>
        <w:jc w:val="center"/>
      </w:pPr>
      <w:r>
        <w:rPr>
          <w:rFonts w:hint="eastAsia"/>
          <w:noProof/>
        </w:rPr>
        <w:drawing>
          <wp:inline distT="0" distB="0" distL="0" distR="0">
            <wp:extent cx="5274310" cy="3076575"/>
            <wp:effectExtent l="0" t="0" r="2540" b="0"/>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6C73" w:rsidRDefault="00FB6868">
      <w:pPr>
        <w:jc w:val="center"/>
        <w:rPr>
          <w:rFonts w:ascii="黑体" w:eastAsia="黑体" w:hAnsi="黑体" w:cs="黑体"/>
          <w:sz w:val="28"/>
          <w:szCs w:val="28"/>
        </w:rPr>
      </w:pPr>
      <w:r>
        <w:rPr>
          <w:rFonts w:ascii="黑体" w:eastAsia="黑体" w:hAnsi="黑体" w:cs="黑体" w:hint="eastAsia"/>
          <w:sz w:val="28"/>
          <w:szCs w:val="28"/>
        </w:rPr>
        <w:t>图7  没有留过信息但接到过电话的机构（%）</w:t>
      </w:r>
    </w:p>
    <w:p w:rsidR="002D6C73" w:rsidRDefault="00FB6868">
      <w:pPr>
        <w:numPr>
          <w:ilvl w:val="255"/>
          <w:numId w:val="0"/>
        </w:numPr>
        <w:ind w:firstLineChars="200"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3.</w:t>
      </w:r>
      <w:proofErr w:type="gramStart"/>
      <w:r>
        <w:rPr>
          <w:rFonts w:ascii="仿宋" w:eastAsia="仿宋" w:hAnsi="仿宋" w:cs="仿宋" w:hint="eastAsia"/>
          <w:b/>
          <w:bCs/>
          <w:color w:val="1C1C1C"/>
          <w:sz w:val="32"/>
          <w:szCs w:val="32"/>
        </w:rPr>
        <w:t>次改区</w:t>
      </w:r>
      <w:proofErr w:type="gramEnd"/>
      <w:r>
        <w:rPr>
          <w:rFonts w:ascii="仿宋" w:eastAsia="仿宋" w:hAnsi="仿宋" w:cs="仿宋" w:hint="eastAsia"/>
          <w:b/>
          <w:bCs/>
          <w:color w:val="1C1C1C"/>
          <w:sz w:val="32"/>
          <w:szCs w:val="32"/>
        </w:rPr>
        <w:t>指标。</w:t>
      </w:r>
      <w:r>
        <w:rPr>
          <w:rFonts w:ascii="仿宋" w:eastAsia="仿宋" w:hAnsi="仿宋" w:cs="仿宋" w:hint="eastAsia"/>
          <w:bCs/>
          <w:color w:val="1C1C1C"/>
          <w:sz w:val="32"/>
          <w:szCs w:val="32"/>
        </w:rPr>
        <w:t>“分布合理”、“价格公道”、“供给创新性”、“安全性”、“消费知识法制宣传”、“商品或服务质量”、“消费警示提示”这7个指标</w:t>
      </w:r>
      <w:proofErr w:type="gramStart"/>
      <w:r>
        <w:rPr>
          <w:rFonts w:ascii="仿宋" w:eastAsia="仿宋" w:hAnsi="仿宋" w:cs="仿宋" w:hint="eastAsia"/>
          <w:bCs/>
          <w:color w:val="1C1C1C"/>
          <w:sz w:val="32"/>
          <w:szCs w:val="32"/>
        </w:rPr>
        <w:t>位于次改区</w:t>
      </w:r>
      <w:proofErr w:type="gramEnd"/>
      <w:r>
        <w:rPr>
          <w:rFonts w:ascii="仿宋" w:eastAsia="仿宋" w:hAnsi="仿宋" w:cs="仿宋" w:hint="eastAsia"/>
          <w:bCs/>
          <w:color w:val="1C1C1C"/>
          <w:sz w:val="32"/>
          <w:szCs w:val="32"/>
        </w:rPr>
        <w:t>，表示这些三级指标重要性较低，满意度得分也有待提高</w:t>
      </w:r>
      <w:r>
        <w:rPr>
          <w:rFonts w:ascii="仿宋" w:eastAsia="仿宋" w:hAnsi="仿宋" w:cs="仿宋" w:hint="eastAsia"/>
          <w:color w:val="1C1C1C"/>
          <w:sz w:val="32"/>
          <w:szCs w:val="32"/>
        </w:rPr>
        <w:t>。</w:t>
      </w:r>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关于“价格公道”，调查显示，当被</w:t>
      </w:r>
      <w:r>
        <w:rPr>
          <w:rFonts w:ascii="仿宋" w:eastAsia="仿宋" w:hAnsi="仿宋" w:cs="仿宋"/>
          <w:color w:val="1C1C1C"/>
          <w:sz w:val="32"/>
          <w:szCs w:val="32"/>
        </w:rPr>
        <w:t>问及</w:t>
      </w:r>
      <w:r>
        <w:rPr>
          <w:rFonts w:ascii="仿宋" w:eastAsia="仿宋" w:hAnsi="仿宋" w:cs="仿宋" w:hint="eastAsia"/>
          <w:color w:val="1C1C1C"/>
          <w:sz w:val="32"/>
          <w:szCs w:val="32"/>
        </w:rPr>
        <w:t>“哪些商品或服务的价格往往比您预期的价格高”时</w:t>
      </w:r>
      <w:r>
        <w:rPr>
          <w:rFonts w:ascii="仿宋" w:eastAsia="仿宋" w:hAnsi="仿宋" w:cs="仿宋"/>
          <w:color w:val="1C1C1C"/>
          <w:sz w:val="32"/>
          <w:szCs w:val="32"/>
        </w:rPr>
        <w:t>，</w:t>
      </w:r>
      <w:r>
        <w:rPr>
          <w:rFonts w:ascii="仿宋" w:eastAsia="仿宋" w:hAnsi="仿宋" w:cs="仿宋" w:hint="eastAsia"/>
          <w:color w:val="1C1C1C"/>
          <w:sz w:val="32"/>
          <w:szCs w:val="32"/>
        </w:rPr>
        <w:t>消费者选择最多的类别是“食品类”（4</w:t>
      </w:r>
      <w:r>
        <w:rPr>
          <w:rFonts w:ascii="仿宋" w:eastAsia="仿宋" w:hAnsi="仿宋" w:cs="仿宋"/>
          <w:color w:val="1C1C1C"/>
          <w:sz w:val="32"/>
          <w:szCs w:val="32"/>
        </w:rPr>
        <w:t>1.5%</w:t>
      </w:r>
      <w:r>
        <w:rPr>
          <w:rFonts w:ascii="仿宋" w:eastAsia="仿宋" w:hAnsi="仿宋" w:cs="仿宋" w:hint="eastAsia"/>
          <w:color w:val="1C1C1C"/>
          <w:sz w:val="32"/>
          <w:szCs w:val="32"/>
        </w:rPr>
        <w:t>），而“智能</w:t>
      </w:r>
      <w:r>
        <w:rPr>
          <w:rFonts w:ascii="仿宋" w:eastAsia="仿宋" w:hAnsi="仿宋" w:cs="仿宋"/>
          <w:color w:val="1C1C1C"/>
          <w:sz w:val="32"/>
          <w:szCs w:val="32"/>
        </w:rPr>
        <w:t>产品类”</w:t>
      </w:r>
      <w:r>
        <w:rPr>
          <w:rFonts w:ascii="仿宋" w:eastAsia="仿宋" w:hAnsi="仿宋" w:cs="仿宋" w:hint="eastAsia"/>
          <w:color w:val="1C1C1C"/>
          <w:sz w:val="32"/>
          <w:szCs w:val="32"/>
        </w:rPr>
        <w:t>（38.6%</w:t>
      </w:r>
      <w:r>
        <w:rPr>
          <w:rFonts w:ascii="仿宋" w:eastAsia="仿宋" w:hAnsi="仿宋" w:cs="仿宋"/>
          <w:color w:val="1C1C1C"/>
          <w:sz w:val="32"/>
          <w:szCs w:val="32"/>
        </w:rPr>
        <w:t>）</w:t>
      </w:r>
      <w:r>
        <w:rPr>
          <w:rFonts w:ascii="仿宋" w:eastAsia="仿宋" w:hAnsi="仿宋" w:cs="仿宋" w:hint="eastAsia"/>
          <w:color w:val="1C1C1C"/>
          <w:sz w:val="32"/>
          <w:szCs w:val="32"/>
        </w:rPr>
        <w:t>、</w:t>
      </w:r>
      <w:r>
        <w:rPr>
          <w:rFonts w:ascii="仿宋" w:eastAsia="仿宋" w:hAnsi="仿宋" w:cs="仿宋"/>
          <w:color w:val="1C1C1C"/>
          <w:sz w:val="32"/>
          <w:szCs w:val="32"/>
        </w:rPr>
        <w:t>“家用电器类”</w:t>
      </w:r>
      <w:r>
        <w:rPr>
          <w:rFonts w:ascii="仿宋" w:eastAsia="仿宋" w:hAnsi="仿宋" w:cs="仿宋" w:hint="eastAsia"/>
          <w:color w:val="1C1C1C"/>
          <w:sz w:val="32"/>
          <w:szCs w:val="32"/>
        </w:rPr>
        <w:t>（36.8%</w:t>
      </w:r>
      <w:r>
        <w:rPr>
          <w:rFonts w:ascii="仿宋" w:eastAsia="仿宋" w:hAnsi="仿宋" w:cs="仿宋"/>
          <w:color w:val="1C1C1C"/>
          <w:sz w:val="32"/>
          <w:szCs w:val="32"/>
        </w:rPr>
        <w:t>）</w:t>
      </w:r>
      <w:r>
        <w:rPr>
          <w:rFonts w:ascii="仿宋" w:eastAsia="仿宋" w:hAnsi="仿宋" w:cs="仿宋" w:hint="eastAsia"/>
          <w:color w:val="1C1C1C"/>
          <w:sz w:val="32"/>
          <w:szCs w:val="32"/>
        </w:rPr>
        <w:t>、</w:t>
      </w:r>
      <w:r>
        <w:rPr>
          <w:rFonts w:ascii="仿宋" w:eastAsia="仿宋" w:hAnsi="仿宋" w:cs="仿宋"/>
          <w:color w:val="1C1C1C"/>
          <w:sz w:val="32"/>
          <w:szCs w:val="32"/>
        </w:rPr>
        <w:t>“日用百货商品”</w:t>
      </w:r>
      <w:r>
        <w:rPr>
          <w:rFonts w:ascii="仿宋" w:eastAsia="仿宋" w:hAnsi="仿宋" w:cs="仿宋" w:hint="eastAsia"/>
          <w:color w:val="1C1C1C"/>
          <w:sz w:val="32"/>
          <w:szCs w:val="32"/>
        </w:rPr>
        <w:t>（30.8%</w:t>
      </w:r>
      <w:r>
        <w:rPr>
          <w:rFonts w:ascii="仿宋" w:eastAsia="仿宋" w:hAnsi="仿宋" w:cs="仿宋"/>
          <w:color w:val="1C1C1C"/>
          <w:sz w:val="32"/>
          <w:szCs w:val="32"/>
        </w:rPr>
        <w:t>）</w:t>
      </w:r>
      <w:r>
        <w:rPr>
          <w:rFonts w:ascii="仿宋" w:eastAsia="仿宋" w:hAnsi="仿宋" w:cs="仿宋" w:hint="eastAsia"/>
          <w:color w:val="1C1C1C"/>
          <w:sz w:val="32"/>
          <w:szCs w:val="32"/>
        </w:rPr>
        <w:t>、</w:t>
      </w:r>
      <w:r>
        <w:rPr>
          <w:rFonts w:ascii="仿宋" w:eastAsia="仿宋" w:hAnsi="仿宋" w:cs="仿宋"/>
          <w:color w:val="1C1C1C"/>
          <w:sz w:val="32"/>
          <w:szCs w:val="32"/>
        </w:rPr>
        <w:t>“服装鞋帽类商品”</w:t>
      </w:r>
      <w:r>
        <w:rPr>
          <w:rFonts w:ascii="仿宋" w:eastAsia="仿宋" w:hAnsi="仿宋" w:cs="仿宋" w:hint="eastAsia"/>
          <w:color w:val="1C1C1C"/>
          <w:sz w:val="32"/>
          <w:szCs w:val="32"/>
        </w:rPr>
        <w:t>（30.7%</w:t>
      </w:r>
      <w:r>
        <w:rPr>
          <w:rFonts w:ascii="仿宋" w:eastAsia="仿宋" w:hAnsi="仿宋" w:cs="仿宋"/>
          <w:color w:val="1C1C1C"/>
          <w:sz w:val="32"/>
          <w:szCs w:val="32"/>
        </w:rPr>
        <w:t>）</w:t>
      </w:r>
      <w:r>
        <w:rPr>
          <w:rFonts w:ascii="仿宋" w:eastAsia="仿宋" w:hAnsi="仿宋" w:cs="仿宋" w:hint="eastAsia"/>
          <w:color w:val="1C1C1C"/>
          <w:sz w:val="32"/>
          <w:szCs w:val="32"/>
        </w:rPr>
        <w:t>，均占比3</w:t>
      </w:r>
      <w:r>
        <w:rPr>
          <w:rFonts w:ascii="仿宋" w:eastAsia="仿宋" w:hAnsi="仿宋" w:cs="仿宋"/>
          <w:color w:val="1C1C1C"/>
          <w:sz w:val="32"/>
          <w:szCs w:val="32"/>
        </w:rPr>
        <w:t>0</w:t>
      </w:r>
      <w:r>
        <w:rPr>
          <w:rFonts w:ascii="仿宋" w:eastAsia="仿宋" w:hAnsi="仿宋" w:cs="仿宋" w:hint="eastAsia"/>
          <w:color w:val="1C1C1C"/>
          <w:sz w:val="32"/>
          <w:szCs w:val="32"/>
        </w:rPr>
        <w:t>%以上；其次，“儿</w:t>
      </w:r>
      <w:r>
        <w:rPr>
          <w:rFonts w:ascii="仿宋" w:eastAsia="仿宋" w:hAnsi="仿宋" w:cs="仿宋" w:hint="eastAsia"/>
          <w:color w:val="1C1C1C"/>
          <w:sz w:val="32"/>
          <w:szCs w:val="32"/>
        </w:rPr>
        <w:lastRenderedPageBreak/>
        <w:t>童用品类”（1</w:t>
      </w:r>
      <w:r>
        <w:rPr>
          <w:rFonts w:ascii="仿宋" w:eastAsia="仿宋" w:hAnsi="仿宋" w:cs="仿宋"/>
          <w:color w:val="1C1C1C"/>
          <w:sz w:val="32"/>
          <w:szCs w:val="32"/>
        </w:rPr>
        <w:t>5.7%</w:t>
      </w:r>
      <w:r>
        <w:rPr>
          <w:rFonts w:ascii="仿宋" w:eastAsia="仿宋" w:hAnsi="仿宋" w:cs="仿宋" w:hint="eastAsia"/>
          <w:color w:val="1C1C1C"/>
          <w:sz w:val="32"/>
          <w:szCs w:val="32"/>
        </w:rPr>
        <w:t>）、“美容美发美妆类”（1</w:t>
      </w:r>
      <w:r>
        <w:rPr>
          <w:rFonts w:ascii="仿宋" w:eastAsia="仿宋" w:hAnsi="仿宋" w:cs="仿宋"/>
          <w:color w:val="1C1C1C"/>
          <w:sz w:val="32"/>
          <w:szCs w:val="32"/>
        </w:rPr>
        <w:t>4.6%</w:t>
      </w:r>
      <w:r>
        <w:rPr>
          <w:rFonts w:ascii="仿宋" w:eastAsia="仿宋" w:hAnsi="仿宋" w:cs="仿宋" w:hint="eastAsia"/>
          <w:color w:val="1C1C1C"/>
          <w:sz w:val="32"/>
          <w:szCs w:val="32"/>
        </w:rPr>
        <w:t>）、“餐饮消费类”（1</w:t>
      </w:r>
      <w:r>
        <w:rPr>
          <w:rFonts w:ascii="仿宋" w:eastAsia="仿宋" w:hAnsi="仿宋" w:cs="仿宋"/>
          <w:color w:val="1C1C1C"/>
          <w:sz w:val="32"/>
          <w:szCs w:val="32"/>
        </w:rPr>
        <w:t>3.9%</w:t>
      </w:r>
      <w:r>
        <w:rPr>
          <w:rFonts w:ascii="仿宋" w:eastAsia="仿宋" w:hAnsi="仿宋" w:cs="仿宋" w:hint="eastAsia"/>
          <w:color w:val="1C1C1C"/>
          <w:sz w:val="32"/>
          <w:szCs w:val="32"/>
        </w:rPr>
        <w:t>）、“保健品类”（1</w:t>
      </w:r>
      <w:r>
        <w:rPr>
          <w:rFonts w:ascii="仿宋" w:eastAsia="仿宋" w:hAnsi="仿宋" w:cs="仿宋"/>
          <w:color w:val="1C1C1C"/>
          <w:sz w:val="32"/>
          <w:szCs w:val="32"/>
        </w:rPr>
        <w:t>3.9%</w:t>
      </w:r>
      <w:r>
        <w:rPr>
          <w:rFonts w:ascii="仿宋" w:eastAsia="仿宋" w:hAnsi="仿宋" w:cs="仿宋" w:hint="eastAsia"/>
          <w:color w:val="1C1C1C"/>
          <w:sz w:val="32"/>
          <w:szCs w:val="32"/>
        </w:rPr>
        <w:t>）、“教育培训类”（1</w:t>
      </w:r>
      <w:r>
        <w:rPr>
          <w:rFonts w:ascii="仿宋" w:eastAsia="仿宋" w:hAnsi="仿宋" w:cs="仿宋"/>
          <w:color w:val="1C1C1C"/>
          <w:sz w:val="32"/>
          <w:szCs w:val="32"/>
        </w:rPr>
        <w:t>3.7%</w:t>
      </w:r>
      <w:r>
        <w:rPr>
          <w:rFonts w:ascii="仿宋" w:eastAsia="仿宋" w:hAnsi="仿宋" w:cs="仿宋" w:hint="eastAsia"/>
          <w:color w:val="1C1C1C"/>
          <w:sz w:val="32"/>
          <w:szCs w:val="32"/>
        </w:rPr>
        <w:t>）、“文体用品类”（1</w:t>
      </w:r>
      <w:r>
        <w:rPr>
          <w:rFonts w:ascii="仿宋" w:eastAsia="仿宋" w:hAnsi="仿宋" w:cs="仿宋"/>
          <w:color w:val="1C1C1C"/>
          <w:sz w:val="32"/>
          <w:szCs w:val="32"/>
        </w:rPr>
        <w:t>3.1%</w:t>
      </w:r>
      <w:r>
        <w:rPr>
          <w:rFonts w:ascii="仿宋" w:eastAsia="仿宋" w:hAnsi="仿宋" w:cs="仿宋" w:hint="eastAsia"/>
          <w:color w:val="1C1C1C"/>
          <w:sz w:val="32"/>
          <w:szCs w:val="32"/>
        </w:rPr>
        <w:t>），占比在1</w:t>
      </w:r>
      <w:r>
        <w:rPr>
          <w:rFonts w:ascii="仿宋" w:eastAsia="仿宋" w:hAnsi="仿宋" w:cs="仿宋"/>
          <w:color w:val="1C1C1C"/>
          <w:sz w:val="32"/>
          <w:szCs w:val="32"/>
        </w:rPr>
        <w:t>0%</w:t>
      </w:r>
      <w:r>
        <w:rPr>
          <w:rFonts w:ascii="仿宋" w:eastAsia="仿宋" w:hAnsi="仿宋" w:cs="仿宋" w:hint="eastAsia"/>
          <w:color w:val="1C1C1C"/>
          <w:sz w:val="32"/>
          <w:szCs w:val="32"/>
        </w:rPr>
        <w:t>以上；而“金融保险理财类”（9</w:t>
      </w:r>
      <w:r>
        <w:rPr>
          <w:rFonts w:ascii="仿宋" w:eastAsia="仿宋" w:hAnsi="仿宋" w:cs="仿宋"/>
          <w:color w:val="1C1C1C"/>
          <w:sz w:val="32"/>
          <w:szCs w:val="32"/>
        </w:rPr>
        <w:t>.7%</w:t>
      </w:r>
      <w:r>
        <w:rPr>
          <w:rFonts w:ascii="仿宋" w:eastAsia="仿宋" w:hAnsi="仿宋" w:cs="仿宋" w:hint="eastAsia"/>
          <w:color w:val="1C1C1C"/>
          <w:sz w:val="32"/>
          <w:szCs w:val="32"/>
        </w:rPr>
        <w:t>）、“文体娱乐等服务消费类”（8</w:t>
      </w:r>
      <w:r>
        <w:rPr>
          <w:rFonts w:ascii="仿宋" w:eastAsia="仿宋" w:hAnsi="仿宋" w:cs="仿宋"/>
          <w:color w:val="1C1C1C"/>
          <w:sz w:val="32"/>
          <w:szCs w:val="32"/>
        </w:rPr>
        <w:t>.2%</w:t>
      </w:r>
      <w:r>
        <w:rPr>
          <w:rFonts w:ascii="仿宋" w:eastAsia="仿宋" w:hAnsi="仿宋" w:cs="仿宋" w:hint="eastAsia"/>
          <w:color w:val="1C1C1C"/>
          <w:sz w:val="32"/>
          <w:szCs w:val="32"/>
        </w:rPr>
        <w:t>）、“旅游服务类”（6</w:t>
      </w:r>
      <w:r>
        <w:rPr>
          <w:rFonts w:ascii="仿宋" w:eastAsia="仿宋" w:hAnsi="仿宋" w:cs="仿宋"/>
          <w:color w:val="1C1C1C"/>
          <w:sz w:val="32"/>
          <w:szCs w:val="32"/>
        </w:rPr>
        <w:t>.5%</w:t>
      </w:r>
      <w:r>
        <w:rPr>
          <w:rFonts w:ascii="仿宋" w:eastAsia="仿宋" w:hAnsi="仿宋" w:cs="仿宋" w:hint="eastAsia"/>
          <w:color w:val="1C1C1C"/>
          <w:sz w:val="32"/>
          <w:szCs w:val="32"/>
        </w:rPr>
        <w:t>）、“家居家装类”（6</w:t>
      </w:r>
      <w:r>
        <w:rPr>
          <w:rFonts w:ascii="仿宋" w:eastAsia="仿宋" w:hAnsi="仿宋" w:cs="仿宋"/>
          <w:color w:val="1C1C1C"/>
          <w:sz w:val="32"/>
          <w:szCs w:val="32"/>
        </w:rPr>
        <w:t>.2%</w:t>
      </w:r>
      <w:r>
        <w:rPr>
          <w:rFonts w:ascii="仿宋" w:eastAsia="仿宋" w:hAnsi="仿宋" w:cs="仿宋" w:hint="eastAsia"/>
          <w:color w:val="1C1C1C"/>
          <w:sz w:val="32"/>
          <w:szCs w:val="32"/>
        </w:rPr>
        <w:t>）、“交通出行类”（6</w:t>
      </w:r>
      <w:r>
        <w:rPr>
          <w:rFonts w:ascii="仿宋" w:eastAsia="仿宋" w:hAnsi="仿宋" w:cs="仿宋"/>
          <w:color w:val="1C1C1C"/>
          <w:sz w:val="32"/>
          <w:szCs w:val="32"/>
        </w:rPr>
        <w:t>.1%</w:t>
      </w:r>
      <w:r>
        <w:rPr>
          <w:rFonts w:ascii="仿宋" w:eastAsia="仿宋" w:hAnsi="仿宋" w:cs="仿宋" w:hint="eastAsia"/>
          <w:color w:val="1C1C1C"/>
          <w:sz w:val="32"/>
          <w:szCs w:val="32"/>
        </w:rPr>
        <w:t>）、“中介服务类”（5</w:t>
      </w:r>
      <w:r>
        <w:rPr>
          <w:rFonts w:ascii="仿宋" w:eastAsia="仿宋" w:hAnsi="仿宋" w:cs="仿宋"/>
          <w:color w:val="1C1C1C"/>
          <w:sz w:val="32"/>
          <w:szCs w:val="32"/>
        </w:rPr>
        <w:t>.8%</w:t>
      </w:r>
      <w:r>
        <w:rPr>
          <w:rFonts w:ascii="仿宋" w:eastAsia="仿宋" w:hAnsi="仿宋" w:cs="仿宋" w:hint="eastAsia"/>
          <w:color w:val="1C1C1C"/>
          <w:sz w:val="32"/>
          <w:szCs w:val="32"/>
        </w:rPr>
        <w:t>）、“家政服务类”（5</w:t>
      </w:r>
      <w:r>
        <w:rPr>
          <w:rFonts w:ascii="仿宋" w:eastAsia="仿宋" w:hAnsi="仿宋" w:cs="仿宋"/>
          <w:color w:val="1C1C1C"/>
          <w:sz w:val="32"/>
          <w:szCs w:val="32"/>
        </w:rPr>
        <w:t>.7%</w:t>
      </w:r>
      <w:r>
        <w:rPr>
          <w:rFonts w:ascii="仿宋" w:eastAsia="仿宋" w:hAnsi="仿宋" w:cs="仿宋" w:hint="eastAsia"/>
          <w:color w:val="1C1C1C"/>
          <w:sz w:val="32"/>
          <w:szCs w:val="32"/>
        </w:rPr>
        <w:t>）、“宠物及宠物用品类”（5</w:t>
      </w:r>
      <w:r>
        <w:rPr>
          <w:rFonts w:ascii="仿宋" w:eastAsia="仿宋" w:hAnsi="仿宋" w:cs="仿宋"/>
          <w:color w:val="1C1C1C"/>
          <w:sz w:val="32"/>
          <w:szCs w:val="32"/>
        </w:rPr>
        <w:t>.3%</w:t>
      </w:r>
      <w:r>
        <w:rPr>
          <w:rFonts w:ascii="仿宋" w:eastAsia="仿宋" w:hAnsi="仿宋" w:cs="仿宋" w:hint="eastAsia"/>
          <w:color w:val="1C1C1C"/>
          <w:sz w:val="32"/>
          <w:szCs w:val="32"/>
        </w:rPr>
        <w:t>），占比则在1</w:t>
      </w:r>
      <w:r>
        <w:rPr>
          <w:rFonts w:ascii="仿宋" w:eastAsia="仿宋" w:hAnsi="仿宋" w:cs="仿宋"/>
          <w:color w:val="1C1C1C"/>
          <w:sz w:val="32"/>
          <w:szCs w:val="32"/>
        </w:rPr>
        <w:t>0%</w:t>
      </w:r>
      <w:r>
        <w:rPr>
          <w:rFonts w:ascii="仿宋" w:eastAsia="仿宋" w:hAnsi="仿宋" w:cs="仿宋" w:hint="eastAsia"/>
          <w:color w:val="1C1C1C"/>
          <w:sz w:val="32"/>
          <w:szCs w:val="32"/>
        </w:rPr>
        <w:t>以下。</w:t>
      </w:r>
    </w:p>
    <w:p w:rsidR="002D6C73" w:rsidRDefault="00FB6868">
      <w:pPr>
        <w:jc w:val="center"/>
      </w:pPr>
      <w:r>
        <w:rPr>
          <w:rFonts w:hint="eastAsia"/>
          <w:noProof/>
        </w:rPr>
        <w:drawing>
          <wp:inline distT="0" distB="0" distL="0" distR="0">
            <wp:extent cx="6013450" cy="3319780"/>
            <wp:effectExtent l="0" t="0" r="6350" b="0"/>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6C73" w:rsidRDefault="00FB6868">
      <w:pPr>
        <w:jc w:val="center"/>
        <w:rPr>
          <w:rFonts w:ascii="黑体" w:eastAsia="黑体" w:hAnsi="黑体" w:cs="黑体"/>
          <w:sz w:val="28"/>
          <w:szCs w:val="28"/>
        </w:rPr>
      </w:pPr>
      <w:r>
        <w:rPr>
          <w:rFonts w:ascii="黑体" w:eastAsia="黑体" w:hAnsi="黑体" w:cs="黑体" w:hint="eastAsia"/>
          <w:sz w:val="28"/>
          <w:szCs w:val="28"/>
        </w:rPr>
        <w:t>图</w:t>
      </w:r>
      <w:r>
        <w:rPr>
          <w:rFonts w:ascii="黑体" w:eastAsia="黑体" w:hAnsi="黑体" w:cs="黑体"/>
          <w:sz w:val="28"/>
          <w:szCs w:val="28"/>
        </w:rPr>
        <w:t>8</w:t>
      </w:r>
      <w:r>
        <w:rPr>
          <w:rFonts w:ascii="黑体" w:eastAsia="黑体" w:hAnsi="黑体" w:cs="黑体" w:hint="eastAsia"/>
          <w:sz w:val="28"/>
          <w:szCs w:val="28"/>
        </w:rPr>
        <w:t xml:space="preserve">  哪些类别的商品或服务的价格往往比您预期的价格高（%）</w:t>
      </w:r>
    </w:p>
    <w:p w:rsidR="002D6C73" w:rsidRDefault="00FB6868">
      <w:pPr>
        <w:numPr>
          <w:ilvl w:val="255"/>
          <w:numId w:val="0"/>
        </w:numPr>
        <w:ind w:firstLineChars="200" w:firstLine="643"/>
        <w:jc w:val="both"/>
        <w:rPr>
          <w:rFonts w:ascii="仿宋" w:eastAsia="仿宋" w:hAnsi="仿宋" w:cs="仿宋"/>
          <w:b/>
          <w:bCs/>
          <w:color w:val="1C1C1C"/>
          <w:sz w:val="32"/>
          <w:szCs w:val="32"/>
        </w:rPr>
      </w:pPr>
      <w:r>
        <w:rPr>
          <w:rFonts w:ascii="仿宋" w:eastAsia="仿宋" w:hAnsi="仿宋" w:cs="仿宋" w:hint="eastAsia"/>
          <w:b/>
          <w:bCs/>
          <w:color w:val="1C1C1C"/>
          <w:sz w:val="32"/>
          <w:szCs w:val="32"/>
        </w:rPr>
        <w:t>4.</w:t>
      </w:r>
      <w:proofErr w:type="gramStart"/>
      <w:r>
        <w:rPr>
          <w:rFonts w:ascii="仿宋" w:eastAsia="仿宋" w:hAnsi="仿宋" w:cs="仿宋" w:hint="eastAsia"/>
          <w:b/>
          <w:bCs/>
          <w:color w:val="1C1C1C"/>
          <w:sz w:val="32"/>
          <w:szCs w:val="32"/>
        </w:rPr>
        <w:t>保持区</w:t>
      </w:r>
      <w:proofErr w:type="gramEnd"/>
      <w:r>
        <w:rPr>
          <w:rFonts w:ascii="仿宋" w:eastAsia="仿宋" w:hAnsi="仿宋" w:cs="仿宋" w:hint="eastAsia"/>
          <w:b/>
          <w:bCs/>
          <w:color w:val="1C1C1C"/>
          <w:sz w:val="32"/>
          <w:szCs w:val="32"/>
        </w:rPr>
        <w:t>指标。</w:t>
      </w:r>
      <w:r>
        <w:rPr>
          <w:rFonts w:ascii="仿宋" w:eastAsia="仿宋" w:hAnsi="仿宋" w:cs="仿宋" w:hint="eastAsia"/>
          <w:bCs/>
          <w:color w:val="1C1C1C"/>
          <w:sz w:val="32"/>
          <w:szCs w:val="32"/>
        </w:rPr>
        <w:t>“公共基础设施完善”、“替代产品丰富性”、“物流便利”、“维权效率”、“维权结果”、“维权渠道”、“种类丰富性”、“舒适性”、“货品真实”、</w:t>
      </w:r>
      <w:r>
        <w:rPr>
          <w:rFonts w:ascii="仿宋" w:eastAsia="仿宋" w:hAnsi="仿宋" w:cs="仿宋" w:hint="eastAsia"/>
          <w:bCs/>
          <w:color w:val="1C1C1C"/>
          <w:sz w:val="32"/>
          <w:szCs w:val="32"/>
        </w:rPr>
        <w:lastRenderedPageBreak/>
        <w:t>“明码标价”这</w:t>
      </w:r>
      <w:r>
        <w:rPr>
          <w:rFonts w:ascii="仿宋" w:eastAsia="仿宋" w:hAnsi="仿宋" w:cs="仿宋"/>
          <w:bCs/>
          <w:color w:val="1C1C1C"/>
          <w:sz w:val="32"/>
          <w:szCs w:val="32"/>
        </w:rPr>
        <w:t>10</w:t>
      </w:r>
      <w:r>
        <w:rPr>
          <w:rFonts w:ascii="仿宋" w:eastAsia="仿宋" w:hAnsi="仿宋" w:cs="仿宋" w:hint="eastAsia"/>
          <w:bCs/>
          <w:color w:val="1C1C1C"/>
          <w:sz w:val="32"/>
          <w:szCs w:val="32"/>
        </w:rPr>
        <w:t>个</w:t>
      </w:r>
      <w:r>
        <w:rPr>
          <w:rFonts w:ascii="仿宋" w:eastAsia="仿宋" w:hAnsi="仿宋" w:cs="仿宋" w:hint="eastAsia"/>
          <w:color w:val="1C1C1C"/>
          <w:sz w:val="32"/>
          <w:szCs w:val="32"/>
        </w:rPr>
        <w:t>指标处于该区域，这些指标的重要性较低，但满意</w:t>
      </w:r>
      <w:proofErr w:type="gramStart"/>
      <w:r>
        <w:rPr>
          <w:rFonts w:ascii="仿宋" w:eastAsia="仿宋" w:hAnsi="仿宋" w:cs="仿宋" w:hint="eastAsia"/>
          <w:color w:val="1C1C1C"/>
          <w:sz w:val="32"/>
          <w:szCs w:val="32"/>
        </w:rPr>
        <w:t>度表现</w:t>
      </w:r>
      <w:proofErr w:type="gramEnd"/>
      <w:r>
        <w:rPr>
          <w:rFonts w:ascii="仿宋" w:eastAsia="仿宋" w:hAnsi="仿宋" w:cs="仿宋" w:hint="eastAsia"/>
          <w:color w:val="1C1C1C"/>
          <w:sz w:val="32"/>
          <w:szCs w:val="32"/>
        </w:rPr>
        <w:t>较好，今后需要继续保持。</w:t>
      </w:r>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其中，关于消费维权情况，调查结果显示，</w:t>
      </w:r>
      <w:r>
        <w:rPr>
          <w:rFonts w:ascii="仿宋" w:eastAsia="仿宋" w:hAnsi="仿宋" w:cs="仿宋"/>
          <w:color w:val="1C1C1C"/>
          <w:sz w:val="32"/>
          <w:szCs w:val="32"/>
        </w:rPr>
        <w:t xml:space="preserve"> 20.62%</w:t>
      </w:r>
      <w:r>
        <w:rPr>
          <w:rFonts w:ascii="仿宋" w:eastAsia="仿宋" w:hAnsi="仿宋" w:cs="仿宋" w:hint="eastAsia"/>
          <w:color w:val="1C1C1C"/>
          <w:sz w:val="32"/>
          <w:szCs w:val="32"/>
        </w:rPr>
        <w:t>的受访者表示遇到过问题且投诉过，然而有</w:t>
      </w:r>
      <w:r>
        <w:rPr>
          <w:rFonts w:ascii="仿宋" w:eastAsia="仿宋" w:hAnsi="仿宋" w:cs="仿宋"/>
          <w:color w:val="1C1C1C"/>
          <w:sz w:val="32"/>
          <w:szCs w:val="32"/>
        </w:rPr>
        <w:t>26.41%</w:t>
      </w:r>
      <w:r>
        <w:rPr>
          <w:rFonts w:ascii="仿宋" w:eastAsia="仿宋" w:hAnsi="仿宋" w:cs="仿宋" w:hint="eastAsia"/>
          <w:color w:val="1C1C1C"/>
          <w:sz w:val="32"/>
          <w:szCs w:val="32"/>
        </w:rPr>
        <w:t>的受访者表示，遇到过问题但没有投诉，未投诉比例高于投诉比例。消费者选择“向经营者投诉”的比例最高，达</w:t>
      </w:r>
      <w:r>
        <w:rPr>
          <w:rFonts w:ascii="仿宋" w:eastAsia="仿宋" w:hAnsi="仿宋" w:cs="仿宋"/>
          <w:color w:val="1C1C1C"/>
          <w:sz w:val="32"/>
          <w:szCs w:val="32"/>
        </w:rPr>
        <w:t>58.4</w:t>
      </w:r>
      <w:r>
        <w:rPr>
          <w:rFonts w:ascii="仿宋" w:eastAsia="仿宋" w:hAnsi="仿宋" w:cs="仿宋" w:hint="eastAsia"/>
          <w:color w:val="1C1C1C"/>
          <w:sz w:val="32"/>
          <w:szCs w:val="32"/>
        </w:rPr>
        <w:t>%，其次是“向消协等消费者权益保护组织投诉”（</w:t>
      </w:r>
      <w:r>
        <w:rPr>
          <w:rFonts w:ascii="仿宋" w:eastAsia="仿宋" w:hAnsi="仿宋" w:cs="仿宋"/>
          <w:color w:val="1C1C1C"/>
          <w:sz w:val="32"/>
          <w:szCs w:val="32"/>
        </w:rPr>
        <w:t>56.1</w:t>
      </w:r>
      <w:r>
        <w:rPr>
          <w:rFonts w:ascii="仿宋" w:eastAsia="仿宋" w:hAnsi="仿宋" w:cs="仿宋" w:hint="eastAsia"/>
          <w:color w:val="1C1C1C"/>
          <w:sz w:val="32"/>
          <w:szCs w:val="32"/>
        </w:rPr>
        <w:t>%），再次是“向有关行政部门投诉”（2</w:t>
      </w:r>
      <w:r>
        <w:rPr>
          <w:rFonts w:ascii="仿宋" w:eastAsia="仿宋" w:hAnsi="仿宋" w:cs="仿宋"/>
          <w:color w:val="1C1C1C"/>
          <w:sz w:val="32"/>
          <w:szCs w:val="32"/>
        </w:rPr>
        <w:t>7.3</w:t>
      </w:r>
      <w:r>
        <w:rPr>
          <w:rFonts w:ascii="仿宋" w:eastAsia="仿宋" w:hAnsi="仿宋" w:cs="仿宋" w:hint="eastAsia"/>
          <w:color w:val="1C1C1C"/>
          <w:sz w:val="32"/>
          <w:szCs w:val="32"/>
        </w:rPr>
        <w:t>%）。数据结果显示，消费者最终选择“向仲裁机构申请仲裁”（</w:t>
      </w:r>
      <w:r>
        <w:rPr>
          <w:rFonts w:ascii="仿宋" w:eastAsia="仿宋" w:hAnsi="仿宋" w:cs="仿宋"/>
          <w:color w:val="1C1C1C"/>
          <w:sz w:val="32"/>
          <w:szCs w:val="32"/>
        </w:rPr>
        <w:t>8.9</w:t>
      </w:r>
      <w:r>
        <w:rPr>
          <w:rFonts w:ascii="仿宋" w:eastAsia="仿宋" w:hAnsi="仿宋" w:cs="仿宋" w:hint="eastAsia"/>
          <w:color w:val="1C1C1C"/>
          <w:sz w:val="32"/>
          <w:szCs w:val="32"/>
        </w:rPr>
        <w:t>%）和“向法院提起诉讼”（</w:t>
      </w:r>
      <w:r>
        <w:rPr>
          <w:rFonts w:ascii="仿宋" w:eastAsia="仿宋" w:hAnsi="仿宋" w:cs="仿宋"/>
          <w:color w:val="1C1C1C"/>
          <w:sz w:val="32"/>
          <w:szCs w:val="32"/>
        </w:rPr>
        <w:t>3.2</w:t>
      </w:r>
      <w:r>
        <w:rPr>
          <w:rFonts w:ascii="仿宋" w:eastAsia="仿宋" w:hAnsi="仿宋" w:cs="仿宋" w:hint="eastAsia"/>
          <w:color w:val="1C1C1C"/>
          <w:sz w:val="32"/>
          <w:szCs w:val="32"/>
        </w:rPr>
        <w:t>%）等的行为总体占比较低。</w:t>
      </w:r>
    </w:p>
    <w:p w:rsidR="002D6C73" w:rsidRDefault="002D6C73">
      <w:pPr>
        <w:jc w:val="center"/>
      </w:pPr>
    </w:p>
    <w:p w:rsidR="002D6C73" w:rsidRDefault="00FB6868">
      <w:pPr>
        <w:jc w:val="center"/>
      </w:pPr>
      <w:r>
        <w:rPr>
          <w:rFonts w:hint="eastAsia"/>
          <w:noProof/>
        </w:rPr>
        <w:drawing>
          <wp:inline distT="0" distB="0" distL="0" distR="0">
            <wp:extent cx="4346575" cy="2338705"/>
            <wp:effectExtent l="0" t="0" r="15875" b="4445"/>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6C73" w:rsidRDefault="00FB6868">
      <w:pPr>
        <w:jc w:val="center"/>
      </w:pPr>
      <w:r>
        <w:rPr>
          <w:rFonts w:ascii="黑体" w:eastAsia="黑体" w:hAnsi="黑体" w:cs="黑体" w:hint="eastAsia"/>
          <w:sz w:val="28"/>
          <w:szCs w:val="28"/>
        </w:rPr>
        <w:t>图</w:t>
      </w:r>
      <w:r>
        <w:rPr>
          <w:rFonts w:ascii="黑体" w:eastAsia="黑体" w:hAnsi="黑体" w:cs="黑体"/>
          <w:sz w:val="28"/>
          <w:szCs w:val="28"/>
        </w:rPr>
        <w:t>9</w:t>
      </w:r>
      <w:r>
        <w:rPr>
          <w:rFonts w:ascii="黑体" w:eastAsia="黑体" w:hAnsi="黑体" w:cs="黑体" w:hint="eastAsia"/>
          <w:sz w:val="28"/>
          <w:szCs w:val="28"/>
        </w:rPr>
        <w:t xml:space="preserve">  投诉渠道选择（%）</w:t>
      </w:r>
    </w:p>
    <w:p w:rsidR="002D6C73" w:rsidRDefault="00FB6868">
      <w:pPr>
        <w:spacing w:line="560" w:lineRule="exact"/>
        <w:ind w:firstLineChars="200" w:firstLine="640"/>
        <w:jc w:val="both"/>
        <w:rPr>
          <w:rFonts w:ascii="仿宋" w:eastAsia="仿宋" w:hAnsi="仿宋" w:cs="仿宋"/>
          <w:color w:val="1C1C1C"/>
          <w:spacing w:val="-2"/>
          <w:sz w:val="32"/>
          <w:szCs w:val="32"/>
        </w:rPr>
      </w:pPr>
      <w:r>
        <w:rPr>
          <w:rFonts w:ascii="仿宋" w:eastAsia="仿宋" w:hAnsi="仿宋" w:cs="仿宋" w:hint="eastAsia"/>
          <w:color w:val="1C1C1C"/>
          <w:sz w:val="32"/>
          <w:szCs w:val="32"/>
        </w:rPr>
        <w:t>受访者之所以遇到问题而没有投诉的原因依次为：“损失比较小，就算了”（5</w:t>
      </w:r>
      <w:r>
        <w:rPr>
          <w:rFonts w:ascii="仿宋" w:eastAsia="仿宋" w:hAnsi="仿宋" w:cs="仿宋"/>
          <w:color w:val="1C1C1C"/>
          <w:sz w:val="32"/>
          <w:szCs w:val="32"/>
        </w:rPr>
        <w:t>0.3</w:t>
      </w:r>
      <w:r>
        <w:rPr>
          <w:rFonts w:ascii="仿宋" w:eastAsia="仿宋" w:hAnsi="仿宋" w:cs="仿宋" w:hint="eastAsia"/>
          <w:color w:val="1C1C1C"/>
          <w:sz w:val="32"/>
          <w:szCs w:val="32"/>
        </w:rPr>
        <w:t>%）、“感觉投诉也没有什么用”（4</w:t>
      </w:r>
      <w:r>
        <w:rPr>
          <w:rFonts w:ascii="仿宋" w:eastAsia="仿宋" w:hAnsi="仿宋" w:cs="仿宋"/>
          <w:color w:val="1C1C1C"/>
          <w:sz w:val="32"/>
          <w:szCs w:val="32"/>
        </w:rPr>
        <w:t>8.2</w:t>
      </w:r>
      <w:r>
        <w:rPr>
          <w:rFonts w:ascii="仿宋" w:eastAsia="仿宋" w:hAnsi="仿宋" w:cs="仿宋" w:hint="eastAsia"/>
          <w:color w:val="1C1C1C"/>
          <w:sz w:val="32"/>
          <w:szCs w:val="32"/>
        </w:rPr>
        <w:t>%）、“认为流程可能会比较复杂或花时间”（</w:t>
      </w:r>
      <w:r>
        <w:rPr>
          <w:rFonts w:ascii="仿宋" w:eastAsia="仿宋" w:hAnsi="仿宋" w:cs="仿宋"/>
          <w:color w:val="1C1C1C"/>
          <w:sz w:val="32"/>
          <w:szCs w:val="32"/>
        </w:rPr>
        <w:t>44.1</w:t>
      </w:r>
      <w:r>
        <w:rPr>
          <w:rFonts w:ascii="仿宋" w:eastAsia="仿宋" w:hAnsi="仿宋" w:cs="仿宋" w:hint="eastAsia"/>
          <w:color w:val="1C1C1C"/>
          <w:sz w:val="32"/>
          <w:szCs w:val="32"/>
        </w:rPr>
        <w:t>%）、和“不知道去</w:t>
      </w:r>
      <w:r>
        <w:rPr>
          <w:rFonts w:ascii="仿宋" w:eastAsia="仿宋" w:hAnsi="仿宋" w:cs="仿宋" w:hint="eastAsia"/>
          <w:color w:val="1C1C1C"/>
          <w:spacing w:val="-2"/>
          <w:sz w:val="32"/>
          <w:szCs w:val="32"/>
        </w:rPr>
        <w:t>哪投诉”（</w:t>
      </w:r>
      <w:r>
        <w:rPr>
          <w:rFonts w:ascii="仿宋" w:eastAsia="仿宋" w:hAnsi="仿宋" w:cs="仿宋"/>
          <w:color w:val="1C1C1C"/>
          <w:spacing w:val="-2"/>
          <w:sz w:val="32"/>
          <w:szCs w:val="32"/>
        </w:rPr>
        <w:t>35.6</w:t>
      </w:r>
      <w:r>
        <w:rPr>
          <w:rFonts w:ascii="仿宋" w:eastAsia="仿宋" w:hAnsi="仿宋" w:cs="仿宋" w:hint="eastAsia"/>
          <w:color w:val="1C1C1C"/>
          <w:spacing w:val="-2"/>
          <w:sz w:val="32"/>
          <w:szCs w:val="32"/>
        </w:rPr>
        <w:t>%），这四项原因的占比均超过了30%； “当时没有意识到自己的权益受到侵害”（1</w:t>
      </w:r>
      <w:r>
        <w:rPr>
          <w:rFonts w:ascii="仿宋" w:eastAsia="仿宋" w:hAnsi="仿宋" w:cs="仿宋"/>
          <w:color w:val="1C1C1C"/>
          <w:spacing w:val="-2"/>
          <w:sz w:val="32"/>
          <w:szCs w:val="32"/>
        </w:rPr>
        <w:t>7</w:t>
      </w:r>
      <w:r>
        <w:rPr>
          <w:rFonts w:ascii="仿宋" w:eastAsia="仿宋" w:hAnsi="仿宋" w:cs="仿宋" w:hint="eastAsia"/>
          <w:color w:val="1C1C1C"/>
          <w:spacing w:val="-2"/>
          <w:sz w:val="32"/>
          <w:szCs w:val="32"/>
        </w:rPr>
        <w:t>%）、</w:t>
      </w:r>
      <w:r>
        <w:rPr>
          <w:rFonts w:ascii="仿宋" w:eastAsia="仿宋" w:hAnsi="仿宋" w:cs="仿宋" w:hint="eastAsia"/>
          <w:color w:val="1C1C1C"/>
          <w:spacing w:val="-2"/>
          <w:sz w:val="32"/>
          <w:szCs w:val="32"/>
        </w:rPr>
        <w:lastRenderedPageBreak/>
        <w:t>“投诉影响消费的心情”（</w:t>
      </w:r>
      <w:r>
        <w:rPr>
          <w:rFonts w:ascii="仿宋" w:eastAsia="仿宋" w:hAnsi="仿宋" w:cs="仿宋"/>
          <w:color w:val="1C1C1C"/>
          <w:spacing w:val="-2"/>
          <w:sz w:val="32"/>
          <w:szCs w:val="32"/>
        </w:rPr>
        <w:t>12</w:t>
      </w:r>
      <w:r>
        <w:rPr>
          <w:rFonts w:ascii="仿宋" w:eastAsia="仿宋" w:hAnsi="仿宋" w:cs="仿宋" w:hint="eastAsia"/>
          <w:color w:val="1C1C1C"/>
          <w:spacing w:val="-2"/>
          <w:sz w:val="32"/>
          <w:szCs w:val="32"/>
        </w:rPr>
        <w:t>.</w:t>
      </w:r>
      <w:r>
        <w:rPr>
          <w:rFonts w:ascii="仿宋" w:eastAsia="仿宋" w:hAnsi="仿宋" w:cs="仿宋"/>
          <w:color w:val="1C1C1C"/>
          <w:spacing w:val="-2"/>
          <w:sz w:val="32"/>
          <w:szCs w:val="32"/>
        </w:rPr>
        <w:t>4</w:t>
      </w:r>
      <w:r>
        <w:rPr>
          <w:rFonts w:ascii="仿宋" w:eastAsia="仿宋" w:hAnsi="仿宋" w:cs="仿宋" w:hint="eastAsia"/>
          <w:color w:val="1C1C1C"/>
          <w:spacing w:val="-2"/>
          <w:sz w:val="32"/>
          <w:szCs w:val="32"/>
        </w:rPr>
        <w:t>%）、“害怕投诉后遭到报复或其他不良影响”（</w:t>
      </w:r>
      <w:r>
        <w:rPr>
          <w:rFonts w:ascii="仿宋" w:eastAsia="仿宋" w:hAnsi="仿宋" w:cs="仿宋"/>
          <w:color w:val="1C1C1C"/>
          <w:spacing w:val="-2"/>
          <w:sz w:val="32"/>
          <w:szCs w:val="32"/>
        </w:rPr>
        <w:t>11</w:t>
      </w:r>
      <w:r>
        <w:rPr>
          <w:rFonts w:ascii="仿宋" w:eastAsia="仿宋" w:hAnsi="仿宋" w:cs="仿宋" w:hint="eastAsia"/>
          <w:color w:val="1C1C1C"/>
          <w:spacing w:val="-2"/>
          <w:sz w:val="32"/>
          <w:szCs w:val="32"/>
        </w:rPr>
        <w:t>%）等也占有了部分比例。</w:t>
      </w:r>
    </w:p>
    <w:p w:rsidR="002D6C73" w:rsidRDefault="00FB6868">
      <w:pPr>
        <w:jc w:val="center"/>
      </w:pPr>
      <w:r>
        <w:rPr>
          <w:rFonts w:hint="eastAsia"/>
          <w:noProof/>
        </w:rPr>
        <w:drawing>
          <wp:inline distT="0" distB="0" distL="0" distR="0">
            <wp:extent cx="5985510" cy="2741930"/>
            <wp:effectExtent l="0" t="0" r="15240" b="1270"/>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6C73" w:rsidRDefault="00FB6868">
      <w:pPr>
        <w:jc w:val="center"/>
        <w:rPr>
          <w:rFonts w:ascii="黑体" w:eastAsia="黑体" w:hAnsi="黑体" w:cs="黑体"/>
          <w:sz w:val="28"/>
          <w:szCs w:val="28"/>
        </w:rPr>
      </w:pPr>
      <w:r>
        <w:rPr>
          <w:rFonts w:ascii="黑体" w:eastAsia="黑体" w:hAnsi="黑体" w:cs="黑体" w:hint="eastAsia"/>
          <w:sz w:val="28"/>
          <w:szCs w:val="28"/>
        </w:rPr>
        <w:t>图</w:t>
      </w:r>
      <w:r>
        <w:rPr>
          <w:rFonts w:ascii="黑体" w:eastAsia="黑体" w:hAnsi="黑体" w:cs="黑体"/>
          <w:sz w:val="28"/>
          <w:szCs w:val="28"/>
        </w:rPr>
        <w:t>10</w:t>
      </w:r>
      <w:r>
        <w:rPr>
          <w:rFonts w:ascii="黑体" w:eastAsia="黑体" w:hAnsi="黑体" w:cs="黑体" w:hint="eastAsia"/>
          <w:sz w:val="28"/>
          <w:szCs w:val="28"/>
        </w:rPr>
        <w:t xml:space="preserve">  遇到过问题没有投诉的原因（%）</w:t>
      </w:r>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与</w:t>
      </w:r>
      <w:r>
        <w:rPr>
          <w:rFonts w:ascii="仿宋" w:eastAsia="仿宋" w:hAnsi="仿宋" w:cs="仿宋"/>
          <w:color w:val="1C1C1C"/>
          <w:sz w:val="32"/>
          <w:szCs w:val="32"/>
        </w:rPr>
        <w:t>2020</w:t>
      </w:r>
      <w:r>
        <w:rPr>
          <w:rFonts w:ascii="仿宋" w:eastAsia="仿宋" w:hAnsi="仿宋" w:cs="仿宋" w:hint="eastAsia"/>
          <w:color w:val="1C1C1C"/>
          <w:sz w:val="32"/>
          <w:szCs w:val="32"/>
        </w:rPr>
        <w:t>年相比，各项三级指标</w:t>
      </w:r>
      <w:proofErr w:type="gramStart"/>
      <w:r>
        <w:rPr>
          <w:rFonts w:ascii="仿宋" w:eastAsia="仿宋" w:hAnsi="仿宋" w:cs="仿宋" w:hint="eastAsia"/>
          <w:color w:val="1C1C1C"/>
          <w:sz w:val="32"/>
          <w:szCs w:val="32"/>
        </w:rPr>
        <w:t>的优改分布</w:t>
      </w:r>
      <w:proofErr w:type="gramEnd"/>
      <w:r>
        <w:rPr>
          <w:rFonts w:ascii="仿宋" w:eastAsia="仿宋" w:hAnsi="仿宋" w:cs="仿宋" w:hint="eastAsia"/>
          <w:color w:val="1C1C1C"/>
          <w:sz w:val="32"/>
          <w:szCs w:val="32"/>
        </w:rPr>
        <w:t>主要呈现如下特征：</w:t>
      </w:r>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一是优势区的部分指标</w:t>
      </w:r>
      <w:proofErr w:type="gramStart"/>
      <w:r>
        <w:rPr>
          <w:rFonts w:ascii="仿宋" w:eastAsia="仿宋" w:hAnsi="仿宋" w:cs="仿宋" w:hint="eastAsia"/>
          <w:color w:val="1C1C1C"/>
          <w:sz w:val="32"/>
          <w:szCs w:val="32"/>
        </w:rPr>
        <w:t>向优改区</w:t>
      </w:r>
      <w:proofErr w:type="gramEnd"/>
      <w:r>
        <w:rPr>
          <w:rFonts w:ascii="仿宋" w:eastAsia="仿宋" w:hAnsi="仿宋" w:cs="仿宋" w:hint="eastAsia"/>
          <w:color w:val="1C1C1C"/>
          <w:sz w:val="32"/>
          <w:szCs w:val="32"/>
        </w:rPr>
        <w:t>滑落。优势区的“商家信任度”、“售后保障”两个指标进入</w:t>
      </w:r>
      <w:proofErr w:type="gramStart"/>
      <w:r>
        <w:rPr>
          <w:rFonts w:ascii="仿宋" w:eastAsia="仿宋" w:hAnsi="仿宋" w:cs="仿宋" w:hint="eastAsia"/>
          <w:color w:val="1C1C1C"/>
          <w:sz w:val="32"/>
          <w:szCs w:val="32"/>
        </w:rPr>
        <w:t>了优改区</w:t>
      </w:r>
      <w:proofErr w:type="gramEnd"/>
      <w:r>
        <w:rPr>
          <w:rFonts w:ascii="仿宋" w:eastAsia="仿宋" w:hAnsi="仿宋" w:cs="仿宋" w:hint="eastAsia"/>
          <w:color w:val="1C1C1C"/>
          <w:sz w:val="32"/>
          <w:szCs w:val="32"/>
        </w:rPr>
        <w:t>，这两个指标得分虽然有微弱升高，但随着今年三级指标分数整体提升，这两个指标未能跟上集体的步伐，相对有所退步。</w:t>
      </w:r>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二是“消费维权”类指标的表现大幅提升。一级指标“消费维权”下属的三个指标“维权效率”、“维权渠道”、“维权结果”从</w:t>
      </w:r>
      <w:proofErr w:type="gramStart"/>
      <w:r>
        <w:rPr>
          <w:rFonts w:ascii="仿宋" w:eastAsia="仿宋" w:hAnsi="仿宋" w:cs="仿宋" w:hint="eastAsia"/>
          <w:color w:val="1C1C1C"/>
          <w:sz w:val="32"/>
          <w:szCs w:val="32"/>
        </w:rPr>
        <w:t>次改区上升</w:t>
      </w:r>
      <w:proofErr w:type="gramEnd"/>
      <w:r>
        <w:rPr>
          <w:rFonts w:ascii="仿宋" w:eastAsia="仿宋" w:hAnsi="仿宋" w:cs="仿宋" w:hint="eastAsia"/>
          <w:color w:val="1C1C1C"/>
          <w:sz w:val="32"/>
          <w:szCs w:val="32"/>
        </w:rPr>
        <w:t>到了保持区，表明这些指标虽然权重不大，但是得分表现非常亮眼。需要引起注意的是，“分布合理”从</w:t>
      </w:r>
      <w:proofErr w:type="gramStart"/>
      <w:r>
        <w:rPr>
          <w:rFonts w:ascii="仿宋" w:eastAsia="仿宋" w:hAnsi="仿宋" w:cs="仿宋" w:hint="eastAsia"/>
          <w:color w:val="1C1C1C"/>
          <w:sz w:val="32"/>
          <w:szCs w:val="32"/>
        </w:rPr>
        <w:t>保持区降落</w:t>
      </w:r>
      <w:proofErr w:type="gramEnd"/>
      <w:r>
        <w:rPr>
          <w:rFonts w:ascii="仿宋" w:eastAsia="仿宋" w:hAnsi="仿宋" w:cs="仿宋" w:hint="eastAsia"/>
          <w:color w:val="1C1C1C"/>
          <w:sz w:val="32"/>
          <w:szCs w:val="32"/>
        </w:rPr>
        <w:t>到</w:t>
      </w:r>
      <w:proofErr w:type="gramStart"/>
      <w:r>
        <w:rPr>
          <w:rFonts w:ascii="仿宋" w:eastAsia="仿宋" w:hAnsi="仿宋" w:cs="仿宋" w:hint="eastAsia"/>
          <w:color w:val="1C1C1C"/>
          <w:sz w:val="32"/>
          <w:szCs w:val="32"/>
        </w:rPr>
        <w:t>了次改</w:t>
      </w:r>
      <w:proofErr w:type="gramEnd"/>
      <w:r>
        <w:rPr>
          <w:rFonts w:ascii="仿宋" w:eastAsia="仿宋" w:hAnsi="仿宋" w:cs="仿宋" w:hint="eastAsia"/>
          <w:color w:val="1C1C1C"/>
          <w:sz w:val="32"/>
          <w:szCs w:val="32"/>
        </w:rPr>
        <w:t>区，得分下降幅度也较大。</w:t>
      </w:r>
    </w:p>
    <w:p w:rsidR="002D6C73" w:rsidRDefault="002D6C73">
      <w:pPr>
        <w:jc w:val="both"/>
        <w:sectPr w:rsidR="002D6C73">
          <w:pgSz w:w="11906" w:h="16838"/>
          <w:pgMar w:top="1440" w:right="1800" w:bottom="1440" w:left="1800" w:header="851" w:footer="992" w:gutter="0"/>
          <w:pgNumType w:fmt="numberInDash"/>
          <w:cols w:space="425"/>
          <w:docGrid w:type="lines" w:linePitch="312"/>
        </w:sectPr>
      </w:pPr>
    </w:p>
    <w:p w:rsidR="002D6C73" w:rsidRDefault="00FB6868">
      <w:pPr>
        <w:jc w:val="center"/>
      </w:pPr>
      <w:r>
        <w:lastRenderedPageBreak/>
        <w:t xml:space="preserve">    </w:t>
      </w:r>
    </w:p>
    <w:p w:rsidR="002D6C73" w:rsidRDefault="00FB6868">
      <w:pPr>
        <w:jc w:val="center"/>
      </w:pPr>
      <w:r>
        <w:rPr>
          <w:noProof/>
        </w:rPr>
        <mc:AlternateContent>
          <mc:Choice Requires="wpg">
            <w:drawing>
              <wp:anchor distT="0" distB="0" distL="114300" distR="114300" simplePos="0" relativeHeight="251681792" behindDoc="0" locked="0" layoutInCell="1" allowOverlap="1">
                <wp:simplePos x="0" y="0"/>
                <wp:positionH relativeFrom="column">
                  <wp:posOffset>-97155</wp:posOffset>
                </wp:positionH>
                <wp:positionV relativeFrom="paragraph">
                  <wp:posOffset>4305935</wp:posOffset>
                </wp:positionV>
                <wp:extent cx="1948180" cy="520700"/>
                <wp:effectExtent l="0" t="0" r="0" b="0"/>
                <wp:wrapNone/>
                <wp:docPr id="73" name="组合 1"/>
                <wp:cNvGraphicFramePr/>
                <a:graphic xmlns:a="http://schemas.openxmlformats.org/drawingml/2006/main">
                  <a:graphicData uri="http://schemas.microsoft.com/office/word/2010/wordprocessingGroup">
                    <wpg:wgp>
                      <wpg:cNvGrpSpPr/>
                      <wpg:grpSpPr>
                        <a:xfrm>
                          <a:off x="0" y="0"/>
                          <a:ext cx="1948069" cy="520505"/>
                          <a:chOff x="1" y="0"/>
                          <a:chExt cx="1948069" cy="453196"/>
                        </a:xfrm>
                      </wpg:grpSpPr>
                      <wps:wsp>
                        <wps:cNvPr id="74" name="矩形 74"/>
                        <wps:cNvSpPr/>
                        <wps:spPr>
                          <a:xfrm>
                            <a:off x="151184" y="230593"/>
                            <a:ext cx="1741210" cy="222603"/>
                          </a:xfrm>
                          <a:prstGeom prst="rect">
                            <a:avLst/>
                          </a:prstGeom>
                        </wps:spPr>
                        <wps:txbx>
                          <w:txbxContent>
                            <w:p w:rsidR="00FB6868" w:rsidRDefault="00FB6868">
                              <w:pPr>
                                <w:pStyle w:val="ae"/>
                                <w:spacing w:beforeAutospacing="0" w:afterAutospacing="0"/>
                              </w:pPr>
                              <w:r>
                                <w:rPr>
                                  <w:rFonts w:asciiTheme="minorHAnsi" w:eastAsiaTheme="minorEastAsia" w:cstheme="minorBidi" w:hint="eastAsia"/>
                                  <w:sz w:val="22"/>
                                  <w:szCs w:val="22"/>
                                </w:rPr>
                                <w:t>空心表示得分下降的指标</w:t>
                              </w:r>
                            </w:p>
                          </w:txbxContent>
                        </wps:txbx>
                        <wps:bodyPr vert="horz" wrap="square" lIns="45720" tIns="45720" rIns="45720" bIns="45720" rtlCol="0" anchor="t" anchorCtr="0">
                          <a:normAutofit/>
                        </wps:bodyPr>
                      </wps:wsp>
                      <pic:pic xmlns:pic="http://schemas.openxmlformats.org/drawingml/2006/picture">
                        <pic:nvPicPr>
                          <pic:cNvPr id="75" name="图片 75"/>
                          <pic:cNvPicPr/>
                        </pic:nvPicPr>
                        <pic:blipFill>
                          <a:blip r:embed="rId21"/>
                          <a:srcRect r="73164" b="23721"/>
                          <a:stretch>
                            <a:fillRect/>
                          </a:stretch>
                        </pic:blipFill>
                        <pic:spPr>
                          <a:xfrm>
                            <a:off x="1" y="48993"/>
                            <a:ext cx="214578" cy="212972"/>
                          </a:xfrm>
                          <a:prstGeom prst="rect">
                            <a:avLst/>
                          </a:prstGeom>
                        </pic:spPr>
                      </pic:pic>
                      <wps:wsp>
                        <wps:cNvPr id="85" name="矩形 85"/>
                        <wps:cNvSpPr/>
                        <wps:spPr>
                          <a:xfrm>
                            <a:off x="151097" y="0"/>
                            <a:ext cx="1796973" cy="270340"/>
                          </a:xfrm>
                          <a:prstGeom prst="rect">
                            <a:avLst/>
                          </a:prstGeom>
                        </wps:spPr>
                        <wps:txbx>
                          <w:txbxContent>
                            <w:p w:rsidR="00FB6868" w:rsidRDefault="00FB6868">
                              <w:pPr>
                                <w:pStyle w:val="ae"/>
                                <w:spacing w:beforeAutospacing="0" w:afterAutospacing="0"/>
                              </w:pPr>
                              <w:r>
                                <w:rPr>
                                  <w:rFonts w:asciiTheme="minorHAnsi" w:eastAsiaTheme="minorEastAsia" w:cstheme="minorBidi" w:hint="eastAsia"/>
                                  <w:sz w:val="22"/>
                                  <w:szCs w:val="22"/>
                                </w:rPr>
                                <w:t>实心表示得分上升的指标</w:t>
                              </w:r>
                            </w:p>
                          </w:txbxContent>
                        </wps:txbx>
                        <wps:bodyPr vert="horz" wrap="square" lIns="45720" tIns="45720" rIns="45720" bIns="45720" rtlCol="0" anchor="t" anchorCtr="0">
                          <a:normAutofit/>
                        </wps:bodyPr>
                      </wps:wsp>
                      <pic:pic xmlns:pic="http://schemas.openxmlformats.org/drawingml/2006/picture">
                        <pic:nvPicPr>
                          <pic:cNvPr id="86" name="图片 86"/>
                          <pic:cNvPicPr/>
                        </pic:nvPicPr>
                        <pic:blipFill>
                          <a:blip r:embed="rId22"/>
                          <a:srcRect l="5374" t="36365" r="75815" b="23019"/>
                          <a:stretch>
                            <a:fillRect/>
                          </a:stretch>
                        </pic:blipFill>
                        <pic:spPr>
                          <a:xfrm>
                            <a:off x="77373" y="336835"/>
                            <a:ext cx="137096" cy="106716"/>
                          </a:xfrm>
                          <a:prstGeom prst="rect">
                            <a:avLst/>
                          </a:prstGeom>
                        </pic:spPr>
                      </pic:pic>
                    </wpg:wgp>
                  </a:graphicData>
                </a:graphic>
              </wp:anchor>
            </w:drawing>
          </mc:Choice>
          <mc:Fallback>
            <w:pict>
              <v:group id="组合 1" o:spid="_x0000_s1026" style="position:absolute;left:0;text-align:left;margin-left:-7.65pt;margin-top:339.05pt;width:153.4pt;height:41pt;z-index:251681792" coordorigin="" coordsize="19480,4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">
                <v:rect id="矩形 74" o:spid="_x0000_s1027" style="position:absolute;left:1511;top:2305;width:1741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" filled="f" stroked="f">
                  <v:textbox inset="3.6pt,,3.6pt">
                    <w:txbxContent>
                      <w:p w:rsidR="00FB6868" w:rsidRDefault="00FB6868">
                        <w:pPr>
                          <w:pStyle w:val="ae"/>
                          <w:spacing w:beforeAutospacing="0" w:afterAutospacing="0"/>
                        </w:pPr>
                        <w:r>
                          <w:rPr>
                            <w:rFonts w:asciiTheme="minorHAnsi" w:eastAsiaTheme="minorEastAsia" w:cstheme="minorBidi" w:hint="eastAsia"/>
                            <w:sz w:val="22"/>
                            <w:szCs w:val="22"/>
                          </w:rPr>
                          <w:t>空心表示得分下降的指标</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5" o:spid="_x0000_s1028" type="#_x0000_t75" style="position:absolute;top:489;width:2145;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">
                  <v:imagedata r:id="rId23" o:title="" cropbottom="15546f" cropright="47949f"/>
                </v:shape>
                <v:rect id="矩形 85" o:spid="_x0000_s1029" style="position:absolute;left:1510;width:17970;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" filled="f" stroked="f">
                  <v:textbox inset="3.6pt,,3.6pt">
                    <w:txbxContent>
                      <w:p w:rsidR="00FB6868" w:rsidRDefault="00FB6868">
                        <w:pPr>
                          <w:pStyle w:val="ae"/>
                          <w:spacing w:beforeAutospacing="0" w:afterAutospacing="0"/>
                        </w:pPr>
                        <w:r>
                          <w:rPr>
                            <w:rFonts w:asciiTheme="minorHAnsi" w:eastAsiaTheme="minorEastAsia" w:cstheme="minorBidi" w:hint="eastAsia"/>
                            <w:sz w:val="22"/>
                            <w:szCs w:val="22"/>
                          </w:rPr>
                          <w:t>实心表示得分上升的指标</w:t>
                        </w:r>
                      </w:p>
                    </w:txbxContent>
                  </v:textbox>
                </v:rect>
                <v:shape id="图片 86" o:spid="_x0000_s1030" type="#_x0000_t75" style="position:absolute;left:773;top:3368;width:1371;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">
                  <v:imagedata r:id="rId24" o:title="" croptop="23832f" cropbottom="15086f" cropleft="3522f" cropright="49686f"/>
                </v:shape>
              </v:group>
            </w:pict>
          </mc:Fallback>
        </mc:AlternateContent>
      </w:r>
      <w:r>
        <w:rPr>
          <w:noProof/>
          <w:color w:val="3366CC"/>
        </w:rPr>
        <w:drawing>
          <wp:inline distT="0" distB="0" distL="0" distR="0">
            <wp:extent cx="8362950" cy="4260850"/>
            <wp:effectExtent l="0" t="0" r="0" b="635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mc:AlternateContent>
          <mc:Choice Requires="wps">
            <w:drawing>
              <wp:anchor distT="0" distB="0" distL="114300" distR="114300" simplePos="0" relativeHeight="251680768" behindDoc="0" locked="0" layoutInCell="1" allowOverlap="1">
                <wp:simplePos x="0" y="0"/>
                <wp:positionH relativeFrom="column">
                  <wp:posOffset>7235190</wp:posOffset>
                </wp:positionH>
                <wp:positionV relativeFrom="paragraph">
                  <wp:posOffset>3826510</wp:posOffset>
                </wp:positionV>
                <wp:extent cx="1200785" cy="51181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200785" cy="511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b/>
                                <w:bCs/>
                                <w:color w:val="FFC000" w:themeColor="accent4"/>
                                <w:sz w:val="30"/>
                                <w:szCs w:val="30"/>
                              </w:rPr>
                            </w:pPr>
                            <w:r>
                              <w:rPr>
                                <w:rFonts w:ascii="黑体" w:eastAsia="黑体" w:hAnsi="黑体" w:cs="黑体" w:hint="eastAsia"/>
                                <w:b/>
                                <w:bCs/>
                                <w:color w:val="FFC000" w:themeColor="accent4"/>
                                <w:sz w:val="30"/>
                                <w:szCs w:val="30"/>
                              </w:rPr>
                              <w:t>优改区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31" type="#_x0000_t202" style="position:absolute;left:0;text-align:left;margin-left:569.7pt;margin-top:301.3pt;width:94.55pt;height:40.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" filled="f" stroked="f" strokeweight=".5pt">
                <v:textbox>
                  <w:txbxContent>
                    <w:p w:rsidR="00FB6868" w:rsidRDefault="00FB6868">
                      <w:pPr>
                        <w:jc w:val="center"/>
                        <w:rPr>
                          <w:rFonts w:ascii="黑体" w:eastAsia="黑体" w:hAnsi="黑体" w:cs="黑体"/>
                          <w:b/>
                          <w:bCs/>
                          <w:color w:val="FFC000" w:themeColor="accent4"/>
                          <w:sz w:val="30"/>
                          <w:szCs w:val="30"/>
                        </w:rPr>
                      </w:pPr>
                      <w:r>
                        <w:rPr>
                          <w:rFonts w:ascii="黑体" w:eastAsia="黑体" w:hAnsi="黑体" w:cs="黑体" w:hint="eastAsia"/>
                          <w:b/>
                          <w:bCs/>
                          <w:color w:val="FFC000" w:themeColor="accent4"/>
                          <w:sz w:val="30"/>
                          <w:szCs w:val="30"/>
                        </w:rPr>
                        <w:t>优改区</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7235190</wp:posOffset>
                </wp:positionH>
                <wp:positionV relativeFrom="paragraph">
                  <wp:posOffset>227330</wp:posOffset>
                </wp:positionV>
                <wp:extent cx="1200785" cy="511810"/>
                <wp:effectExtent l="0" t="0" r="0" b="0"/>
                <wp:wrapNone/>
                <wp:docPr id="17" name="文本框 15"/>
                <wp:cNvGraphicFramePr/>
                <a:graphic xmlns:a="http://schemas.openxmlformats.org/drawingml/2006/main">
                  <a:graphicData uri="http://schemas.microsoft.com/office/word/2010/wordprocessingShape">
                    <wps:wsp>
                      <wps:cNvSpPr txBox="1"/>
                      <wps:spPr>
                        <a:xfrm>
                          <a:off x="0" y="0"/>
                          <a:ext cx="1200785" cy="511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b/>
                                <w:bCs/>
                                <w:color w:val="FFC000" w:themeColor="accent4"/>
                                <w:sz w:val="30"/>
                                <w:szCs w:val="30"/>
                              </w:rPr>
                            </w:pPr>
                            <w:r>
                              <w:rPr>
                                <w:rFonts w:ascii="黑体" w:eastAsia="黑体" w:hAnsi="黑体" w:cs="黑体" w:hint="eastAsia"/>
                                <w:b/>
                                <w:bCs/>
                                <w:color w:val="FFC000" w:themeColor="accent4"/>
                                <w:sz w:val="30"/>
                                <w:szCs w:val="30"/>
                              </w:rPr>
                              <w:t>优势区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32" type="#_x0000_t202" style="position:absolute;left:0;text-align:left;margin-left:569.7pt;margin-top:17.9pt;width:94.55pt;height:40.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" filled="f" stroked="f" strokeweight=".5pt">
                <v:textbox>
                  <w:txbxContent>
                    <w:p w:rsidR="00FB6868" w:rsidRDefault="00FB6868">
                      <w:pPr>
                        <w:jc w:val="center"/>
                        <w:rPr>
                          <w:rFonts w:ascii="黑体" w:eastAsia="黑体" w:hAnsi="黑体" w:cs="黑体"/>
                          <w:b/>
                          <w:bCs/>
                          <w:color w:val="FFC000" w:themeColor="accent4"/>
                          <w:sz w:val="30"/>
                          <w:szCs w:val="30"/>
                        </w:rPr>
                      </w:pPr>
                      <w:r>
                        <w:rPr>
                          <w:rFonts w:ascii="黑体" w:eastAsia="黑体" w:hAnsi="黑体" w:cs="黑体" w:hint="eastAsia"/>
                          <w:b/>
                          <w:bCs/>
                          <w:color w:val="FFC000" w:themeColor="accent4"/>
                          <w:sz w:val="30"/>
                          <w:szCs w:val="30"/>
                        </w:rPr>
                        <w:t>优势区</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391795</wp:posOffset>
                </wp:positionH>
                <wp:positionV relativeFrom="paragraph">
                  <wp:posOffset>227330</wp:posOffset>
                </wp:positionV>
                <wp:extent cx="1200785" cy="511810"/>
                <wp:effectExtent l="0" t="0" r="0" b="0"/>
                <wp:wrapNone/>
                <wp:docPr id="18" name="文本框 17"/>
                <wp:cNvGraphicFramePr/>
                <a:graphic xmlns:a="http://schemas.openxmlformats.org/drawingml/2006/main">
                  <a:graphicData uri="http://schemas.microsoft.com/office/word/2010/wordprocessingShape">
                    <wps:wsp>
                      <wps:cNvSpPr txBox="1"/>
                      <wps:spPr>
                        <a:xfrm>
                          <a:off x="0" y="0"/>
                          <a:ext cx="1200785" cy="511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b/>
                                <w:bCs/>
                                <w:color w:val="FFC000" w:themeColor="accent4"/>
                                <w:sz w:val="30"/>
                                <w:szCs w:val="30"/>
                              </w:rPr>
                            </w:pPr>
                            <w:r>
                              <w:rPr>
                                <w:rFonts w:ascii="黑体" w:eastAsia="黑体" w:hAnsi="黑体" w:cs="黑体" w:hint="eastAsia"/>
                                <w:b/>
                                <w:bCs/>
                                <w:color w:val="FFC000" w:themeColor="accent4"/>
                                <w:sz w:val="30"/>
                                <w:szCs w:val="30"/>
                              </w:rPr>
                              <w:t>保持区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33" type="#_x0000_t202" style="position:absolute;left:0;text-align:left;margin-left:30.85pt;margin-top:17.9pt;width:94.55pt;height:40.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" filled="f" stroked="f" strokeweight=".5pt">
                <v:textbox>
                  <w:txbxContent>
                    <w:p w:rsidR="00FB6868" w:rsidRDefault="00FB6868">
                      <w:pPr>
                        <w:jc w:val="center"/>
                        <w:rPr>
                          <w:rFonts w:ascii="黑体" w:eastAsia="黑体" w:hAnsi="黑体" w:cs="黑体"/>
                          <w:b/>
                          <w:bCs/>
                          <w:color w:val="FFC000" w:themeColor="accent4"/>
                          <w:sz w:val="30"/>
                          <w:szCs w:val="30"/>
                        </w:rPr>
                      </w:pPr>
                      <w:r>
                        <w:rPr>
                          <w:rFonts w:ascii="黑体" w:eastAsia="黑体" w:hAnsi="黑体" w:cs="黑体" w:hint="eastAsia"/>
                          <w:b/>
                          <w:bCs/>
                          <w:color w:val="FFC000" w:themeColor="accent4"/>
                          <w:sz w:val="30"/>
                          <w:szCs w:val="30"/>
                        </w:rPr>
                        <w:t>保持区</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410845</wp:posOffset>
                </wp:positionH>
                <wp:positionV relativeFrom="paragraph">
                  <wp:posOffset>3826510</wp:posOffset>
                </wp:positionV>
                <wp:extent cx="1200785" cy="511810"/>
                <wp:effectExtent l="0" t="0" r="0" b="0"/>
                <wp:wrapNone/>
                <wp:docPr id="20" name="文本框 18"/>
                <wp:cNvGraphicFramePr/>
                <a:graphic xmlns:a="http://schemas.openxmlformats.org/drawingml/2006/main">
                  <a:graphicData uri="http://schemas.microsoft.com/office/word/2010/wordprocessingShape">
                    <wps:wsp>
                      <wps:cNvSpPr txBox="1"/>
                      <wps:spPr>
                        <a:xfrm>
                          <a:off x="0" y="0"/>
                          <a:ext cx="1200785" cy="511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b/>
                                <w:bCs/>
                                <w:color w:val="FFC000" w:themeColor="accent4"/>
                                <w:sz w:val="30"/>
                                <w:szCs w:val="30"/>
                              </w:rPr>
                            </w:pPr>
                            <w:r>
                              <w:rPr>
                                <w:rFonts w:ascii="黑体" w:eastAsia="黑体" w:hAnsi="黑体" w:cs="黑体" w:hint="eastAsia"/>
                                <w:b/>
                                <w:bCs/>
                                <w:color w:val="FFC000" w:themeColor="accent4"/>
                                <w:sz w:val="30"/>
                                <w:szCs w:val="30"/>
                              </w:rPr>
                              <w:t>次改区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34" type="#_x0000_t202" style="position:absolute;left:0;text-align:left;margin-left:32.35pt;margin-top:301.3pt;width:94.55pt;height:40.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" filled="f" stroked="f" strokeweight=".5pt">
                <v:textbox>
                  <w:txbxContent>
                    <w:p w:rsidR="00FB6868" w:rsidRDefault="00FB6868">
                      <w:pPr>
                        <w:jc w:val="center"/>
                        <w:rPr>
                          <w:rFonts w:ascii="黑体" w:eastAsia="黑体" w:hAnsi="黑体" w:cs="黑体"/>
                          <w:b/>
                          <w:bCs/>
                          <w:color w:val="FFC000" w:themeColor="accent4"/>
                          <w:sz w:val="30"/>
                          <w:szCs w:val="30"/>
                        </w:rPr>
                      </w:pPr>
                      <w:r>
                        <w:rPr>
                          <w:rFonts w:ascii="黑体" w:eastAsia="黑体" w:hAnsi="黑体" w:cs="黑体" w:hint="eastAsia"/>
                          <w:b/>
                          <w:bCs/>
                          <w:color w:val="FFC000" w:themeColor="accent4"/>
                          <w:sz w:val="30"/>
                          <w:szCs w:val="30"/>
                        </w:rPr>
                        <w:t>次改区</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3954145</wp:posOffset>
                </wp:positionH>
                <wp:positionV relativeFrom="paragraph">
                  <wp:posOffset>60960</wp:posOffset>
                </wp:positionV>
                <wp:extent cx="391795" cy="391160"/>
                <wp:effectExtent l="0" t="0" r="0" b="0"/>
                <wp:wrapNone/>
                <wp:docPr id="50" name="文本框 14"/>
                <wp:cNvGraphicFramePr/>
                <a:graphic xmlns:a="http://schemas.openxmlformats.org/drawingml/2006/main">
                  <a:graphicData uri="http://schemas.microsoft.com/office/word/2010/wordprocessingShape">
                    <wps:wsp>
                      <wps:cNvSpPr txBox="1"/>
                      <wps:spPr>
                        <a:xfrm>
                          <a:off x="0" y="0"/>
                          <a:ext cx="391795" cy="391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b/>
                                <w:bCs/>
                                <w:sz w:val="30"/>
                                <w:szCs w:val="30"/>
                              </w:rPr>
                            </w:pPr>
                            <w:r>
                              <w:rPr>
                                <w:rFonts w:ascii="黑体" w:eastAsia="黑体" w:hAnsi="黑体" w:cs="黑体"/>
                                <w:b/>
                                <w:bCs/>
                                <w:sz w:val="30"/>
                                <w:szCs w:val="30"/>
                              </w:rPr>
                              <w:t>90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35" type="#_x0000_t202" style="position:absolute;left:0;text-align:left;margin-left:311.35pt;margin-top:4.8pt;width:30.85pt;height:30.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" filled="f" stroked="f" strokeweight=".5pt">
                <v:textbox>
                  <w:txbxContent>
                    <w:p w:rsidR="00FB6868" w:rsidRDefault="00FB6868">
                      <w:pPr>
                        <w:jc w:val="center"/>
                        <w:rPr>
                          <w:rFonts w:ascii="黑体" w:eastAsia="黑体" w:hAnsi="黑体" w:cs="黑体"/>
                          <w:b/>
                          <w:bCs/>
                          <w:sz w:val="30"/>
                          <w:szCs w:val="30"/>
                        </w:rPr>
                      </w:pPr>
                      <w:r>
                        <w:rPr>
                          <w:rFonts w:ascii="黑体" w:eastAsia="黑体" w:hAnsi="黑体" w:cs="黑体"/>
                          <w:b/>
                          <w:bCs/>
                          <w:sz w:val="30"/>
                          <w:szCs w:val="30"/>
                        </w:rPr>
                        <w:t>90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3579495</wp:posOffset>
                </wp:positionH>
                <wp:positionV relativeFrom="paragraph">
                  <wp:posOffset>-359410</wp:posOffset>
                </wp:positionV>
                <wp:extent cx="1200785" cy="511810"/>
                <wp:effectExtent l="0" t="0" r="0" b="0"/>
                <wp:wrapNone/>
                <wp:docPr id="45" name="文本框 9"/>
                <wp:cNvGraphicFramePr/>
                <a:graphic xmlns:a="http://schemas.openxmlformats.org/drawingml/2006/main">
                  <a:graphicData uri="http://schemas.microsoft.com/office/word/2010/wordprocessingShape">
                    <wps:wsp>
                      <wps:cNvSpPr txBox="1"/>
                      <wps:spPr>
                        <a:xfrm>
                          <a:off x="0" y="0"/>
                          <a:ext cx="1200785" cy="511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b/>
                                <w:bCs/>
                                <w:sz w:val="30"/>
                                <w:szCs w:val="30"/>
                              </w:rPr>
                            </w:pPr>
                            <w:r>
                              <w:rPr>
                                <w:rFonts w:ascii="黑体" w:eastAsia="黑体" w:hAnsi="黑体" w:cs="黑体" w:hint="eastAsia"/>
                                <w:b/>
                                <w:bCs/>
                                <w:sz w:val="30"/>
                                <w:szCs w:val="30"/>
                              </w:rPr>
                              <w:t>指标得分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36" type="#_x0000_t202" style="position:absolute;left:0;text-align:left;margin-left:281.85pt;margin-top:-28.3pt;width:94.55pt;height:40.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" filled="f" stroked="f" strokeweight=".5pt">
                <v:textbox>
                  <w:txbxContent>
                    <w:p w:rsidR="00FB6868" w:rsidRDefault="00FB6868">
                      <w:pPr>
                        <w:jc w:val="center"/>
                        <w:rPr>
                          <w:rFonts w:ascii="黑体" w:eastAsia="黑体" w:hAnsi="黑体" w:cs="黑体"/>
                          <w:b/>
                          <w:bCs/>
                          <w:sz w:val="30"/>
                          <w:szCs w:val="30"/>
                        </w:rPr>
                      </w:pPr>
                      <w:r>
                        <w:rPr>
                          <w:rFonts w:ascii="黑体" w:eastAsia="黑体" w:hAnsi="黑体" w:cs="黑体" w:hint="eastAsia"/>
                          <w:b/>
                          <w:bCs/>
                          <w:sz w:val="30"/>
                          <w:szCs w:val="30"/>
                        </w:rPr>
                        <w:t>指标得分</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-480695</wp:posOffset>
                </wp:positionH>
                <wp:positionV relativeFrom="paragraph">
                  <wp:posOffset>1770380</wp:posOffset>
                </wp:positionV>
                <wp:extent cx="1200785" cy="885825"/>
                <wp:effectExtent l="0" t="0" r="0" b="0"/>
                <wp:wrapNone/>
                <wp:docPr id="44" name="文本框 8"/>
                <wp:cNvGraphicFramePr/>
                <a:graphic xmlns:a="http://schemas.openxmlformats.org/drawingml/2006/main">
                  <a:graphicData uri="http://schemas.microsoft.com/office/word/2010/wordprocessingShape">
                    <wps:wsp>
                      <wps:cNvSpPr txBox="1"/>
                      <wps:spPr>
                        <a:xfrm>
                          <a:off x="0" y="0"/>
                          <a:ext cx="1200785" cy="885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b/>
                                <w:bCs/>
                                <w:sz w:val="30"/>
                                <w:szCs w:val="30"/>
                              </w:rPr>
                            </w:pPr>
                            <w:r>
                              <w:rPr>
                                <w:rFonts w:ascii="黑体" w:eastAsia="黑体" w:hAnsi="黑体" w:cs="黑体" w:hint="eastAsia"/>
                                <w:b/>
                                <w:bCs/>
                                <w:sz w:val="30"/>
                                <w:szCs w:val="30"/>
                              </w:rPr>
                              <w:t>指标</w:t>
                            </w:r>
                          </w:p>
                          <w:p w:rsidR="00FB6868" w:rsidRDefault="00FB6868">
                            <w:pPr>
                              <w:jc w:val="center"/>
                              <w:rPr>
                                <w:rFonts w:ascii="黑体" w:eastAsia="黑体" w:hAnsi="黑体" w:cs="黑体"/>
                                <w:b/>
                                <w:bCs/>
                                <w:sz w:val="30"/>
                                <w:szCs w:val="30"/>
                              </w:rPr>
                            </w:pPr>
                            <w:r>
                              <w:rPr>
                                <w:rFonts w:ascii="黑体" w:eastAsia="黑体" w:hAnsi="黑体" w:cs="黑体" w:hint="eastAsia"/>
                                <w:b/>
                                <w:bCs/>
                                <w:sz w:val="30"/>
                                <w:szCs w:val="30"/>
                              </w:rPr>
                              <w:t>重要性</w:t>
                            </w:r>
                            <w:r>
                              <w:rPr>
                                <w:rFonts w:ascii="黑体" w:eastAsia="黑体" w:hAnsi="黑体" w:cs="黑体" w:hint="eastAsia"/>
                                <w:b/>
                                <w:bCs/>
                                <w:noProof/>
                                <w:sz w:val="30"/>
                                <w:szCs w:val="30"/>
                              </w:rPr>
                              <w:drawing>
                                <wp:inline distT="0" distB="0" distL="0" distR="0">
                                  <wp:extent cx="738505" cy="49911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38505" cy="499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37" type="#_x0000_t202" style="position:absolute;left:0;text-align:left;margin-left:-37.85pt;margin-top:139.4pt;width:94.55pt;height:69.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" filled="f" stroked="f" strokeweight=".5pt">
                <v:textbox>
                  <w:txbxContent>
                    <w:p w:rsidR="00FB6868" w:rsidRDefault="00FB6868">
                      <w:pPr>
                        <w:jc w:val="center"/>
                        <w:rPr>
                          <w:rFonts w:ascii="黑体" w:eastAsia="黑体" w:hAnsi="黑体" w:cs="黑体"/>
                          <w:b/>
                          <w:bCs/>
                          <w:sz w:val="30"/>
                          <w:szCs w:val="30"/>
                        </w:rPr>
                      </w:pPr>
                      <w:r>
                        <w:rPr>
                          <w:rFonts w:ascii="黑体" w:eastAsia="黑体" w:hAnsi="黑体" w:cs="黑体" w:hint="eastAsia"/>
                          <w:b/>
                          <w:bCs/>
                          <w:sz w:val="30"/>
                          <w:szCs w:val="30"/>
                        </w:rPr>
                        <w:t>指标</w:t>
                      </w:r>
                    </w:p>
                    <w:p w:rsidR="00FB6868" w:rsidRDefault="00FB6868">
                      <w:pPr>
                        <w:jc w:val="center"/>
                        <w:rPr>
                          <w:rFonts w:ascii="黑体" w:eastAsia="黑体" w:hAnsi="黑体" w:cs="黑体"/>
                          <w:b/>
                          <w:bCs/>
                          <w:sz w:val="30"/>
                          <w:szCs w:val="30"/>
                        </w:rPr>
                      </w:pPr>
                      <w:r>
                        <w:rPr>
                          <w:rFonts w:ascii="黑体" w:eastAsia="黑体" w:hAnsi="黑体" w:cs="黑体" w:hint="eastAsia"/>
                          <w:b/>
                          <w:bCs/>
                          <w:sz w:val="30"/>
                          <w:szCs w:val="30"/>
                        </w:rPr>
                        <w:t>重要性</w:t>
                      </w:r>
                      <w:r>
                        <w:rPr>
                          <w:rFonts w:ascii="黑体" w:eastAsia="黑体" w:hAnsi="黑体" w:cs="黑体" w:hint="eastAsia"/>
                          <w:b/>
                          <w:bCs/>
                          <w:noProof/>
                          <w:sz w:val="30"/>
                          <w:szCs w:val="30"/>
                        </w:rPr>
                        <w:drawing>
                          <wp:inline distT="0" distB="0" distL="0" distR="0">
                            <wp:extent cx="738505" cy="49911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38505" cy="499110"/>
                                    </a:xfrm>
                                    <a:prstGeom prst="rect">
                                      <a:avLst/>
                                    </a:prstGeom>
                                    <a:noFill/>
                                    <a:ln>
                                      <a:noFill/>
                                    </a:ln>
                                  </pic:spPr>
                                </pic:pic>
                              </a:graphicData>
                            </a:graphic>
                          </wp:inline>
                        </w:drawing>
                      </w:r>
                    </w:p>
                  </w:txbxContent>
                </v:textbox>
              </v:shape>
            </w:pict>
          </mc:Fallback>
        </mc:AlternateContent>
      </w:r>
    </w:p>
    <w:p w:rsidR="002D6C73" w:rsidRDefault="00FB6868">
      <w:pPr>
        <w:jc w:val="center"/>
        <w:sectPr w:rsidR="002D6C73">
          <w:pgSz w:w="16838" w:h="11906" w:orient="landscape"/>
          <w:pgMar w:top="1800" w:right="1440" w:bottom="1800" w:left="1440" w:header="851" w:footer="992" w:gutter="0"/>
          <w:pgNumType w:fmt="numberInDash"/>
          <w:cols w:space="425"/>
          <w:docGrid w:type="lines" w:linePitch="312"/>
        </w:sectPr>
      </w:pPr>
      <w:r>
        <w:rPr>
          <w:rFonts w:ascii="黑体" w:eastAsia="黑体" w:hAnsi="黑体" w:cs="黑体" w:hint="eastAsia"/>
          <w:sz w:val="28"/>
          <w:szCs w:val="28"/>
        </w:rPr>
        <w:t>图11  消费者满意度三级指标因素重要性分布（</w:t>
      </w:r>
      <w:proofErr w:type="gramStart"/>
      <w:r>
        <w:rPr>
          <w:rFonts w:ascii="黑体" w:eastAsia="黑体" w:hAnsi="黑体" w:cs="黑体" w:hint="eastAsia"/>
          <w:sz w:val="28"/>
          <w:szCs w:val="28"/>
        </w:rPr>
        <w:t>优改分析</w:t>
      </w:r>
      <w:proofErr w:type="gramEnd"/>
      <w:r>
        <w:rPr>
          <w:rFonts w:ascii="黑体" w:eastAsia="黑体" w:hAnsi="黑体" w:cs="黑体" w:hint="eastAsia"/>
          <w:sz w:val="28"/>
          <w:szCs w:val="28"/>
        </w:rPr>
        <w:t>）</w:t>
      </w:r>
    </w:p>
    <w:p w:rsidR="002D6C73" w:rsidRDefault="002D6C73">
      <w:pPr>
        <w:spacing w:line="400" w:lineRule="exact"/>
        <w:rPr>
          <w:sz w:val="28"/>
        </w:rPr>
      </w:pPr>
    </w:p>
    <w:p w:rsidR="002D6C73" w:rsidRDefault="00FB6868">
      <w:pPr>
        <w:pStyle w:val="1"/>
        <w:spacing w:beforeLines="100" w:before="312" w:afterLines="100" w:after="312"/>
        <w:jc w:val="center"/>
        <w:rPr>
          <w:rFonts w:ascii="方正小标宋简体" w:eastAsia="方正小标宋简体" w:hAnsi="华文中宋" w:cs="华文中宋"/>
          <w:b w:val="0"/>
          <w:bCs/>
          <w:sz w:val="40"/>
          <w:szCs w:val="28"/>
        </w:rPr>
      </w:pPr>
      <w:bookmarkStart w:id="31" w:name="_Toc20572"/>
      <w:bookmarkStart w:id="32" w:name="_Toc62721760"/>
      <w:r>
        <w:rPr>
          <w:rFonts w:ascii="方正小标宋简体" w:eastAsia="方正小标宋简体" w:hAnsi="华文中宋" w:cs="华文中宋" w:hint="eastAsia"/>
          <w:b w:val="0"/>
          <w:bCs/>
          <w:sz w:val="40"/>
          <w:szCs w:val="28"/>
        </w:rPr>
        <w:t>第四部分  100个城市消费者满意度测评结果</w:t>
      </w:r>
      <w:bookmarkEnd w:id="31"/>
      <w:bookmarkEnd w:id="32"/>
    </w:p>
    <w:p w:rsidR="002D6C73" w:rsidRDefault="00FB6868">
      <w:pPr>
        <w:pStyle w:val="2"/>
        <w:rPr>
          <w:rFonts w:ascii="黑体" w:eastAsia="黑体" w:hAnsi="黑体" w:cs="黑体"/>
          <w:b w:val="0"/>
          <w:bCs/>
          <w:i w:val="0"/>
          <w:iCs/>
          <w:sz w:val="32"/>
          <w:szCs w:val="32"/>
        </w:rPr>
      </w:pPr>
      <w:bookmarkStart w:id="33" w:name="_Toc62721761"/>
      <w:bookmarkStart w:id="34" w:name="_Toc17217"/>
      <w:r>
        <w:rPr>
          <w:rFonts w:ascii="黑体" w:eastAsia="黑体" w:hAnsi="黑体" w:cs="黑体" w:hint="eastAsia"/>
          <w:b w:val="0"/>
          <w:bCs/>
          <w:i w:val="0"/>
          <w:iCs/>
          <w:sz w:val="32"/>
          <w:szCs w:val="32"/>
        </w:rPr>
        <w:t>一、100个城市消费者满意度得分</w:t>
      </w:r>
      <w:bookmarkEnd w:id="33"/>
      <w:bookmarkEnd w:id="34"/>
    </w:p>
    <w:p w:rsidR="002D6C73" w:rsidRDefault="00FB6868">
      <w:pPr>
        <w:pStyle w:val="3"/>
        <w:ind w:firstLine="640"/>
        <w:rPr>
          <w:rFonts w:ascii="仿宋" w:eastAsia="仿宋" w:hAnsi="仿宋" w:cs="仿宋"/>
          <w:color w:val="1C1C1C"/>
          <w:sz w:val="32"/>
          <w:szCs w:val="32"/>
        </w:rPr>
      </w:pPr>
      <w:bookmarkStart w:id="35" w:name="_Toc33719401"/>
      <w:bookmarkStart w:id="36" w:name="_Toc2064"/>
      <w:bookmarkStart w:id="37" w:name="_Toc62721762"/>
      <w:r>
        <w:rPr>
          <w:rFonts w:ascii="仿宋" w:eastAsia="仿宋" w:hAnsi="仿宋" w:cs="仿宋" w:hint="eastAsia"/>
          <w:color w:val="1C1C1C"/>
          <w:sz w:val="32"/>
          <w:szCs w:val="32"/>
        </w:rPr>
        <w:t>（一）</w:t>
      </w:r>
      <w:r>
        <w:rPr>
          <w:rFonts w:ascii="仿宋" w:eastAsia="仿宋" w:hAnsi="仿宋" w:cs="仿宋"/>
          <w:color w:val="1C1C1C"/>
          <w:sz w:val="32"/>
          <w:szCs w:val="32"/>
        </w:rPr>
        <w:t>100个城市消费者满意度得分</w:t>
      </w:r>
      <w:r>
        <w:rPr>
          <w:rFonts w:ascii="仿宋" w:eastAsia="仿宋" w:hAnsi="仿宋" w:cs="仿宋" w:hint="eastAsia"/>
          <w:color w:val="1C1C1C"/>
          <w:sz w:val="32"/>
          <w:szCs w:val="32"/>
        </w:rPr>
        <w:t>及总排名</w:t>
      </w:r>
      <w:bookmarkEnd w:id="35"/>
      <w:bookmarkEnd w:id="36"/>
      <w:bookmarkEnd w:id="37"/>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根据2021年消费者满意度调查结果，100个城市的消费者满意</w:t>
      </w:r>
      <w:proofErr w:type="gramStart"/>
      <w:r>
        <w:rPr>
          <w:rFonts w:ascii="仿宋" w:eastAsia="仿宋" w:hAnsi="仿宋" w:cs="仿宋" w:hint="eastAsia"/>
          <w:color w:val="1C1C1C"/>
          <w:sz w:val="32"/>
          <w:szCs w:val="32"/>
        </w:rPr>
        <w:t>度综合</w:t>
      </w:r>
      <w:proofErr w:type="gramEnd"/>
      <w:r>
        <w:rPr>
          <w:rFonts w:ascii="仿宋" w:eastAsia="仿宋" w:hAnsi="仿宋" w:cs="仿宋" w:hint="eastAsia"/>
          <w:color w:val="1C1C1C"/>
          <w:sz w:val="32"/>
          <w:szCs w:val="32"/>
        </w:rPr>
        <w:t>得分为80.59分，得分最高为89.70分（苏州市），最低为76.65分（庆阳市），最高分和最低分相差13.05分，37个城市得分高于本年度全国综合得分。</w:t>
      </w:r>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测评得分排名前1</w:t>
      </w:r>
      <w:r>
        <w:rPr>
          <w:rFonts w:ascii="仿宋" w:eastAsia="仿宋" w:hAnsi="仿宋" w:cs="仿宋"/>
          <w:color w:val="1C1C1C"/>
          <w:sz w:val="32"/>
          <w:szCs w:val="32"/>
        </w:rPr>
        <w:t>0</w:t>
      </w:r>
      <w:r>
        <w:rPr>
          <w:rFonts w:ascii="仿宋" w:eastAsia="仿宋" w:hAnsi="仿宋" w:cs="仿宋" w:hint="eastAsia"/>
          <w:color w:val="1C1C1C"/>
          <w:sz w:val="32"/>
          <w:szCs w:val="32"/>
        </w:rPr>
        <w:t>位的城市依次为：苏州市（89.70分）、杭州市（87.34分）、青岛市（87.01分）、南京市（86.04分）、无锡市（86.00分）、烟台市（85.29分）、常州市（85.12分）、上海市（84.57分）、北京市（83.49分）、厦门市（83.16分）。从地域分布来看，排名前10位的城市均属于东部地区城市。</w:t>
      </w:r>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测评得分排名后1</w:t>
      </w:r>
      <w:r>
        <w:rPr>
          <w:rFonts w:ascii="仿宋" w:eastAsia="仿宋" w:hAnsi="仿宋" w:cs="仿宋"/>
          <w:color w:val="1C1C1C"/>
          <w:sz w:val="32"/>
          <w:szCs w:val="32"/>
        </w:rPr>
        <w:t>0</w:t>
      </w:r>
      <w:r>
        <w:rPr>
          <w:rFonts w:ascii="仿宋" w:eastAsia="仿宋" w:hAnsi="仿宋" w:cs="仿宋" w:hint="eastAsia"/>
          <w:color w:val="1C1C1C"/>
          <w:sz w:val="32"/>
          <w:szCs w:val="32"/>
        </w:rPr>
        <w:t>位的城市依次为：唐山市（78.12分）、兰州市（78.03分）、呼和浩特市（77.55分）、宝鸡市（77.39分）、三亚市（77.38分）、松原市（77.32分）、衡阳市（77.05分）、海口市（76.80分）、西安市（76.73分）、庆阳市（</w:t>
      </w:r>
      <w:bookmarkStart w:id="38" w:name="_Hlk96858265"/>
      <w:r>
        <w:rPr>
          <w:rFonts w:ascii="仿宋" w:eastAsia="仿宋" w:hAnsi="仿宋" w:cs="仿宋" w:hint="eastAsia"/>
          <w:color w:val="1C1C1C"/>
          <w:sz w:val="32"/>
          <w:szCs w:val="32"/>
        </w:rPr>
        <w:t>76.65</w:t>
      </w:r>
      <w:bookmarkEnd w:id="38"/>
      <w:r>
        <w:rPr>
          <w:rFonts w:ascii="仿宋" w:eastAsia="仿宋" w:hAnsi="仿宋" w:cs="仿宋" w:hint="eastAsia"/>
          <w:color w:val="1C1C1C"/>
          <w:sz w:val="32"/>
          <w:szCs w:val="32"/>
        </w:rPr>
        <w:t>分）。</w:t>
      </w:r>
      <w:r>
        <w:rPr>
          <w:rFonts w:ascii="仿宋" w:eastAsia="仿宋" w:hAnsi="仿宋" w:cs="仿宋"/>
          <w:color w:val="1C1C1C"/>
          <w:sz w:val="32"/>
          <w:szCs w:val="32"/>
        </w:rPr>
        <w:t>从地域分布来看</w:t>
      </w:r>
      <w:r>
        <w:rPr>
          <w:rFonts w:ascii="仿宋" w:eastAsia="仿宋" w:hAnsi="仿宋" w:cs="仿宋" w:hint="eastAsia"/>
          <w:color w:val="1C1C1C"/>
          <w:sz w:val="32"/>
          <w:szCs w:val="32"/>
        </w:rPr>
        <w:t>，得分排名后10位的城市有5个属于西部地区城市，3个属于东部地区城市，2个属于中部地区城市。</w:t>
      </w:r>
      <w:bookmarkStart w:id="39" w:name="_1644324162"/>
      <w:bookmarkEnd w:id="39"/>
    </w:p>
    <w:p w:rsidR="002D6C73" w:rsidRDefault="00FB6868">
      <w:pPr>
        <w:jc w:val="center"/>
      </w:pPr>
      <w:r>
        <w:rPr>
          <w:noProof/>
        </w:rPr>
        <w:lastRenderedPageBreak/>
        <w:drawing>
          <wp:inline distT="0" distB="0" distL="114300" distR="114300">
            <wp:extent cx="5080000" cy="8371840"/>
            <wp:effectExtent l="0" t="0" r="6350" b="1016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6C73" w:rsidRDefault="00FB6868">
      <w:pPr>
        <w:jc w:val="center"/>
      </w:pPr>
      <w:r>
        <w:rPr>
          <w:noProof/>
        </w:rPr>
        <w:lastRenderedPageBreak/>
        <w:drawing>
          <wp:inline distT="0" distB="0" distL="114300" distR="114300">
            <wp:extent cx="5080000" cy="7258685"/>
            <wp:effectExtent l="0" t="0" r="6350" b="184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6C73" w:rsidRDefault="00FB6868">
      <w:pPr>
        <w:jc w:val="center"/>
        <w:rPr>
          <w:rFonts w:ascii="黑体" w:eastAsia="黑体" w:hAnsi="黑体" w:cs="黑体"/>
          <w:sz w:val="28"/>
          <w:szCs w:val="28"/>
        </w:rPr>
      </w:pPr>
      <w:r>
        <w:rPr>
          <w:rFonts w:ascii="黑体" w:eastAsia="黑体" w:hAnsi="黑体" w:cs="黑体" w:hint="eastAsia"/>
          <w:sz w:val="28"/>
          <w:szCs w:val="28"/>
        </w:rPr>
        <w:t>图12  100个城市消费者满意度得分与排名</w:t>
      </w:r>
      <w:bookmarkStart w:id="40" w:name="_Toc33719402"/>
      <w:r>
        <w:rPr>
          <w:rStyle w:val="af8"/>
          <w:rFonts w:ascii="黑体" w:eastAsia="黑体" w:hAnsi="黑体" w:cs="黑体"/>
          <w:sz w:val="28"/>
          <w:szCs w:val="28"/>
        </w:rPr>
        <w:footnoteReference w:id="1"/>
      </w:r>
    </w:p>
    <w:p w:rsidR="002D6C73" w:rsidRDefault="00FB6868">
      <w:pPr>
        <w:pStyle w:val="3"/>
        <w:ind w:firstLine="640"/>
        <w:rPr>
          <w:rFonts w:ascii="仿宋" w:eastAsia="仿宋" w:hAnsi="仿宋" w:cs="仿宋"/>
          <w:color w:val="1C1C1C"/>
          <w:sz w:val="32"/>
          <w:szCs w:val="32"/>
        </w:rPr>
      </w:pPr>
      <w:bookmarkStart w:id="41" w:name="_Toc19481"/>
      <w:bookmarkStart w:id="42" w:name="_Toc62721763"/>
      <w:r>
        <w:rPr>
          <w:rFonts w:ascii="仿宋" w:eastAsia="仿宋" w:hAnsi="仿宋" w:cs="仿宋" w:hint="eastAsia"/>
          <w:color w:val="1C1C1C"/>
          <w:sz w:val="32"/>
          <w:szCs w:val="32"/>
        </w:rPr>
        <w:lastRenderedPageBreak/>
        <w:t>（二）基于社会消费品零售总额分类的各城市得分</w:t>
      </w:r>
      <w:bookmarkEnd w:id="40"/>
      <w:bookmarkEnd w:id="41"/>
      <w:bookmarkEnd w:id="42"/>
    </w:p>
    <w:p w:rsidR="002D6C73" w:rsidRDefault="00FB6868">
      <w:pPr>
        <w:ind w:firstLineChars="200" w:firstLine="640"/>
        <w:jc w:val="both"/>
        <w:rPr>
          <w:rFonts w:ascii="仿宋" w:eastAsia="仿宋" w:hAnsi="仿宋" w:cs="仿宋"/>
          <w:color w:val="1C1C1C"/>
          <w:spacing w:val="-6"/>
          <w:sz w:val="32"/>
          <w:szCs w:val="32"/>
        </w:rPr>
      </w:pPr>
      <w:r>
        <w:rPr>
          <w:rFonts w:ascii="仿宋" w:eastAsia="仿宋" w:hAnsi="仿宋" w:cs="仿宋" w:hint="eastAsia"/>
          <w:color w:val="1C1C1C"/>
          <w:sz w:val="32"/>
          <w:szCs w:val="32"/>
        </w:rPr>
        <w:t>社会消费品零售总额在4</w:t>
      </w:r>
      <w:proofErr w:type="gramStart"/>
      <w:r>
        <w:rPr>
          <w:rFonts w:ascii="仿宋" w:eastAsia="仿宋" w:hAnsi="仿宋" w:cs="仿宋" w:hint="eastAsia"/>
          <w:color w:val="1C1C1C"/>
          <w:sz w:val="32"/>
          <w:szCs w:val="32"/>
        </w:rPr>
        <w:t>千亿</w:t>
      </w:r>
      <w:proofErr w:type="gramEnd"/>
      <w:r>
        <w:rPr>
          <w:rFonts w:ascii="仿宋" w:eastAsia="仿宋" w:hAnsi="仿宋" w:cs="仿宋" w:hint="eastAsia"/>
          <w:color w:val="1C1C1C"/>
          <w:sz w:val="32"/>
          <w:szCs w:val="32"/>
        </w:rPr>
        <w:t>以上的城市共有19个。其中，13个城市满意度得分超过80分，所有城市</w:t>
      </w:r>
      <w:r>
        <w:rPr>
          <w:rFonts w:ascii="仿宋" w:eastAsia="仿宋" w:hAnsi="仿宋" w:cs="仿宋" w:hint="eastAsia"/>
          <w:color w:val="1C1C1C"/>
          <w:spacing w:val="-6"/>
          <w:sz w:val="32"/>
          <w:szCs w:val="32"/>
        </w:rPr>
        <w:t>的消费者满意度得分均在76分以上。排名靠前的3个城市依次为：苏州市、杭州市、青岛市；排名靠后的3个城市分别是：重庆市、合肥市、西安市。</w:t>
      </w:r>
    </w:p>
    <w:p w:rsidR="002D6C73" w:rsidRDefault="00FB6868">
      <w:pPr>
        <w:jc w:val="center"/>
        <w:rPr>
          <w:rFonts w:ascii="黑体" w:eastAsia="黑体" w:hAnsi="黑体"/>
          <w:color w:val="1C1C1C"/>
          <w:sz w:val="28"/>
        </w:rPr>
      </w:pPr>
      <w:r>
        <w:rPr>
          <w:rFonts w:ascii="黑体" w:eastAsia="黑体" w:hAnsi="黑体" w:hint="eastAsia"/>
          <w:color w:val="1C1C1C"/>
          <w:sz w:val="28"/>
        </w:rPr>
        <w:t>表6 社会消费品零售总额4</w:t>
      </w:r>
      <w:proofErr w:type="gramStart"/>
      <w:r>
        <w:rPr>
          <w:rFonts w:ascii="黑体" w:eastAsia="黑体" w:hAnsi="黑体" w:hint="eastAsia"/>
          <w:color w:val="1C1C1C"/>
          <w:sz w:val="28"/>
        </w:rPr>
        <w:t>千亿</w:t>
      </w:r>
      <w:proofErr w:type="gramEnd"/>
      <w:r>
        <w:rPr>
          <w:rFonts w:ascii="黑体" w:eastAsia="黑体" w:hAnsi="黑体" w:hint="eastAsia"/>
          <w:color w:val="1C1C1C"/>
          <w:sz w:val="28"/>
        </w:rPr>
        <w:t>以上城市得分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651"/>
        <w:gridCol w:w="1439"/>
        <w:gridCol w:w="1230"/>
        <w:gridCol w:w="2073"/>
        <w:gridCol w:w="1437"/>
      </w:tblGrid>
      <w:tr w:rsidR="002D6C73">
        <w:trPr>
          <w:trHeight w:val="397"/>
          <w:jc w:val="center"/>
        </w:trPr>
        <w:tc>
          <w:tcPr>
            <w:tcW w:w="1230"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排名</w:t>
            </w:r>
          </w:p>
        </w:tc>
        <w:tc>
          <w:tcPr>
            <w:tcW w:w="1651" w:type="dxa"/>
            <w:shd w:val="clear" w:color="auto" w:fill="4472C4" w:themeFill="accent5"/>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城市</w:t>
            </w:r>
          </w:p>
        </w:tc>
        <w:tc>
          <w:tcPr>
            <w:tcW w:w="1439"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得分</w:t>
            </w:r>
          </w:p>
        </w:tc>
        <w:tc>
          <w:tcPr>
            <w:tcW w:w="1230"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排名</w:t>
            </w:r>
          </w:p>
        </w:tc>
        <w:tc>
          <w:tcPr>
            <w:tcW w:w="2073" w:type="dxa"/>
            <w:shd w:val="clear" w:color="auto" w:fill="4472C4" w:themeFill="accent5"/>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城市</w:t>
            </w:r>
          </w:p>
        </w:tc>
        <w:tc>
          <w:tcPr>
            <w:tcW w:w="1437"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得分</w:t>
            </w:r>
          </w:p>
        </w:tc>
      </w:tr>
      <w:tr w:rsidR="002D6C73">
        <w:trPr>
          <w:trHeight w:val="397"/>
          <w:jc w:val="center"/>
        </w:trPr>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w:t>
            </w:r>
          </w:p>
        </w:tc>
        <w:tc>
          <w:tcPr>
            <w:tcW w:w="1651"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苏州市</w:t>
            </w:r>
          </w:p>
        </w:tc>
        <w:tc>
          <w:tcPr>
            <w:tcW w:w="1439"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89.70 </w:t>
            </w:r>
          </w:p>
        </w:tc>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11</w:t>
            </w:r>
          </w:p>
        </w:tc>
        <w:tc>
          <w:tcPr>
            <w:tcW w:w="20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广州市</w:t>
            </w:r>
          </w:p>
        </w:tc>
        <w:tc>
          <w:tcPr>
            <w:tcW w:w="143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80.90 </w:t>
            </w:r>
          </w:p>
        </w:tc>
      </w:tr>
      <w:tr w:rsidR="002D6C73">
        <w:trPr>
          <w:trHeight w:val="397"/>
          <w:jc w:val="center"/>
        </w:trPr>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2</w:t>
            </w:r>
          </w:p>
        </w:tc>
        <w:tc>
          <w:tcPr>
            <w:tcW w:w="1651"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杭州市</w:t>
            </w:r>
          </w:p>
        </w:tc>
        <w:tc>
          <w:tcPr>
            <w:tcW w:w="1439"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87.34 </w:t>
            </w:r>
          </w:p>
        </w:tc>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12</w:t>
            </w:r>
          </w:p>
        </w:tc>
        <w:tc>
          <w:tcPr>
            <w:tcW w:w="20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济南市</w:t>
            </w:r>
          </w:p>
        </w:tc>
        <w:tc>
          <w:tcPr>
            <w:tcW w:w="143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80.78 </w:t>
            </w:r>
          </w:p>
        </w:tc>
      </w:tr>
      <w:tr w:rsidR="002D6C73">
        <w:trPr>
          <w:trHeight w:val="397"/>
          <w:jc w:val="center"/>
        </w:trPr>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3</w:t>
            </w:r>
          </w:p>
        </w:tc>
        <w:tc>
          <w:tcPr>
            <w:tcW w:w="1651"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青岛市</w:t>
            </w:r>
          </w:p>
        </w:tc>
        <w:tc>
          <w:tcPr>
            <w:tcW w:w="1439"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87.01 </w:t>
            </w:r>
          </w:p>
        </w:tc>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13</w:t>
            </w:r>
          </w:p>
        </w:tc>
        <w:tc>
          <w:tcPr>
            <w:tcW w:w="20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武汉市</w:t>
            </w:r>
          </w:p>
        </w:tc>
        <w:tc>
          <w:tcPr>
            <w:tcW w:w="143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80.09 </w:t>
            </w:r>
          </w:p>
        </w:tc>
      </w:tr>
      <w:tr w:rsidR="002D6C73">
        <w:trPr>
          <w:trHeight w:val="397"/>
          <w:jc w:val="center"/>
        </w:trPr>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4</w:t>
            </w:r>
          </w:p>
        </w:tc>
        <w:tc>
          <w:tcPr>
            <w:tcW w:w="1651"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南京市</w:t>
            </w:r>
          </w:p>
        </w:tc>
        <w:tc>
          <w:tcPr>
            <w:tcW w:w="1439"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86.04 </w:t>
            </w:r>
          </w:p>
        </w:tc>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14</w:t>
            </w:r>
          </w:p>
        </w:tc>
        <w:tc>
          <w:tcPr>
            <w:tcW w:w="20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福州市</w:t>
            </w:r>
          </w:p>
        </w:tc>
        <w:tc>
          <w:tcPr>
            <w:tcW w:w="143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79.36 </w:t>
            </w:r>
          </w:p>
        </w:tc>
      </w:tr>
      <w:tr w:rsidR="002D6C73">
        <w:trPr>
          <w:trHeight w:val="397"/>
          <w:jc w:val="center"/>
        </w:trPr>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5</w:t>
            </w:r>
          </w:p>
        </w:tc>
        <w:tc>
          <w:tcPr>
            <w:tcW w:w="1651"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上海市</w:t>
            </w:r>
          </w:p>
        </w:tc>
        <w:tc>
          <w:tcPr>
            <w:tcW w:w="1439"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84.57 </w:t>
            </w:r>
          </w:p>
        </w:tc>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15</w:t>
            </w:r>
          </w:p>
        </w:tc>
        <w:tc>
          <w:tcPr>
            <w:tcW w:w="20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郑州市</w:t>
            </w:r>
          </w:p>
        </w:tc>
        <w:tc>
          <w:tcPr>
            <w:tcW w:w="143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79.26 </w:t>
            </w:r>
          </w:p>
        </w:tc>
      </w:tr>
      <w:tr w:rsidR="002D6C73">
        <w:trPr>
          <w:trHeight w:val="397"/>
          <w:jc w:val="center"/>
        </w:trPr>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6</w:t>
            </w:r>
          </w:p>
        </w:tc>
        <w:tc>
          <w:tcPr>
            <w:tcW w:w="1651"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北京市</w:t>
            </w:r>
          </w:p>
        </w:tc>
        <w:tc>
          <w:tcPr>
            <w:tcW w:w="1439"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83.49 </w:t>
            </w:r>
          </w:p>
        </w:tc>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16</w:t>
            </w:r>
          </w:p>
        </w:tc>
        <w:tc>
          <w:tcPr>
            <w:tcW w:w="20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长沙市</w:t>
            </w:r>
          </w:p>
        </w:tc>
        <w:tc>
          <w:tcPr>
            <w:tcW w:w="143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78.83 </w:t>
            </w:r>
          </w:p>
        </w:tc>
      </w:tr>
      <w:tr w:rsidR="002D6C73">
        <w:trPr>
          <w:trHeight w:val="397"/>
          <w:jc w:val="center"/>
        </w:trPr>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7</w:t>
            </w:r>
          </w:p>
        </w:tc>
        <w:tc>
          <w:tcPr>
            <w:tcW w:w="1651"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宁波市</w:t>
            </w:r>
          </w:p>
        </w:tc>
        <w:tc>
          <w:tcPr>
            <w:tcW w:w="1439"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82.40 </w:t>
            </w:r>
          </w:p>
        </w:tc>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17</w:t>
            </w:r>
          </w:p>
        </w:tc>
        <w:tc>
          <w:tcPr>
            <w:tcW w:w="20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重庆市</w:t>
            </w:r>
          </w:p>
        </w:tc>
        <w:tc>
          <w:tcPr>
            <w:tcW w:w="143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78.79 </w:t>
            </w:r>
          </w:p>
        </w:tc>
      </w:tr>
      <w:tr w:rsidR="002D6C73">
        <w:trPr>
          <w:trHeight w:val="397"/>
          <w:jc w:val="center"/>
        </w:trPr>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8</w:t>
            </w:r>
          </w:p>
        </w:tc>
        <w:tc>
          <w:tcPr>
            <w:tcW w:w="1651"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泉州市</w:t>
            </w:r>
          </w:p>
        </w:tc>
        <w:tc>
          <w:tcPr>
            <w:tcW w:w="1439"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82.20 </w:t>
            </w:r>
          </w:p>
        </w:tc>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18</w:t>
            </w:r>
          </w:p>
        </w:tc>
        <w:tc>
          <w:tcPr>
            <w:tcW w:w="20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合肥市</w:t>
            </w:r>
          </w:p>
        </w:tc>
        <w:tc>
          <w:tcPr>
            <w:tcW w:w="143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78.76 </w:t>
            </w:r>
          </w:p>
        </w:tc>
      </w:tr>
      <w:tr w:rsidR="002D6C73">
        <w:trPr>
          <w:trHeight w:val="397"/>
          <w:jc w:val="center"/>
        </w:trPr>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9</w:t>
            </w:r>
          </w:p>
        </w:tc>
        <w:tc>
          <w:tcPr>
            <w:tcW w:w="1651"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成都市</w:t>
            </w:r>
          </w:p>
        </w:tc>
        <w:tc>
          <w:tcPr>
            <w:tcW w:w="1439"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81.85 </w:t>
            </w:r>
          </w:p>
        </w:tc>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19</w:t>
            </w:r>
          </w:p>
        </w:tc>
        <w:tc>
          <w:tcPr>
            <w:tcW w:w="20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西安市</w:t>
            </w:r>
          </w:p>
        </w:tc>
        <w:tc>
          <w:tcPr>
            <w:tcW w:w="143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76.73 </w:t>
            </w:r>
          </w:p>
        </w:tc>
      </w:tr>
      <w:tr w:rsidR="002D6C73">
        <w:trPr>
          <w:trHeight w:val="397"/>
          <w:jc w:val="center"/>
        </w:trPr>
        <w:tc>
          <w:tcPr>
            <w:tcW w:w="123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10</w:t>
            </w:r>
          </w:p>
        </w:tc>
        <w:tc>
          <w:tcPr>
            <w:tcW w:w="1651"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深圳市</w:t>
            </w:r>
          </w:p>
        </w:tc>
        <w:tc>
          <w:tcPr>
            <w:tcW w:w="1439"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81.00 </w:t>
            </w:r>
          </w:p>
        </w:tc>
        <w:tc>
          <w:tcPr>
            <w:tcW w:w="1230" w:type="dxa"/>
            <w:noWrap/>
            <w:vAlign w:val="center"/>
          </w:tcPr>
          <w:p w:rsidR="002D6C73" w:rsidRDefault="002D6C73">
            <w:pPr>
              <w:pStyle w:val="10"/>
              <w:spacing w:line="400" w:lineRule="exact"/>
              <w:rPr>
                <w:rFonts w:ascii="仿宋" w:eastAsia="仿宋" w:hAnsi="仿宋" w:cs="仿宋"/>
                <w:color w:val="1C1C1C"/>
                <w:sz w:val="28"/>
                <w:szCs w:val="28"/>
              </w:rPr>
            </w:pPr>
          </w:p>
        </w:tc>
        <w:tc>
          <w:tcPr>
            <w:tcW w:w="2073" w:type="dxa"/>
            <w:noWrap/>
            <w:vAlign w:val="bottom"/>
          </w:tcPr>
          <w:p w:rsidR="002D6C73" w:rsidRDefault="002D6C73">
            <w:pPr>
              <w:pStyle w:val="10"/>
              <w:spacing w:line="400" w:lineRule="exact"/>
              <w:rPr>
                <w:rFonts w:ascii="仿宋" w:eastAsia="仿宋" w:hAnsi="仿宋" w:cs="仿宋"/>
                <w:color w:val="1C1C1C"/>
                <w:sz w:val="28"/>
                <w:szCs w:val="28"/>
              </w:rPr>
            </w:pPr>
          </w:p>
        </w:tc>
        <w:tc>
          <w:tcPr>
            <w:tcW w:w="1437" w:type="dxa"/>
            <w:noWrap/>
            <w:vAlign w:val="bottom"/>
          </w:tcPr>
          <w:p w:rsidR="002D6C73" w:rsidRDefault="002D6C73">
            <w:pPr>
              <w:pStyle w:val="10"/>
              <w:spacing w:line="400" w:lineRule="exact"/>
              <w:rPr>
                <w:rFonts w:ascii="仿宋" w:eastAsia="仿宋" w:hAnsi="仿宋" w:cs="仿宋"/>
                <w:color w:val="1C1C1C"/>
                <w:sz w:val="28"/>
                <w:szCs w:val="28"/>
              </w:rPr>
            </w:pP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社会消费品零售总额2</w:t>
      </w:r>
      <w:proofErr w:type="gramStart"/>
      <w:r>
        <w:rPr>
          <w:rFonts w:ascii="仿宋" w:eastAsia="仿宋" w:hAnsi="仿宋" w:cs="仿宋" w:hint="eastAsia"/>
          <w:color w:val="1C1C1C"/>
          <w:sz w:val="32"/>
          <w:szCs w:val="32"/>
        </w:rPr>
        <w:t>千亿</w:t>
      </w:r>
      <w:proofErr w:type="gramEnd"/>
      <w:r>
        <w:rPr>
          <w:rFonts w:ascii="仿宋" w:eastAsia="仿宋" w:hAnsi="仿宋" w:cs="仿宋" w:hint="eastAsia"/>
          <w:color w:val="1C1C1C"/>
          <w:sz w:val="32"/>
          <w:szCs w:val="32"/>
        </w:rPr>
        <w:t>到4</w:t>
      </w:r>
      <w:proofErr w:type="gramStart"/>
      <w:r>
        <w:rPr>
          <w:rFonts w:ascii="仿宋" w:eastAsia="仿宋" w:hAnsi="仿宋" w:cs="仿宋" w:hint="eastAsia"/>
          <w:color w:val="1C1C1C"/>
          <w:sz w:val="32"/>
          <w:szCs w:val="32"/>
        </w:rPr>
        <w:t>千</w:t>
      </w:r>
      <w:proofErr w:type="gramEnd"/>
      <w:r>
        <w:rPr>
          <w:rFonts w:ascii="仿宋" w:eastAsia="仿宋" w:hAnsi="仿宋" w:cs="仿宋" w:hint="eastAsia"/>
          <w:color w:val="1C1C1C"/>
          <w:sz w:val="32"/>
          <w:szCs w:val="32"/>
        </w:rPr>
        <w:t>亿之间的城市共有28个。其中，20个城市满意度得分高于80分，所有城市</w:t>
      </w:r>
      <w:r>
        <w:rPr>
          <w:rFonts w:ascii="仿宋" w:eastAsia="仿宋" w:hAnsi="仿宋" w:cs="仿宋" w:hint="eastAsia"/>
          <w:color w:val="1C1C1C"/>
          <w:spacing w:val="-6"/>
          <w:sz w:val="32"/>
          <w:szCs w:val="32"/>
        </w:rPr>
        <w:t>的消费者满意度得分均在78分以上</w:t>
      </w:r>
      <w:r>
        <w:rPr>
          <w:rFonts w:ascii="仿宋" w:eastAsia="仿宋" w:hAnsi="仿宋" w:cs="仿宋" w:hint="eastAsia"/>
          <w:color w:val="1C1C1C"/>
          <w:sz w:val="32"/>
          <w:szCs w:val="32"/>
        </w:rPr>
        <w:t>。排名靠前的3个城市依次为：无锡市、烟台市、常州市；排名靠后的3个城市依次是：长春市、贵阳市、唐山市。</w:t>
      </w:r>
    </w:p>
    <w:p w:rsidR="002D6C73" w:rsidRDefault="00FB6868">
      <w:pPr>
        <w:jc w:val="center"/>
        <w:rPr>
          <w:rFonts w:ascii="黑体" w:eastAsia="黑体" w:hAnsi="黑体"/>
          <w:color w:val="1C1C1C"/>
          <w:sz w:val="28"/>
        </w:rPr>
      </w:pPr>
      <w:r>
        <w:rPr>
          <w:rFonts w:ascii="黑体" w:eastAsia="黑体" w:hAnsi="黑体" w:hint="eastAsia"/>
          <w:color w:val="1C1C1C"/>
          <w:sz w:val="28"/>
        </w:rPr>
        <w:t>表7 社会消费品零售总额2</w:t>
      </w:r>
      <w:proofErr w:type="gramStart"/>
      <w:r>
        <w:rPr>
          <w:rFonts w:ascii="黑体" w:eastAsia="黑体" w:hAnsi="黑体" w:hint="eastAsia"/>
          <w:color w:val="1C1C1C"/>
          <w:sz w:val="28"/>
        </w:rPr>
        <w:t>千亿</w:t>
      </w:r>
      <w:proofErr w:type="gramEnd"/>
      <w:r>
        <w:rPr>
          <w:rFonts w:ascii="黑体" w:eastAsia="黑体" w:hAnsi="黑体" w:hint="eastAsia"/>
          <w:color w:val="1C1C1C"/>
          <w:sz w:val="28"/>
        </w:rPr>
        <w:t>-4</w:t>
      </w:r>
      <w:proofErr w:type="gramStart"/>
      <w:r>
        <w:rPr>
          <w:rFonts w:ascii="黑体" w:eastAsia="黑体" w:hAnsi="黑体" w:hint="eastAsia"/>
          <w:color w:val="1C1C1C"/>
          <w:sz w:val="28"/>
        </w:rPr>
        <w:t>千</w:t>
      </w:r>
      <w:proofErr w:type="gramEnd"/>
      <w:r>
        <w:rPr>
          <w:rFonts w:ascii="黑体" w:eastAsia="黑体" w:hAnsi="黑体" w:hint="eastAsia"/>
          <w:color w:val="1C1C1C"/>
          <w:sz w:val="28"/>
        </w:rPr>
        <w:t>亿城市得分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651"/>
        <w:gridCol w:w="1439"/>
        <w:gridCol w:w="1230"/>
        <w:gridCol w:w="2073"/>
        <w:gridCol w:w="1437"/>
      </w:tblGrid>
      <w:tr w:rsidR="002D6C73">
        <w:trPr>
          <w:tblHeader/>
        </w:trPr>
        <w:tc>
          <w:tcPr>
            <w:tcW w:w="1230"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排名</w:t>
            </w:r>
          </w:p>
        </w:tc>
        <w:tc>
          <w:tcPr>
            <w:tcW w:w="1651" w:type="dxa"/>
            <w:shd w:val="clear" w:color="auto" w:fill="4472C4" w:themeFill="accent5"/>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城市</w:t>
            </w:r>
          </w:p>
        </w:tc>
        <w:tc>
          <w:tcPr>
            <w:tcW w:w="1439"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得分</w:t>
            </w:r>
          </w:p>
        </w:tc>
        <w:tc>
          <w:tcPr>
            <w:tcW w:w="1230"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排名</w:t>
            </w:r>
          </w:p>
        </w:tc>
        <w:tc>
          <w:tcPr>
            <w:tcW w:w="2073" w:type="dxa"/>
            <w:shd w:val="clear" w:color="auto" w:fill="4472C4" w:themeFill="accent5"/>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城市</w:t>
            </w:r>
          </w:p>
        </w:tc>
        <w:tc>
          <w:tcPr>
            <w:tcW w:w="1437"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得分</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无锡市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86.00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15</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温州市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80.95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烟台市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85.29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16</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沈阳市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80.78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lastRenderedPageBreak/>
              <w:t>3</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常州市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85.12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17</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盐城市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80.77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厦门市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83.16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18</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临沂市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80.75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潍坊市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82.08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19</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徐州市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80.43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6</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佛山市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81.93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20</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哈尔滨市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80.20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7</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金华市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81.90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21</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石家庄市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79.92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天津市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81.49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22</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台州市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79.38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9</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济宁市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81.46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23</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东莞市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79.31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10</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嘉兴市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81.38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24</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昆明市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79.15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11</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南通市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81.30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25</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南昌市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79.08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12</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洛阳市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81.24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26</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长春市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79.01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13</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南宁市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81.16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27</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贵阳市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78.95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14</w:t>
            </w:r>
          </w:p>
        </w:tc>
        <w:tc>
          <w:tcPr>
            <w:tcW w:w="165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绍兴市</w:t>
            </w:r>
          </w:p>
        </w:tc>
        <w:tc>
          <w:tcPr>
            <w:tcW w:w="143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81.12 </w:t>
            </w:r>
          </w:p>
        </w:tc>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28</w:t>
            </w:r>
          </w:p>
        </w:tc>
        <w:tc>
          <w:tcPr>
            <w:tcW w:w="20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唐山市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78.12 </w:t>
            </w: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社会消费品零售总额在1</w:t>
      </w:r>
      <w:proofErr w:type="gramStart"/>
      <w:r>
        <w:rPr>
          <w:rFonts w:ascii="仿宋" w:eastAsia="仿宋" w:hAnsi="仿宋" w:cs="仿宋" w:hint="eastAsia"/>
          <w:color w:val="1C1C1C"/>
          <w:sz w:val="32"/>
          <w:szCs w:val="32"/>
        </w:rPr>
        <w:t>千亿</w:t>
      </w:r>
      <w:proofErr w:type="gramEnd"/>
      <w:r>
        <w:rPr>
          <w:rFonts w:ascii="仿宋" w:eastAsia="仿宋" w:hAnsi="仿宋" w:cs="仿宋" w:hint="eastAsia"/>
          <w:color w:val="1C1C1C"/>
          <w:sz w:val="32"/>
          <w:szCs w:val="32"/>
        </w:rPr>
        <w:t>-2</w:t>
      </w:r>
      <w:proofErr w:type="gramStart"/>
      <w:r>
        <w:rPr>
          <w:rFonts w:ascii="仿宋" w:eastAsia="仿宋" w:hAnsi="仿宋" w:cs="仿宋" w:hint="eastAsia"/>
          <w:color w:val="1C1C1C"/>
          <w:sz w:val="32"/>
          <w:szCs w:val="32"/>
        </w:rPr>
        <w:t>千</w:t>
      </w:r>
      <w:proofErr w:type="gramEnd"/>
      <w:r>
        <w:rPr>
          <w:rFonts w:ascii="仿宋" w:eastAsia="仿宋" w:hAnsi="仿宋" w:cs="仿宋" w:hint="eastAsia"/>
          <w:color w:val="1C1C1C"/>
          <w:sz w:val="32"/>
          <w:szCs w:val="32"/>
        </w:rPr>
        <w:t>亿的城市共有22个。其中，</w:t>
      </w:r>
      <w:r>
        <w:rPr>
          <w:rFonts w:ascii="仿宋" w:eastAsia="仿宋" w:hAnsi="仿宋" w:cs="仿宋"/>
          <w:color w:val="1C1C1C"/>
          <w:sz w:val="32"/>
          <w:szCs w:val="32"/>
        </w:rPr>
        <w:t>6个城市满意度得分高于80分，</w:t>
      </w:r>
      <w:r>
        <w:rPr>
          <w:rFonts w:ascii="仿宋" w:eastAsia="仿宋" w:hAnsi="仿宋" w:cs="仿宋" w:hint="eastAsia"/>
          <w:color w:val="1C1C1C"/>
          <w:sz w:val="32"/>
          <w:szCs w:val="32"/>
        </w:rPr>
        <w:t>所有城市</w:t>
      </w:r>
      <w:r>
        <w:rPr>
          <w:rFonts w:ascii="仿宋" w:eastAsia="仿宋" w:hAnsi="仿宋" w:cs="仿宋" w:hint="eastAsia"/>
          <w:color w:val="1C1C1C"/>
          <w:spacing w:val="-6"/>
          <w:sz w:val="32"/>
          <w:szCs w:val="32"/>
        </w:rPr>
        <w:t>的消费者满意度得分均在77分以上</w:t>
      </w:r>
      <w:r>
        <w:rPr>
          <w:rFonts w:ascii="仿宋" w:eastAsia="仿宋" w:hAnsi="仿宋" w:cs="仿宋" w:hint="eastAsia"/>
          <w:color w:val="1C1C1C"/>
          <w:sz w:val="32"/>
          <w:szCs w:val="32"/>
        </w:rPr>
        <w:t>。排名靠前的3个城市依次为：宜昌市、襄阳市、岳阳市；排名靠后的3个城市依次是：兰州市、呼和浩特市、衡阳市。</w:t>
      </w:r>
    </w:p>
    <w:p w:rsidR="002D6C73" w:rsidRDefault="00FB6868">
      <w:pPr>
        <w:jc w:val="center"/>
        <w:rPr>
          <w:rFonts w:ascii="黑体" w:eastAsia="黑体" w:hAnsi="黑体"/>
          <w:color w:val="1C1C1C"/>
          <w:sz w:val="28"/>
        </w:rPr>
      </w:pPr>
      <w:r>
        <w:rPr>
          <w:rFonts w:ascii="黑体" w:eastAsia="黑体" w:hAnsi="黑体" w:hint="eastAsia"/>
          <w:color w:val="1C1C1C"/>
          <w:sz w:val="28"/>
        </w:rPr>
        <w:t>表8 社会消费品零售总额1</w:t>
      </w:r>
      <w:proofErr w:type="gramStart"/>
      <w:r>
        <w:rPr>
          <w:rFonts w:ascii="黑体" w:eastAsia="黑体" w:hAnsi="黑体" w:hint="eastAsia"/>
          <w:color w:val="1C1C1C"/>
          <w:sz w:val="28"/>
        </w:rPr>
        <w:t>千亿</w:t>
      </w:r>
      <w:proofErr w:type="gramEnd"/>
      <w:r>
        <w:rPr>
          <w:rFonts w:ascii="黑体" w:eastAsia="黑体" w:hAnsi="黑体" w:hint="eastAsia"/>
          <w:color w:val="1C1C1C"/>
          <w:sz w:val="28"/>
        </w:rPr>
        <w:t>-2</w:t>
      </w:r>
      <w:proofErr w:type="gramStart"/>
      <w:r>
        <w:rPr>
          <w:rFonts w:ascii="黑体" w:eastAsia="黑体" w:hAnsi="黑体" w:hint="eastAsia"/>
          <w:color w:val="1C1C1C"/>
          <w:sz w:val="28"/>
        </w:rPr>
        <w:t>千</w:t>
      </w:r>
      <w:proofErr w:type="gramEnd"/>
      <w:r>
        <w:rPr>
          <w:rFonts w:ascii="黑体" w:eastAsia="黑体" w:hAnsi="黑体" w:hint="eastAsia"/>
          <w:color w:val="1C1C1C"/>
          <w:sz w:val="28"/>
        </w:rPr>
        <w:t>亿城市得分</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2066"/>
        <w:gridCol w:w="1390"/>
        <w:gridCol w:w="1260"/>
        <w:gridCol w:w="1805"/>
        <w:gridCol w:w="1375"/>
      </w:tblGrid>
      <w:tr w:rsidR="002D6C73">
        <w:trPr>
          <w:tblHeader/>
        </w:trPr>
        <w:tc>
          <w:tcPr>
            <w:tcW w:w="1177"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排名</w:t>
            </w:r>
          </w:p>
        </w:tc>
        <w:tc>
          <w:tcPr>
            <w:tcW w:w="2066" w:type="dxa"/>
            <w:shd w:val="clear" w:color="auto" w:fill="4472C4" w:themeFill="accent5"/>
            <w:noWrap/>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城市</w:t>
            </w:r>
          </w:p>
        </w:tc>
        <w:tc>
          <w:tcPr>
            <w:tcW w:w="1390"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得分</w:t>
            </w:r>
          </w:p>
        </w:tc>
        <w:tc>
          <w:tcPr>
            <w:tcW w:w="1260"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排名</w:t>
            </w:r>
          </w:p>
        </w:tc>
        <w:tc>
          <w:tcPr>
            <w:tcW w:w="1805" w:type="dxa"/>
            <w:shd w:val="clear" w:color="auto" w:fill="4472C4" w:themeFill="accent5"/>
            <w:noWrap/>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城市</w:t>
            </w:r>
          </w:p>
        </w:tc>
        <w:tc>
          <w:tcPr>
            <w:tcW w:w="1375"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得分</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w:t>
            </w:r>
          </w:p>
        </w:tc>
        <w:tc>
          <w:tcPr>
            <w:tcW w:w="206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宜昌市</w:t>
            </w:r>
          </w:p>
        </w:tc>
        <w:tc>
          <w:tcPr>
            <w:tcW w:w="139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82.39 </w:t>
            </w:r>
          </w:p>
        </w:tc>
        <w:tc>
          <w:tcPr>
            <w:tcW w:w="12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12</w:t>
            </w:r>
          </w:p>
        </w:tc>
        <w:tc>
          <w:tcPr>
            <w:tcW w:w="180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南阳市</w:t>
            </w:r>
          </w:p>
        </w:tc>
        <w:tc>
          <w:tcPr>
            <w:tcW w:w="137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79.05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w:t>
            </w:r>
          </w:p>
        </w:tc>
        <w:tc>
          <w:tcPr>
            <w:tcW w:w="206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襄阳市</w:t>
            </w:r>
          </w:p>
        </w:tc>
        <w:tc>
          <w:tcPr>
            <w:tcW w:w="139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80.77 </w:t>
            </w:r>
          </w:p>
        </w:tc>
        <w:tc>
          <w:tcPr>
            <w:tcW w:w="12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13</w:t>
            </w:r>
          </w:p>
        </w:tc>
        <w:tc>
          <w:tcPr>
            <w:tcW w:w="180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遵义市</w:t>
            </w:r>
          </w:p>
        </w:tc>
        <w:tc>
          <w:tcPr>
            <w:tcW w:w="137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78.88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w:t>
            </w:r>
          </w:p>
        </w:tc>
        <w:tc>
          <w:tcPr>
            <w:tcW w:w="206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岳阳市</w:t>
            </w:r>
          </w:p>
        </w:tc>
        <w:tc>
          <w:tcPr>
            <w:tcW w:w="139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80.76 </w:t>
            </w:r>
          </w:p>
        </w:tc>
        <w:tc>
          <w:tcPr>
            <w:tcW w:w="12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14</w:t>
            </w:r>
          </w:p>
        </w:tc>
        <w:tc>
          <w:tcPr>
            <w:tcW w:w="180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阜阳市</w:t>
            </w:r>
          </w:p>
        </w:tc>
        <w:tc>
          <w:tcPr>
            <w:tcW w:w="137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78.79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w:t>
            </w:r>
          </w:p>
        </w:tc>
        <w:tc>
          <w:tcPr>
            <w:tcW w:w="206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大庆市</w:t>
            </w:r>
          </w:p>
        </w:tc>
        <w:tc>
          <w:tcPr>
            <w:tcW w:w="139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80.47 </w:t>
            </w:r>
          </w:p>
        </w:tc>
        <w:tc>
          <w:tcPr>
            <w:tcW w:w="12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15</w:t>
            </w:r>
          </w:p>
        </w:tc>
        <w:tc>
          <w:tcPr>
            <w:tcW w:w="180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绵阳市</w:t>
            </w:r>
          </w:p>
        </w:tc>
        <w:tc>
          <w:tcPr>
            <w:tcW w:w="137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78.78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w:t>
            </w:r>
          </w:p>
        </w:tc>
        <w:tc>
          <w:tcPr>
            <w:tcW w:w="206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芜湖市</w:t>
            </w:r>
          </w:p>
        </w:tc>
        <w:tc>
          <w:tcPr>
            <w:tcW w:w="139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80.15 </w:t>
            </w:r>
          </w:p>
        </w:tc>
        <w:tc>
          <w:tcPr>
            <w:tcW w:w="12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16</w:t>
            </w:r>
          </w:p>
        </w:tc>
        <w:tc>
          <w:tcPr>
            <w:tcW w:w="180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大连市</w:t>
            </w:r>
          </w:p>
        </w:tc>
        <w:tc>
          <w:tcPr>
            <w:tcW w:w="137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78.74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6</w:t>
            </w:r>
          </w:p>
        </w:tc>
        <w:tc>
          <w:tcPr>
            <w:tcW w:w="206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淄博市</w:t>
            </w:r>
          </w:p>
        </w:tc>
        <w:tc>
          <w:tcPr>
            <w:tcW w:w="139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80.09 </w:t>
            </w:r>
          </w:p>
        </w:tc>
        <w:tc>
          <w:tcPr>
            <w:tcW w:w="12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17</w:t>
            </w:r>
          </w:p>
        </w:tc>
        <w:tc>
          <w:tcPr>
            <w:tcW w:w="180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邯郸市</w:t>
            </w:r>
          </w:p>
        </w:tc>
        <w:tc>
          <w:tcPr>
            <w:tcW w:w="137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78.63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7</w:t>
            </w:r>
          </w:p>
        </w:tc>
        <w:tc>
          <w:tcPr>
            <w:tcW w:w="206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太原市</w:t>
            </w:r>
          </w:p>
        </w:tc>
        <w:tc>
          <w:tcPr>
            <w:tcW w:w="139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79.81 </w:t>
            </w:r>
          </w:p>
        </w:tc>
        <w:tc>
          <w:tcPr>
            <w:tcW w:w="12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18</w:t>
            </w:r>
          </w:p>
        </w:tc>
        <w:tc>
          <w:tcPr>
            <w:tcW w:w="180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汕头市</w:t>
            </w:r>
          </w:p>
        </w:tc>
        <w:tc>
          <w:tcPr>
            <w:tcW w:w="137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78.54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w:t>
            </w:r>
          </w:p>
        </w:tc>
        <w:tc>
          <w:tcPr>
            <w:tcW w:w="206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上饶市</w:t>
            </w:r>
          </w:p>
        </w:tc>
        <w:tc>
          <w:tcPr>
            <w:tcW w:w="139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79.72 </w:t>
            </w:r>
          </w:p>
        </w:tc>
        <w:tc>
          <w:tcPr>
            <w:tcW w:w="12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19</w:t>
            </w:r>
          </w:p>
        </w:tc>
        <w:tc>
          <w:tcPr>
            <w:tcW w:w="180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保定市</w:t>
            </w:r>
          </w:p>
        </w:tc>
        <w:tc>
          <w:tcPr>
            <w:tcW w:w="137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78.34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9</w:t>
            </w:r>
          </w:p>
        </w:tc>
        <w:tc>
          <w:tcPr>
            <w:tcW w:w="206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柳州市</w:t>
            </w:r>
          </w:p>
        </w:tc>
        <w:tc>
          <w:tcPr>
            <w:tcW w:w="139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79.66 </w:t>
            </w:r>
          </w:p>
        </w:tc>
        <w:tc>
          <w:tcPr>
            <w:tcW w:w="12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20</w:t>
            </w:r>
          </w:p>
        </w:tc>
        <w:tc>
          <w:tcPr>
            <w:tcW w:w="180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兰州市</w:t>
            </w:r>
          </w:p>
        </w:tc>
        <w:tc>
          <w:tcPr>
            <w:tcW w:w="137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78.03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lastRenderedPageBreak/>
              <w:t>10</w:t>
            </w:r>
          </w:p>
        </w:tc>
        <w:tc>
          <w:tcPr>
            <w:tcW w:w="206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赣州市</w:t>
            </w:r>
          </w:p>
        </w:tc>
        <w:tc>
          <w:tcPr>
            <w:tcW w:w="139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79.46 </w:t>
            </w:r>
          </w:p>
        </w:tc>
        <w:tc>
          <w:tcPr>
            <w:tcW w:w="12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21</w:t>
            </w:r>
          </w:p>
        </w:tc>
        <w:tc>
          <w:tcPr>
            <w:tcW w:w="180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呼和浩特市</w:t>
            </w:r>
          </w:p>
        </w:tc>
        <w:tc>
          <w:tcPr>
            <w:tcW w:w="137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77.55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11</w:t>
            </w:r>
          </w:p>
        </w:tc>
        <w:tc>
          <w:tcPr>
            <w:tcW w:w="206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南充市</w:t>
            </w:r>
          </w:p>
        </w:tc>
        <w:tc>
          <w:tcPr>
            <w:tcW w:w="139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79.29 </w:t>
            </w:r>
          </w:p>
        </w:tc>
        <w:tc>
          <w:tcPr>
            <w:tcW w:w="12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22</w:t>
            </w:r>
          </w:p>
        </w:tc>
        <w:tc>
          <w:tcPr>
            <w:tcW w:w="180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衡阳市</w:t>
            </w:r>
          </w:p>
        </w:tc>
        <w:tc>
          <w:tcPr>
            <w:tcW w:w="1375"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77.05 </w:t>
            </w: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社会消费品零售总额在1</w:t>
      </w:r>
      <w:proofErr w:type="gramStart"/>
      <w:r>
        <w:rPr>
          <w:rFonts w:ascii="仿宋" w:eastAsia="仿宋" w:hAnsi="仿宋" w:cs="仿宋" w:hint="eastAsia"/>
          <w:color w:val="1C1C1C"/>
          <w:sz w:val="32"/>
          <w:szCs w:val="32"/>
        </w:rPr>
        <w:t>千亿</w:t>
      </w:r>
      <w:proofErr w:type="gramEnd"/>
      <w:r>
        <w:rPr>
          <w:rFonts w:ascii="仿宋" w:eastAsia="仿宋" w:hAnsi="仿宋" w:cs="仿宋" w:hint="eastAsia"/>
          <w:color w:val="1C1C1C"/>
          <w:sz w:val="32"/>
          <w:szCs w:val="32"/>
        </w:rPr>
        <w:t>以下的城市共有31个。其中，7</w:t>
      </w:r>
      <w:r>
        <w:rPr>
          <w:rFonts w:ascii="仿宋" w:eastAsia="仿宋" w:hAnsi="仿宋" w:cs="仿宋"/>
          <w:color w:val="1C1C1C"/>
          <w:sz w:val="32"/>
          <w:szCs w:val="32"/>
        </w:rPr>
        <w:t>个城市满意度得分高于80分，</w:t>
      </w:r>
      <w:r>
        <w:rPr>
          <w:rFonts w:ascii="仿宋" w:eastAsia="仿宋" w:hAnsi="仿宋" w:cs="仿宋" w:hint="eastAsia"/>
          <w:color w:val="1C1C1C"/>
          <w:sz w:val="32"/>
          <w:szCs w:val="32"/>
        </w:rPr>
        <w:t>所有城市</w:t>
      </w:r>
      <w:r>
        <w:rPr>
          <w:rFonts w:ascii="仿宋" w:eastAsia="仿宋" w:hAnsi="仿宋" w:cs="仿宋" w:hint="eastAsia"/>
          <w:color w:val="1C1C1C"/>
          <w:spacing w:val="-6"/>
          <w:sz w:val="32"/>
          <w:szCs w:val="32"/>
        </w:rPr>
        <w:t>的消费者满意度得分均在76分以上</w:t>
      </w:r>
      <w:r>
        <w:rPr>
          <w:rFonts w:ascii="仿宋" w:eastAsia="仿宋" w:hAnsi="仿宋" w:cs="仿宋" w:hint="eastAsia"/>
          <w:color w:val="1C1C1C"/>
          <w:sz w:val="32"/>
          <w:szCs w:val="32"/>
        </w:rPr>
        <w:t>。排名靠前的3个城市依次为：吴忠市、克拉玛依市、日喀则市；排名靠后的3个城市依次是：松原市、海口市、庆阳市。</w:t>
      </w:r>
    </w:p>
    <w:p w:rsidR="002D6C73" w:rsidRDefault="00FB6868">
      <w:pPr>
        <w:jc w:val="center"/>
        <w:rPr>
          <w:rFonts w:ascii="黑体" w:eastAsia="黑体" w:hAnsi="黑体"/>
          <w:color w:val="1C1C1C"/>
        </w:rPr>
      </w:pPr>
      <w:r>
        <w:rPr>
          <w:rFonts w:ascii="黑体" w:eastAsia="黑体" w:hAnsi="黑体" w:hint="eastAsia"/>
          <w:color w:val="1C1C1C"/>
          <w:sz w:val="28"/>
        </w:rPr>
        <w:t>表9 社会消费品零售总额1</w:t>
      </w:r>
      <w:proofErr w:type="gramStart"/>
      <w:r>
        <w:rPr>
          <w:rFonts w:ascii="黑体" w:eastAsia="黑体" w:hAnsi="黑体" w:hint="eastAsia"/>
          <w:color w:val="1C1C1C"/>
          <w:sz w:val="28"/>
        </w:rPr>
        <w:t>千亿</w:t>
      </w:r>
      <w:proofErr w:type="gramEnd"/>
      <w:r>
        <w:rPr>
          <w:rFonts w:ascii="黑体" w:eastAsia="黑体" w:hAnsi="黑体" w:hint="eastAsia"/>
          <w:color w:val="1C1C1C"/>
          <w:sz w:val="28"/>
        </w:rPr>
        <w:t>以下城市得分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2213"/>
        <w:gridCol w:w="1310"/>
        <w:gridCol w:w="1060"/>
        <w:gridCol w:w="1810"/>
        <w:gridCol w:w="1437"/>
      </w:tblGrid>
      <w:tr w:rsidR="002D6C73">
        <w:trPr>
          <w:tblHeader/>
        </w:trPr>
        <w:tc>
          <w:tcPr>
            <w:tcW w:w="1230"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排名</w:t>
            </w:r>
          </w:p>
        </w:tc>
        <w:tc>
          <w:tcPr>
            <w:tcW w:w="2213" w:type="dxa"/>
            <w:shd w:val="clear" w:color="auto" w:fill="4472C4" w:themeFill="accent5"/>
            <w:noWrap/>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城市</w:t>
            </w:r>
          </w:p>
        </w:tc>
        <w:tc>
          <w:tcPr>
            <w:tcW w:w="1310"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得分</w:t>
            </w:r>
          </w:p>
        </w:tc>
        <w:tc>
          <w:tcPr>
            <w:tcW w:w="1060"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排名</w:t>
            </w:r>
          </w:p>
        </w:tc>
        <w:tc>
          <w:tcPr>
            <w:tcW w:w="1810" w:type="dxa"/>
            <w:shd w:val="clear" w:color="auto" w:fill="4472C4" w:themeFill="accent5"/>
            <w:noWrap/>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城市</w:t>
            </w:r>
          </w:p>
        </w:tc>
        <w:tc>
          <w:tcPr>
            <w:tcW w:w="1437"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得分</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吴忠市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81.38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17</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海东市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79.33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克拉玛依市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80.72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18</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石嘴山市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79.31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日喀则市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80.70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19</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哈密市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79.25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山南市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80.64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20</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曲靖市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79.10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银川市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80.30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21</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吉林市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79.09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6</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拉萨市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80.18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22</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儋州市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78.78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7</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西宁市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80.07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23</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桂林市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78.73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海西蒙古族藏族自治州</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79.98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24</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运城市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78.44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9</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渭南市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79.91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25</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玉溪市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78.30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10</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包头市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79.89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26</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乌鲁木齐市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78.21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11</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大同市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79.76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27</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宝鸡市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77.39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12</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齐齐哈尔市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79.54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28</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三亚市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77.38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13</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天水市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79.49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29</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松原市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77.32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14</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毕节市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79.44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30</w:t>
            </w:r>
          </w:p>
        </w:tc>
        <w:tc>
          <w:tcPr>
            <w:tcW w:w="18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海口市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76.80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15</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鞍山市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79.36 </w:t>
            </w:r>
          </w:p>
        </w:tc>
        <w:tc>
          <w:tcPr>
            <w:tcW w:w="106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31</w:t>
            </w:r>
          </w:p>
        </w:tc>
        <w:tc>
          <w:tcPr>
            <w:tcW w:w="1810" w:type="dxa"/>
            <w:noWrap/>
            <w:vAlign w:val="center"/>
          </w:tcPr>
          <w:p w:rsidR="002D6C73" w:rsidRDefault="00FB6868">
            <w:pPr>
              <w:pStyle w:val="10"/>
              <w:spacing w:line="400" w:lineRule="exact"/>
              <w:rPr>
                <w:rFonts w:ascii="仿宋" w:eastAsia="仿宋" w:hAnsi="仿宋" w:cs="仿宋"/>
                <w:color w:val="1C1C1C"/>
                <w:sz w:val="28"/>
              </w:rPr>
            </w:pPr>
            <w:proofErr w:type="gramStart"/>
            <w:r>
              <w:rPr>
                <w:rFonts w:ascii="仿宋" w:eastAsia="仿宋" w:hAnsi="仿宋" w:cs="仿宋" w:hint="eastAsia"/>
                <w:color w:val="1C1C1C"/>
                <w:sz w:val="28"/>
              </w:rPr>
              <w:t>庆阳市</w:t>
            </w:r>
            <w:proofErr w:type="gramEnd"/>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76.65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rPr>
            </w:pPr>
            <w:bookmarkStart w:id="43" w:name="_Toc33719403"/>
            <w:r>
              <w:rPr>
                <w:rFonts w:ascii="仿宋" w:eastAsia="仿宋" w:hAnsi="仿宋" w:cs="仿宋" w:hint="eastAsia"/>
                <w:color w:val="1C1C1C"/>
                <w:sz w:val="28"/>
              </w:rPr>
              <w:t>16</w:t>
            </w:r>
          </w:p>
        </w:tc>
        <w:tc>
          <w:tcPr>
            <w:tcW w:w="221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鄂尔多斯市</w:t>
            </w:r>
          </w:p>
        </w:tc>
        <w:tc>
          <w:tcPr>
            <w:tcW w:w="13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79.35 </w:t>
            </w:r>
          </w:p>
        </w:tc>
        <w:tc>
          <w:tcPr>
            <w:tcW w:w="1060" w:type="dxa"/>
            <w:noWrap/>
            <w:vAlign w:val="center"/>
          </w:tcPr>
          <w:p w:rsidR="002D6C73" w:rsidRDefault="002D6C73">
            <w:pPr>
              <w:pStyle w:val="10"/>
              <w:spacing w:line="400" w:lineRule="exact"/>
              <w:rPr>
                <w:rFonts w:ascii="仿宋" w:eastAsia="仿宋" w:hAnsi="仿宋" w:cs="仿宋"/>
                <w:color w:val="1C1C1C"/>
                <w:sz w:val="28"/>
              </w:rPr>
            </w:pPr>
          </w:p>
        </w:tc>
        <w:tc>
          <w:tcPr>
            <w:tcW w:w="1810" w:type="dxa"/>
            <w:noWrap/>
            <w:vAlign w:val="bottom"/>
          </w:tcPr>
          <w:p w:rsidR="002D6C73" w:rsidRDefault="002D6C73">
            <w:pPr>
              <w:pStyle w:val="10"/>
              <w:spacing w:line="400" w:lineRule="exact"/>
              <w:rPr>
                <w:rFonts w:ascii="仿宋" w:eastAsia="仿宋" w:hAnsi="仿宋" w:cs="仿宋"/>
                <w:color w:val="1C1C1C"/>
                <w:sz w:val="28"/>
              </w:rPr>
            </w:pPr>
          </w:p>
        </w:tc>
        <w:tc>
          <w:tcPr>
            <w:tcW w:w="1437" w:type="dxa"/>
            <w:noWrap/>
            <w:vAlign w:val="bottom"/>
          </w:tcPr>
          <w:p w:rsidR="002D6C73" w:rsidRDefault="002D6C73">
            <w:pPr>
              <w:pStyle w:val="10"/>
              <w:spacing w:line="400" w:lineRule="exact"/>
              <w:rPr>
                <w:rFonts w:ascii="仿宋" w:eastAsia="仿宋" w:hAnsi="仿宋" w:cs="仿宋"/>
                <w:color w:val="1C1C1C"/>
                <w:sz w:val="28"/>
              </w:rPr>
            </w:pPr>
          </w:p>
        </w:tc>
      </w:tr>
    </w:tbl>
    <w:p w:rsidR="002D6C73" w:rsidRDefault="002D6C73"/>
    <w:p w:rsidR="002D6C73" w:rsidRDefault="00FB6868">
      <w:pPr>
        <w:rPr>
          <w:rFonts w:ascii="仿宋" w:eastAsia="仿宋" w:hAnsi="仿宋" w:cs="仿宋"/>
          <w:color w:val="1C1C1C"/>
          <w:sz w:val="32"/>
          <w:szCs w:val="32"/>
        </w:rPr>
      </w:pPr>
      <w:r>
        <w:rPr>
          <w:rFonts w:ascii="仿宋" w:eastAsia="仿宋" w:hAnsi="仿宋" w:cs="仿宋" w:hint="eastAsia"/>
          <w:color w:val="1C1C1C"/>
          <w:sz w:val="32"/>
          <w:szCs w:val="32"/>
        </w:rPr>
        <w:br w:type="page"/>
      </w:r>
    </w:p>
    <w:p w:rsidR="002D6C73" w:rsidRDefault="00FB6868">
      <w:pPr>
        <w:pStyle w:val="3"/>
        <w:ind w:firstLine="640"/>
        <w:rPr>
          <w:rFonts w:ascii="仿宋" w:eastAsia="仿宋" w:hAnsi="仿宋" w:cs="仿宋"/>
          <w:color w:val="1C1C1C"/>
          <w:sz w:val="32"/>
          <w:szCs w:val="32"/>
        </w:rPr>
      </w:pPr>
      <w:bookmarkStart w:id="44" w:name="_Toc62721764"/>
      <w:bookmarkStart w:id="45" w:name="_Toc18381"/>
      <w:r>
        <w:rPr>
          <w:rFonts w:ascii="仿宋" w:eastAsia="仿宋" w:hAnsi="仿宋" w:cs="仿宋" w:hint="eastAsia"/>
          <w:color w:val="1C1C1C"/>
          <w:sz w:val="32"/>
          <w:szCs w:val="32"/>
        </w:rPr>
        <w:lastRenderedPageBreak/>
        <w:t>（三）基于行政层级分类的各城市得分</w:t>
      </w:r>
      <w:bookmarkEnd w:id="43"/>
      <w:bookmarkEnd w:id="44"/>
      <w:bookmarkEnd w:id="45"/>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4个直辖市的得分均在78分以上，排名依次为：上海市、北京市、天津市、重庆市。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表10 直辖市消费者满意度得分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2"/>
        <w:gridCol w:w="3461"/>
        <w:gridCol w:w="3017"/>
      </w:tblGrid>
      <w:tr w:rsidR="002D6C73">
        <w:tc>
          <w:tcPr>
            <w:tcW w:w="2582"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排名</w:t>
            </w:r>
          </w:p>
        </w:tc>
        <w:tc>
          <w:tcPr>
            <w:tcW w:w="3461" w:type="dxa"/>
            <w:shd w:val="clear" w:color="auto" w:fill="4472C4" w:themeFill="accent5"/>
            <w:noWrap/>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城市</w:t>
            </w:r>
          </w:p>
        </w:tc>
        <w:tc>
          <w:tcPr>
            <w:tcW w:w="3017"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得分</w:t>
            </w:r>
          </w:p>
        </w:tc>
      </w:tr>
      <w:tr w:rsidR="002D6C73">
        <w:tc>
          <w:tcPr>
            <w:tcW w:w="2582"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上海市</w:t>
            </w:r>
          </w:p>
        </w:tc>
        <w:tc>
          <w:tcPr>
            <w:tcW w:w="3017" w:type="dxa"/>
            <w:noWrap/>
            <w:vAlign w:val="bottom"/>
          </w:tcPr>
          <w:p w:rsidR="002D6C73" w:rsidRDefault="00FB6868">
            <w:pPr>
              <w:jc w:val="center"/>
              <w:textAlignment w:val="bottom"/>
              <w:rPr>
                <w:rFonts w:ascii="仿宋" w:eastAsia="仿宋" w:hAnsi="仿宋" w:cs="仿宋"/>
                <w:bCs/>
                <w:color w:val="1C1C1C"/>
                <w:kern w:val="2"/>
                <w:sz w:val="28"/>
              </w:rPr>
            </w:pPr>
            <w:r>
              <w:rPr>
                <w:rFonts w:ascii="仿宋" w:eastAsia="仿宋" w:hAnsi="仿宋" w:cs="仿宋" w:hint="eastAsia"/>
                <w:bCs/>
                <w:color w:val="1C1C1C"/>
                <w:kern w:val="2"/>
                <w:sz w:val="28"/>
              </w:rPr>
              <w:t xml:space="preserve">84.57 </w:t>
            </w:r>
          </w:p>
        </w:tc>
      </w:tr>
      <w:tr w:rsidR="002D6C73">
        <w:tc>
          <w:tcPr>
            <w:tcW w:w="2582"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2</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北京市</w:t>
            </w:r>
          </w:p>
        </w:tc>
        <w:tc>
          <w:tcPr>
            <w:tcW w:w="3017" w:type="dxa"/>
            <w:noWrap/>
            <w:vAlign w:val="bottom"/>
          </w:tcPr>
          <w:p w:rsidR="002D6C73" w:rsidRDefault="00FB6868">
            <w:pPr>
              <w:jc w:val="center"/>
              <w:textAlignment w:val="bottom"/>
              <w:rPr>
                <w:rFonts w:ascii="仿宋" w:eastAsia="仿宋" w:hAnsi="仿宋" w:cs="仿宋"/>
                <w:bCs/>
                <w:color w:val="1C1C1C"/>
                <w:kern w:val="2"/>
                <w:sz w:val="28"/>
              </w:rPr>
            </w:pPr>
            <w:r>
              <w:rPr>
                <w:rFonts w:ascii="仿宋" w:eastAsia="仿宋" w:hAnsi="仿宋" w:cs="仿宋" w:hint="eastAsia"/>
                <w:bCs/>
                <w:color w:val="1C1C1C"/>
                <w:kern w:val="2"/>
                <w:sz w:val="28"/>
              </w:rPr>
              <w:t xml:space="preserve">83.49 </w:t>
            </w:r>
          </w:p>
        </w:tc>
      </w:tr>
      <w:tr w:rsidR="002D6C73">
        <w:tc>
          <w:tcPr>
            <w:tcW w:w="2582"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3</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天津市</w:t>
            </w:r>
          </w:p>
        </w:tc>
        <w:tc>
          <w:tcPr>
            <w:tcW w:w="3017" w:type="dxa"/>
            <w:noWrap/>
            <w:vAlign w:val="bottom"/>
          </w:tcPr>
          <w:p w:rsidR="002D6C73" w:rsidRDefault="00FB6868">
            <w:pPr>
              <w:jc w:val="center"/>
              <w:textAlignment w:val="bottom"/>
              <w:rPr>
                <w:rFonts w:ascii="仿宋" w:eastAsia="仿宋" w:hAnsi="仿宋" w:cs="仿宋"/>
                <w:bCs/>
                <w:color w:val="1C1C1C"/>
                <w:kern w:val="2"/>
                <w:sz w:val="28"/>
              </w:rPr>
            </w:pPr>
            <w:r>
              <w:rPr>
                <w:rFonts w:ascii="仿宋" w:eastAsia="仿宋" w:hAnsi="仿宋" w:cs="仿宋" w:hint="eastAsia"/>
                <w:bCs/>
                <w:color w:val="1C1C1C"/>
                <w:kern w:val="2"/>
                <w:sz w:val="28"/>
              </w:rPr>
              <w:t xml:space="preserve">81.49 </w:t>
            </w:r>
          </w:p>
        </w:tc>
      </w:tr>
      <w:tr w:rsidR="002D6C73">
        <w:tc>
          <w:tcPr>
            <w:tcW w:w="2582"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4</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重庆市</w:t>
            </w:r>
          </w:p>
        </w:tc>
        <w:tc>
          <w:tcPr>
            <w:tcW w:w="3017" w:type="dxa"/>
            <w:noWrap/>
            <w:vAlign w:val="bottom"/>
          </w:tcPr>
          <w:p w:rsidR="002D6C73" w:rsidRDefault="00FB6868">
            <w:pPr>
              <w:jc w:val="center"/>
              <w:textAlignment w:val="bottom"/>
              <w:rPr>
                <w:rFonts w:ascii="仿宋" w:eastAsia="仿宋" w:hAnsi="仿宋" w:cs="仿宋"/>
                <w:bCs/>
                <w:color w:val="1C1C1C"/>
                <w:kern w:val="2"/>
                <w:sz w:val="28"/>
              </w:rPr>
            </w:pPr>
            <w:r>
              <w:rPr>
                <w:rFonts w:ascii="仿宋" w:eastAsia="仿宋" w:hAnsi="仿宋" w:cs="仿宋" w:hint="eastAsia"/>
                <w:bCs/>
                <w:color w:val="1C1C1C"/>
                <w:kern w:val="2"/>
                <w:sz w:val="28"/>
              </w:rPr>
              <w:t xml:space="preserve">78.79 </w:t>
            </w: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5个计划单列市的得分均在78分以上，排名依次为：青岛市、厦门市、宁波市、深圳市、大连市。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表11 计划单列市消费者满意度得分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2"/>
        <w:gridCol w:w="3461"/>
        <w:gridCol w:w="3017"/>
      </w:tblGrid>
      <w:tr w:rsidR="002D6C73">
        <w:trPr>
          <w:trHeight w:val="403"/>
        </w:trPr>
        <w:tc>
          <w:tcPr>
            <w:tcW w:w="2582" w:type="dxa"/>
            <w:shd w:val="clear" w:color="auto" w:fill="4472C4" w:themeFill="accent5"/>
            <w:vAlign w:val="center"/>
          </w:tcPr>
          <w:p w:rsidR="002D6C73" w:rsidRDefault="00FB6868">
            <w:pPr>
              <w:pStyle w:val="10"/>
              <w:rPr>
                <w:rFonts w:ascii="仿宋" w:hAnsi="仿宋" w:cs="宋体"/>
                <w:b/>
                <w:color w:val="1C1C1C"/>
                <w:kern w:val="0"/>
              </w:rPr>
            </w:pPr>
            <w:r>
              <w:rPr>
                <w:rFonts w:ascii="黑体" w:eastAsia="黑体" w:hAnsi="黑体" w:cs="黑体" w:hint="eastAsia"/>
                <w:bCs w:val="0"/>
                <w:color w:val="1C1C1C"/>
                <w:sz w:val="28"/>
                <w:szCs w:val="22"/>
              </w:rPr>
              <w:t>排名</w:t>
            </w:r>
          </w:p>
        </w:tc>
        <w:tc>
          <w:tcPr>
            <w:tcW w:w="3461" w:type="dxa"/>
            <w:shd w:val="clear" w:color="auto" w:fill="4472C4" w:themeFill="accent5"/>
            <w:noWrap/>
            <w:vAlign w:val="center"/>
          </w:tcPr>
          <w:p w:rsidR="002D6C73" w:rsidRDefault="00FB6868">
            <w:pPr>
              <w:pStyle w:val="10"/>
              <w:rPr>
                <w:rFonts w:ascii="仿宋" w:hAnsi="仿宋" w:cs="宋体"/>
                <w:b/>
                <w:color w:val="1C1C1C"/>
                <w:kern w:val="0"/>
              </w:rPr>
            </w:pPr>
            <w:r>
              <w:rPr>
                <w:rFonts w:ascii="黑体" w:eastAsia="黑体" w:hAnsi="黑体" w:cs="黑体" w:hint="eastAsia"/>
                <w:bCs w:val="0"/>
                <w:color w:val="1C1C1C"/>
                <w:sz w:val="28"/>
                <w:szCs w:val="22"/>
              </w:rPr>
              <w:t>城市</w:t>
            </w:r>
          </w:p>
        </w:tc>
        <w:tc>
          <w:tcPr>
            <w:tcW w:w="3017" w:type="dxa"/>
            <w:shd w:val="clear" w:color="auto" w:fill="4472C4" w:themeFill="accent5"/>
            <w:vAlign w:val="center"/>
          </w:tcPr>
          <w:p w:rsidR="002D6C73" w:rsidRDefault="00FB6868">
            <w:pPr>
              <w:pStyle w:val="10"/>
              <w:rPr>
                <w:rFonts w:ascii="仿宋" w:hAnsi="仿宋" w:cs="宋体"/>
                <w:b/>
                <w:color w:val="1C1C1C"/>
                <w:kern w:val="0"/>
              </w:rPr>
            </w:pPr>
            <w:r>
              <w:rPr>
                <w:rFonts w:ascii="黑体" w:eastAsia="黑体" w:hAnsi="黑体" w:cs="黑体" w:hint="eastAsia"/>
                <w:bCs w:val="0"/>
                <w:color w:val="1C1C1C"/>
                <w:sz w:val="28"/>
                <w:szCs w:val="22"/>
              </w:rPr>
              <w:t>得分</w:t>
            </w:r>
          </w:p>
        </w:tc>
      </w:tr>
      <w:tr w:rsidR="002D6C73">
        <w:trPr>
          <w:trHeight w:val="403"/>
        </w:trPr>
        <w:tc>
          <w:tcPr>
            <w:tcW w:w="2582"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青岛市</w:t>
            </w:r>
          </w:p>
        </w:tc>
        <w:tc>
          <w:tcPr>
            <w:tcW w:w="3017" w:type="dxa"/>
            <w:noWrap/>
            <w:vAlign w:val="bottom"/>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87.01 </w:t>
            </w:r>
          </w:p>
        </w:tc>
      </w:tr>
      <w:tr w:rsidR="002D6C73">
        <w:trPr>
          <w:trHeight w:val="403"/>
        </w:trPr>
        <w:tc>
          <w:tcPr>
            <w:tcW w:w="2582"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2</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厦门市</w:t>
            </w:r>
          </w:p>
        </w:tc>
        <w:tc>
          <w:tcPr>
            <w:tcW w:w="3017" w:type="dxa"/>
            <w:noWrap/>
            <w:vAlign w:val="bottom"/>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83.16 </w:t>
            </w:r>
          </w:p>
        </w:tc>
      </w:tr>
      <w:tr w:rsidR="002D6C73">
        <w:trPr>
          <w:trHeight w:val="403"/>
        </w:trPr>
        <w:tc>
          <w:tcPr>
            <w:tcW w:w="2582"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3</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宁波市</w:t>
            </w:r>
          </w:p>
        </w:tc>
        <w:tc>
          <w:tcPr>
            <w:tcW w:w="3017" w:type="dxa"/>
            <w:noWrap/>
            <w:vAlign w:val="bottom"/>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82.40 </w:t>
            </w:r>
          </w:p>
        </w:tc>
      </w:tr>
      <w:tr w:rsidR="002D6C73">
        <w:trPr>
          <w:trHeight w:val="403"/>
        </w:trPr>
        <w:tc>
          <w:tcPr>
            <w:tcW w:w="2582"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4</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深圳市</w:t>
            </w:r>
          </w:p>
        </w:tc>
        <w:tc>
          <w:tcPr>
            <w:tcW w:w="3017" w:type="dxa"/>
            <w:noWrap/>
            <w:vAlign w:val="bottom"/>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81.00 </w:t>
            </w:r>
          </w:p>
        </w:tc>
      </w:tr>
      <w:tr w:rsidR="002D6C73">
        <w:trPr>
          <w:trHeight w:val="403"/>
        </w:trPr>
        <w:tc>
          <w:tcPr>
            <w:tcW w:w="2582"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5</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大连市</w:t>
            </w:r>
          </w:p>
        </w:tc>
        <w:tc>
          <w:tcPr>
            <w:tcW w:w="3017" w:type="dxa"/>
            <w:noWrap/>
            <w:vAlign w:val="bottom"/>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78.74 </w:t>
            </w: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27个省会城市中，得分在80分以上的城市有12个。其中，排名靠前的3个城市依次为：杭州市、南京市、成都市；排名靠后的3个城市依次为：呼和浩特市、海口市、西安市。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表12</w:t>
      </w:r>
      <w:r>
        <w:rPr>
          <w:rFonts w:ascii="黑体" w:eastAsia="黑体" w:hAnsi="黑体"/>
          <w:color w:val="1C1C1C"/>
          <w:sz w:val="28"/>
          <w:szCs w:val="32"/>
        </w:rPr>
        <w:t xml:space="preserve"> </w:t>
      </w:r>
      <w:r>
        <w:rPr>
          <w:rFonts w:ascii="黑体" w:eastAsia="黑体" w:hAnsi="黑体" w:hint="eastAsia"/>
          <w:color w:val="1C1C1C"/>
          <w:sz w:val="28"/>
          <w:szCs w:val="32"/>
        </w:rPr>
        <w:t>省会城市消费者满意度得分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1996"/>
        <w:gridCol w:w="1410"/>
        <w:gridCol w:w="1350"/>
        <w:gridCol w:w="1754"/>
        <w:gridCol w:w="1373"/>
      </w:tblGrid>
      <w:tr w:rsidR="002D6C73">
        <w:trPr>
          <w:tblHeader/>
        </w:trPr>
        <w:tc>
          <w:tcPr>
            <w:tcW w:w="1177" w:type="dxa"/>
            <w:shd w:val="clear" w:color="auto" w:fill="4472C4" w:themeFill="accent5"/>
            <w:vAlign w:val="center"/>
          </w:tcPr>
          <w:p w:rsidR="002D6C73" w:rsidRDefault="00FB6868">
            <w:pPr>
              <w:pStyle w:val="10"/>
              <w:spacing w:line="400" w:lineRule="exact"/>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排名</w:t>
            </w:r>
          </w:p>
        </w:tc>
        <w:tc>
          <w:tcPr>
            <w:tcW w:w="1996"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城市</w:t>
            </w:r>
          </w:p>
        </w:tc>
        <w:tc>
          <w:tcPr>
            <w:tcW w:w="1410" w:type="dxa"/>
            <w:shd w:val="clear" w:color="auto" w:fill="4472C4" w:themeFill="accent5"/>
            <w:vAlign w:val="center"/>
          </w:tcPr>
          <w:p w:rsidR="002D6C73" w:rsidRDefault="00FB6868">
            <w:pPr>
              <w:pStyle w:val="10"/>
              <w:spacing w:line="400" w:lineRule="exact"/>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得分</w:t>
            </w:r>
          </w:p>
        </w:tc>
        <w:tc>
          <w:tcPr>
            <w:tcW w:w="1350" w:type="dxa"/>
            <w:shd w:val="clear" w:color="auto" w:fill="4472C4" w:themeFill="accent5"/>
            <w:vAlign w:val="center"/>
          </w:tcPr>
          <w:p w:rsidR="002D6C73" w:rsidRDefault="00FB6868">
            <w:pPr>
              <w:pStyle w:val="10"/>
              <w:spacing w:line="400" w:lineRule="exact"/>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排名</w:t>
            </w:r>
          </w:p>
        </w:tc>
        <w:tc>
          <w:tcPr>
            <w:tcW w:w="1754"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城市</w:t>
            </w:r>
          </w:p>
        </w:tc>
        <w:tc>
          <w:tcPr>
            <w:tcW w:w="1373" w:type="dxa"/>
            <w:shd w:val="clear" w:color="auto" w:fill="4472C4" w:themeFill="accent5"/>
            <w:vAlign w:val="center"/>
          </w:tcPr>
          <w:p w:rsidR="002D6C73" w:rsidRDefault="00FB6868">
            <w:pPr>
              <w:pStyle w:val="10"/>
              <w:spacing w:line="400" w:lineRule="exact"/>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得分</w:t>
            </w:r>
          </w:p>
        </w:tc>
      </w:tr>
      <w:tr w:rsidR="002D6C73">
        <w:tc>
          <w:tcPr>
            <w:tcW w:w="1177" w:type="dxa"/>
            <w:noWrap/>
            <w:vAlign w:val="center"/>
          </w:tcPr>
          <w:p w:rsidR="002D6C73" w:rsidRDefault="00FB6868">
            <w:pPr>
              <w:pStyle w:val="10"/>
              <w:spacing w:line="400" w:lineRule="exact"/>
              <w:rPr>
                <w:rFonts w:ascii="仿宋" w:eastAsia="仿宋" w:hAnsi="仿宋" w:cs="仿宋"/>
                <w:color w:val="1C1C1C"/>
                <w:kern w:val="0"/>
                <w:sz w:val="28"/>
                <w:szCs w:val="22"/>
              </w:rPr>
            </w:pPr>
            <w:r>
              <w:rPr>
                <w:rFonts w:ascii="仿宋" w:eastAsia="仿宋" w:hAnsi="仿宋" w:cs="仿宋" w:hint="eastAsia"/>
                <w:color w:val="1C1C1C"/>
                <w:sz w:val="28"/>
                <w:szCs w:val="22"/>
              </w:rPr>
              <w:t>1</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杭州市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87.34</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15</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福州市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79.36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lastRenderedPageBreak/>
              <w:t>2</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南京市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86.04</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16</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郑州市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79.26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成都市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81.85</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17</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昆明市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79.15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南宁市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81.16</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18</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南昌市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79.08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广州市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80.90</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19</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长春市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79.01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沈阳市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80.78</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20</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贵阳市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78.95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济南市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80.78</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21</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长沙市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78.83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银川市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80.30</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22</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合肥市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78.76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哈尔滨市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80.20</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23</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乌鲁木齐市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78.21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拉萨市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80.18</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24</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兰州市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78.03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武汉市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80.09</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25</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呼和浩特市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77.55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西宁市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80.07</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26</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海口市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76.80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石家庄市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79.92</w:t>
            </w:r>
          </w:p>
        </w:tc>
        <w:tc>
          <w:tcPr>
            <w:tcW w:w="135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27</w:t>
            </w:r>
          </w:p>
        </w:tc>
        <w:tc>
          <w:tcPr>
            <w:tcW w:w="175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西安市</w:t>
            </w:r>
          </w:p>
        </w:tc>
        <w:tc>
          <w:tcPr>
            <w:tcW w:w="137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76.73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1996"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太原市</w:t>
            </w:r>
          </w:p>
        </w:tc>
        <w:tc>
          <w:tcPr>
            <w:tcW w:w="1410"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79.81</w:t>
            </w:r>
          </w:p>
        </w:tc>
        <w:tc>
          <w:tcPr>
            <w:tcW w:w="1350" w:type="dxa"/>
            <w:noWrap/>
            <w:vAlign w:val="center"/>
          </w:tcPr>
          <w:p w:rsidR="002D6C73" w:rsidRDefault="002D6C73">
            <w:pPr>
              <w:pStyle w:val="10"/>
              <w:spacing w:line="400" w:lineRule="exact"/>
              <w:rPr>
                <w:rFonts w:ascii="仿宋" w:eastAsia="仿宋" w:hAnsi="仿宋" w:cs="仿宋"/>
                <w:color w:val="1C1C1C"/>
                <w:sz w:val="28"/>
                <w:szCs w:val="22"/>
              </w:rPr>
            </w:pPr>
          </w:p>
        </w:tc>
        <w:tc>
          <w:tcPr>
            <w:tcW w:w="1754" w:type="dxa"/>
            <w:noWrap/>
            <w:vAlign w:val="center"/>
          </w:tcPr>
          <w:p w:rsidR="002D6C73" w:rsidRDefault="002D6C73">
            <w:pPr>
              <w:pStyle w:val="10"/>
              <w:spacing w:line="400" w:lineRule="exact"/>
              <w:rPr>
                <w:rFonts w:ascii="仿宋" w:eastAsia="仿宋" w:hAnsi="仿宋" w:cs="仿宋"/>
                <w:color w:val="1C1C1C"/>
                <w:sz w:val="28"/>
                <w:szCs w:val="18"/>
              </w:rPr>
            </w:pPr>
          </w:p>
        </w:tc>
        <w:tc>
          <w:tcPr>
            <w:tcW w:w="1373" w:type="dxa"/>
            <w:noWrap/>
            <w:vAlign w:val="center"/>
          </w:tcPr>
          <w:p w:rsidR="002D6C73" w:rsidRDefault="002D6C73">
            <w:pPr>
              <w:pStyle w:val="10"/>
              <w:spacing w:line="400" w:lineRule="exact"/>
              <w:rPr>
                <w:rFonts w:ascii="仿宋" w:eastAsia="仿宋" w:hAnsi="仿宋" w:cs="仿宋"/>
                <w:color w:val="1C1C1C"/>
                <w:sz w:val="28"/>
                <w:szCs w:val="18"/>
              </w:rPr>
            </w:pP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其他6</w:t>
      </w:r>
      <w:r>
        <w:rPr>
          <w:rFonts w:ascii="仿宋" w:eastAsia="仿宋" w:hAnsi="仿宋" w:cs="仿宋"/>
          <w:color w:val="1C1C1C"/>
          <w:sz w:val="32"/>
          <w:szCs w:val="32"/>
        </w:rPr>
        <w:t>4</w:t>
      </w:r>
      <w:r>
        <w:rPr>
          <w:rFonts w:ascii="仿宋" w:eastAsia="仿宋" w:hAnsi="仿宋" w:cs="仿宋" w:hint="eastAsia"/>
          <w:color w:val="1C1C1C"/>
          <w:sz w:val="32"/>
          <w:szCs w:val="32"/>
        </w:rPr>
        <w:t>个城市中，27个城市的消费者满意度得分在80分以上。其中，排名靠前的3个城市依次为：苏州市、无锡市、烟台市；排名靠后的3个城市依次为：松原市、衡阳市、庆阳市。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表13 其他城市消费者满意度得分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1134"/>
        <w:gridCol w:w="1134"/>
        <w:gridCol w:w="2553"/>
        <w:gridCol w:w="1437"/>
      </w:tblGrid>
      <w:tr w:rsidR="002D6C73">
        <w:trPr>
          <w:tblHeader/>
        </w:trPr>
        <w:tc>
          <w:tcPr>
            <w:tcW w:w="959"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highlight w:val="yellow"/>
              </w:rPr>
            </w:pPr>
            <w:r>
              <w:rPr>
                <w:rFonts w:ascii="黑体" w:eastAsia="黑体" w:hAnsi="黑体" w:cs="黑体" w:hint="eastAsia"/>
                <w:bCs w:val="0"/>
                <w:color w:val="1C1C1C"/>
                <w:sz w:val="28"/>
                <w:szCs w:val="22"/>
              </w:rPr>
              <w:t>排名</w:t>
            </w:r>
          </w:p>
        </w:tc>
        <w:tc>
          <w:tcPr>
            <w:tcW w:w="1843" w:type="dxa"/>
            <w:shd w:val="clear" w:color="auto" w:fill="4472C4" w:themeFill="accent5"/>
            <w:noWrap/>
            <w:vAlign w:val="center"/>
          </w:tcPr>
          <w:p w:rsidR="002D6C73" w:rsidRDefault="00FB6868">
            <w:pPr>
              <w:pStyle w:val="10"/>
              <w:rPr>
                <w:rFonts w:ascii="黑体" w:eastAsia="黑体" w:hAnsi="黑体" w:cs="黑体"/>
                <w:bCs w:val="0"/>
                <w:color w:val="1C1C1C"/>
                <w:kern w:val="0"/>
                <w:sz w:val="28"/>
                <w:szCs w:val="22"/>
                <w:highlight w:val="yellow"/>
              </w:rPr>
            </w:pPr>
            <w:r>
              <w:rPr>
                <w:rFonts w:ascii="黑体" w:eastAsia="黑体" w:hAnsi="黑体" w:cs="黑体" w:hint="eastAsia"/>
                <w:bCs w:val="0"/>
                <w:color w:val="1C1C1C"/>
                <w:sz w:val="28"/>
                <w:szCs w:val="22"/>
              </w:rPr>
              <w:t>城市</w:t>
            </w:r>
          </w:p>
        </w:tc>
        <w:tc>
          <w:tcPr>
            <w:tcW w:w="1134"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highlight w:val="yellow"/>
              </w:rPr>
            </w:pPr>
            <w:r>
              <w:rPr>
                <w:rFonts w:ascii="黑体" w:eastAsia="黑体" w:hAnsi="黑体" w:cs="黑体" w:hint="eastAsia"/>
                <w:bCs w:val="0"/>
                <w:color w:val="1C1C1C"/>
                <w:sz w:val="28"/>
                <w:szCs w:val="22"/>
              </w:rPr>
              <w:t>得分</w:t>
            </w:r>
          </w:p>
        </w:tc>
        <w:tc>
          <w:tcPr>
            <w:tcW w:w="1134"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highlight w:val="yellow"/>
              </w:rPr>
            </w:pPr>
            <w:r>
              <w:rPr>
                <w:rFonts w:ascii="黑体" w:eastAsia="黑体" w:hAnsi="黑体" w:cs="黑体" w:hint="eastAsia"/>
                <w:bCs w:val="0"/>
                <w:color w:val="1C1C1C"/>
                <w:sz w:val="28"/>
                <w:szCs w:val="22"/>
              </w:rPr>
              <w:t>排名</w:t>
            </w:r>
          </w:p>
        </w:tc>
        <w:tc>
          <w:tcPr>
            <w:tcW w:w="2553" w:type="dxa"/>
            <w:shd w:val="clear" w:color="auto" w:fill="4472C4" w:themeFill="accent5"/>
            <w:noWrap/>
            <w:vAlign w:val="center"/>
          </w:tcPr>
          <w:p w:rsidR="002D6C73" w:rsidRDefault="00FB6868">
            <w:pPr>
              <w:pStyle w:val="10"/>
              <w:rPr>
                <w:rFonts w:ascii="黑体" w:eastAsia="黑体" w:hAnsi="黑体" w:cs="黑体"/>
                <w:bCs w:val="0"/>
                <w:color w:val="1C1C1C"/>
                <w:kern w:val="0"/>
                <w:sz w:val="28"/>
                <w:szCs w:val="22"/>
                <w:highlight w:val="yellow"/>
              </w:rPr>
            </w:pPr>
            <w:r>
              <w:rPr>
                <w:rFonts w:ascii="黑体" w:eastAsia="黑体" w:hAnsi="黑体" w:cs="黑体" w:hint="eastAsia"/>
                <w:bCs w:val="0"/>
                <w:color w:val="1C1C1C"/>
                <w:sz w:val="28"/>
                <w:szCs w:val="22"/>
              </w:rPr>
              <w:t>城市</w:t>
            </w:r>
          </w:p>
        </w:tc>
        <w:tc>
          <w:tcPr>
            <w:tcW w:w="1437" w:type="dxa"/>
            <w:shd w:val="clear" w:color="auto" w:fill="4472C4" w:themeFill="accent5"/>
            <w:vAlign w:val="center"/>
          </w:tcPr>
          <w:p w:rsidR="002D6C73" w:rsidRDefault="00FB6868">
            <w:pPr>
              <w:pStyle w:val="10"/>
              <w:rPr>
                <w:rFonts w:ascii="黑体" w:eastAsia="黑体" w:hAnsi="黑体" w:cs="黑体"/>
                <w:bCs w:val="0"/>
                <w:color w:val="1C1C1C"/>
                <w:kern w:val="0"/>
                <w:sz w:val="28"/>
                <w:szCs w:val="22"/>
                <w:highlight w:val="yellow"/>
              </w:rPr>
            </w:pPr>
            <w:r>
              <w:rPr>
                <w:rFonts w:ascii="黑体" w:eastAsia="黑体" w:hAnsi="黑体" w:cs="黑体" w:hint="eastAsia"/>
                <w:bCs w:val="0"/>
                <w:color w:val="1C1C1C"/>
                <w:sz w:val="28"/>
                <w:szCs w:val="22"/>
              </w:rPr>
              <w:t>得分</w:t>
            </w:r>
          </w:p>
        </w:tc>
      </w:tr>
      <w:tr w:rsidR="002D6C73">
        <w:tc>
          <w:tcPr>
            <w:tcW w:w="959" w:type="dxa"/>
            <w:noWrap/>
            <w:vAlign w:val="center"/>
          </w:tcPr>
          <w:p w:rsidR="002D6C73" w:rsidRDefault="00FB6868">
            <w:pPr>
              <w:pStyle w:val="10"/>
              <w:spacing w:line="400" w:lineRule="exact"/>
              <w:rPr>
                <w:rFonts w:ascii="仿宋" w:eastAsia="仿宋" w:hAnsi="仿宋" w:cs="仿宋"/>
                <w:color w:val="1C1C1C"/>
                <w:kern w:val="0"/>
                <w:sz w:val="28"/>
              </w:rPr>
            </w:pPr>
            <w:r>
              <w:rPr>
                <w:rFonts w:ascii="仿宋" w:eastAsia="仿宋" w:hAnsi="仿宋" w:cs="仿宋" w:hint="eastAsia"/>
                <w:color w:val="1C1C1C"/>
                <w:sz w:val="28"/>
              </w:rPr>
              <w:t>1</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苏州市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89.70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33</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柳州市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79.66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无锡市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86.00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34</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齐齐哈尔市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79.54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烟台市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85.29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35</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天水市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79.49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常州市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85.12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36</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赣州市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79.46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宜昌市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82.39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37</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毕节市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79.44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6</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泉州市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82.20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38</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台州市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79.38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7</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潍坊市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82.08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39</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鞍山市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79.36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8</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佛山市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81.93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40</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鄂尔多斯市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79.35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9</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金华市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81.90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41</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海东市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79.33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10</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济宁市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81.46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42</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石嘴山市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79.31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11</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嘉兴市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81.38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43</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东莞市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79.31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lastRenderedPageBreak/>
              <w:t>12</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吴忠市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81.38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44</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南充市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79.29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13</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南通市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81.30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45</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哈密市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79.25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14</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洛阳市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81.24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46</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曲靖市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79.10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15</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绍兴市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81.12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47</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吉林市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79.09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16</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温州市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80.95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48</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南阳市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79.05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17</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盐城市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80.77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49</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遵义市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78.88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18</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襄阳市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80.77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50</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阜阳市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78.79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19</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岳阳市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80.76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51</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绵阳市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78.78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20</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临沂市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80.75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52</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儋州市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78.78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21</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克拉玛依市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80.72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53</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桂林市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78.73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22</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日喀则市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80.70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54</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邯郸市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78.63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23</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山南市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80.64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55</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汕头市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78.54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24</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大庆市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80.47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56</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运城市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78.44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25</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徐州市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80.43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57</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保定市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78.34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26</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芜湖市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80.15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58</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玉溪市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78.30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27</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淄博市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80.09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59</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唐山市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78.12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28</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海西蒙古族藏族自治州</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79.98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60</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宝鸡市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77.39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29</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渭南市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79.91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61</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三亚市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77.38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30</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包头市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79.89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62</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松原市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77.32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31</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大同市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79.76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63</w:t>
            </w:r>
          </w:p>
        </w:tc>
        <w:tc>
          <w:tcPr>
            <w:tcW w:w="255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衡阳市</w:t>
            </w:r>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77.05 </w:t>
            </w:r>
          </w:p>
        </w:tc>
      </w:tr>
      <w:tr w:rsidR="002D6C73">
        <w:tc>
          <w:tcPr>
            <w:tcW w:w="959"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32</w:t>
            </w:r>
          </w:p>
        </w:tc>
        <w:tc>
          <w:tcPr>
            <w:tcW w:w="1843"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上饶市</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79.72 </w:t>
            </w:r>
          </w:p>
        </w:tc>
        <w:tc>
          <w:tcPr>
            <w:tcW w:w="1134"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64</w:t>
            </w:r>
          </w:p>
        </w:tc>
        <w:tc>
          <w:tcPr>
            <w:tcW w:w="2553" w:type="dxa"/>
            <w:noWrap/>
            <w:vAlign w:val="center"/>
          </w:tcPr>
          <w:p w:rsidR="002D6C73" w:rsidRDefault="00FB6868">
            <w:pPr>
              <w:pStyle w:val="10"/>
              <w:spacing w:line="400" w:lineRule="exact"/>
              <w:rPr>
                <w:rFonts w:ascii="仿宋" w:eastAsia="仿宋" w:hAnsi="仿宋" w:cs="仿宋"/>
                <w:color w:val="1C1C1C"/>
                <w:sz w:val="28"/>
              </w:rPr>
            </w:pPr>
            <w:proofErr w:type="gramStart"/>
            <w:r>
              <w:rPr>
                <w:rFonts w:ascii="仿宋" w:eastAsia="仿宋" w:hAnsi="仿宋" w:cs="仿宋" w:hint="eastAsia"/>
                <w:color w:val="1C1C1C"/>
                <w:sz w:val="28"/>
              </w:rPr>
              <w:t>庆阳市</w:t>
            </w:r>
            <w:proofErr w:type="gramEnd"/>
          </w:p>
        </w:tc>
        <w:tc>
          <w:tcPr>
            <w:tcW w:w="143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76.65 </w:t>
            </w:r>
          </w:p>
        </w:tc>
      </w:tr>
    </w:tbl>
    <w:p w:rsidR="002D6C73" w:rsidRDefault="00FB6868">
      <w:pPr>
        <w:pStyle w:val="3"/>
        <w:rPr>
          <w:rFonts w:ascii="仿宋" w:eastAsia="仿宋" w:hAnsi="仿宋" w:cs="仿宋"/>
          <w:color w:val="1C1C1C"/>
          <w:sz w:val="32"/>
          <w:szCs w:val="32"/>
        </w:rPr>
      </w:pPr>
      <w:bookmarkStart w:id="46" w:name="_Toc16311"/>
      <w:bookmarkStart w:id="47" w:name="_Toc62721765"/>
      <w:bookmarkStart w:id="48" w:name="_Toc33719404"/>
      <w:r>
        <w:rPr>
          <w:rFonts w:ascii="仿宋" w:eastAsia="仿宋" w:hAnsi="仿宋" w:cs="仿宋" w:hint="eastAsia"/>
          <w:color w:val="1C1C1C"/>
          <w:sz w:val="32"/>
          <w:szCs w:val="32"/>
        </w:rPr>
        <w:t>（四）基于城市规模分类的各城市得分</w:t>
      </w:r>
      <w:bookmarkEnd w:id="46"/>
      <w:bookmarkEnd w:id="47"/>
      <w:bookmarkEnd w:id="48"/>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7个超大城市排名依次为：上海市、北京市、成都市、天津市、深圳市、广州市、重庆市。除重庆市外，其他城市消费者满意度得分均超80分。</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表14 超大城市消费者满意度得分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2"/>
        <w:gridCol w:w="3461"/>
        <w:gridCol w:w="3017"/>
      </w:tblGrid>
      <w:tr w:rsidR="002D6C73">
        <w:tc>
          <w:tcPr>
            <w:tcW w:w="2582" w:type="dxa"/>
            <w:shd w:val="clear" w:color="auto" w:fill="4472C4" w:themeFill="accent5"/>
            <w:vAlign w:val="center"/>
          </w:tcPr>
          <w:p w:rsidR="002D6C73" w:rsidRDefault="00FB6868">
            <w:pPr>
              <w:pStyle w:val="10"/>
              <w:spacing w:line="400" w:lineRule="exact"/>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排名</w:t>
            </w:r>
          </w:p>
        </w:tc>
        <w:tc>
          <w:tcPr>
            <w:tcW w:w="3461"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城市</w:t>
            </w:r>
          </w:p>
        </w:tc>
        <w:tc>
          <w:tcPr>
            <w:tcW w:w="3017" w:type="dxa"/>
            <w:shd w:val="clear" w:color="auto" w:fill="4472C4" w:themeFill="accent5"/>
            <w:vAlign w:val="center"/>
          </w:tcPr>
          <w:p w:rsidR="002D6C73" w:rsidRDefault="00FB6868">
            <w:pPr>
              <w:pStyle w:val="10"/>
              <w:spacing w:line="400" w:lineRule="exact"/>
              <w:rPr>
                <w:rFonts w:ascii="黑体" w:eastAsia="黑体" w:hAnsi="黑体" w:cs="黑体"/>
                <w:bCs w:val="0"/>
                <w:color w:val="1C1C1C"/>
                <w:kern w:val="0"/>
                <w:sz w:val="28"/>
                <w:szCs w:val="22"/>
              </w:rPr>
            </w:pPr>
            <w:r>
              <w:rPr>
                <w:rFonts w:ascii="黑体" w:eastAsia="黑体" w:hAnsi="黑体" w:cs="黑体" w:hint="eastAsia"/>
                <w:bCs w:val="0"/>
                <w:color w:val="1C1C1C"/>
                <w:sz w:val="28"/>
                <w:szCs w:val="22"/>
              </w:rPr>
              <w:t>得分</w:t>
            </w:r>
          </w:p>
        </w:tc>
      </w:tr>
      <w:tr w:rsidR="002D6C73">
        <w:tc>
          <w:tcPr>
            <w:tcW w:w="2582"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1</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上海市</w:t>
            </w:r>
          </w:p>
        </w:tc>
        <w:tc>
          <w:tcPr>
            <w:tcW w:w="301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84.57 </w:t>
            </w:r>
          </w:p>
        </w:tc>
      </w:tr>
      <w:tr w:rsidR="002D6C73">
        <w:tc>
          <w:tcPr>
            <w:tcW w:w="2582"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lastRenderedPageBreak/>
              <w:t>2</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北京市</w:t>
            </w:r>
          </w:p>
        </w:tc>
        <w:tc>
          <w:tcPr>
            <w:tcW w:w="301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83.49 </w:t>
            </w:r>
          </w:p>
        </w:tc>
      </w:tr>
      <w:tr w:rsidR="002D6C73">
        <w:tc>
          <w:tcPr>
            <w:tcW w:w="2582"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3</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成都市</w:t>
            </w:r>
          </w:p>
        </w:tc>
        <w:tc>
          <w:tcPr>
            <w:tcW w:w="301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81.85 </w:t>
            </w:r>
          </w:p>
        </w:tc>
      </w:tr>
      <w:tr w:rsidR="002D6C73">
        <w:tc>
          <w:tcPr>
            <w:tcW w:w="2582"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4</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天津市</w:t>
            </w:r>
          </w:p>
        </w:tc>
        <w:tc>
          <w:tcPr>
            <w:tcW w:w="301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81.49 </w:t>
            </w:r>
          </w:p>
        </w:tc>
      </w:tr>
      <w:tr w:rsidR="002D6C73">
        <w:tc>
          <w:tcPr>
            <w:tcW w:w="2582"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5</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深圳市</w:t>
            </w:r>
          </w:p>
        </w:tc>
        <w:tc>
          <w:tcPr>
            <w:tcW w:w="301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81.00 </w:t>
            </w:r>
          </w:p>
        </w:tc>
      </w:tr>
      <w:tr w:rsidR="002D6C73">
        <w:tc>
          <w:tcPr>
            <w:tcW w:w="2582"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6</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广州市</w:t>
            </w:r>
          </w:p>
        </w:tc>
        <w:tc>
          <w:tcPr>
            <w:tcW w:w="301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80.90 </w:t>
            </w:r>
          </w:p>
        </w:tc>
      </w:tr>
      <w:tr w:rsidR="002D6C73">
        <w:tc>
          <w:tcPr>
            <w:tcW w:w="2582"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7</w:t>
            </w:r>
          </w:p>
        </w:tc>
        <w:tc>
          <w:tcPr>
            <w:tcW w:w="3461"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重庆市</w:t>
            </w:r>
          </w:p>
        </w:tc>
        <w:tc>
          <w:tcPr>
            <w:tcW w:w="3017" w:type="dxa"/>
            <w:noWrap/>
            <w:vAlign w:val="center"/>
          </w:tcPr>
          <w:p w:rsidR="002D6C73" w:rsidRDefault="00FB6868">
            <w:pPr>
              <w:pStyle w:val="10"/>
              <w:spacing w:line="400" w:lineRule="exact"/>
              <w:rPr>
                <w:rFonts w:ascii="仿宋" w:eastAsia="仿宋" w:hAnsi="仿宋" w:cs="仿宋"/>
                <w:color w:val="1C1C1C"/>
                <w:sz w:val="28"/>
              </w:rPr>
            </w:pPr>
            <w:r>
              <w:rPr>
                <w:rFonts w:ascii="仿宋" w:eastAsia="仿宋" w:hAnsi="仿宋" w:cs="仿宋" w:hint="eastAsia"/>
                <w:color w:val="1C1C1C"/>
                <w:sz w:val="28"/>
              </w:rPr>
              <w:t xml:space="preserve">78.79 </w:t>
            </w: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21个特大城市中，11个城市的消费者满意度得分在80分以上，苏州市、杭州市、青岛市、南京市等4个城市的满意度得分超过85分。</w:t>
      </w:r>
    </w:p>
    <w:p w:rsidR="002D6C73" w:rsidRDefault="00FB6868">
      <w:pPr>
        <w:spacing w:line="600" w:lineRule="exact"/>
        <w:jc w:val="center"/>
        <w:rPr>
          <w:rFonts w:ascii="黑体" w:eastAsia="黑体" w:hAnsi="黑体"/>
          <w:color w:val="1C1C1C"/>
          <w:sz w:val="28"/>
          <w:szCs w:val="32"/>
        </w:rPr>
      </w:pPr>
      <w:r>
        <w:rPr>
          <w:rFonts w:ascii="黑体" w:eastAsia="黑体" w:hAnsi="黑体" w:hint="eastAsia"/>
          <w:color w:val="1C1C1C"/>
          <w:sz w:val="28"/>
          <w:szCs w:val="32"/>
        </w:rPr>
        <w:t>表15 特大城市消费者满意度得分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770"/>
        <w:gridCol w:w="1417"/>
        <w:gridCol w:w="919"/>
        <w:gridCol w:w="2252"/>
        <w:gridCol w:w="1529"/>
      </w:tblGrid>
      <w:tr w:rsidR="002D6C73">
        <w:trPr>
          <w:tblHeader/>
        </w:trPr>
        <w:tc>
          <w:tcPr>
            <w:tcW w:w="1173"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770"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417"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919"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2252"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529"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11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177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苏州市</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89.70 </w:t>
            </w:r>
          </w:p>
        </w:tc>
        <w:tc>
          <w:tcPr>
            <w:tcW w:w="91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2252"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石家庄市</w:t>
            </w:r>
          </w:p>
        </w:tc>
        <w:tc>
          <w:tcPr>
            <w:tcW w:w="152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79.92 </w:t>
            </w:r>
          </w:p>
        </w:tc>
      </w:tr>
      <w:tr w:rsidR="002D6C73">
        <w:tc>
          <w:tcPr>
            <w:tcW w:w="11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177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杭州市</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87.34 </w:t>
            </w:r>
          </w:p>
        </w:tc>
        <w:tc>
          <w:tcPr>
            <w:tcW w:w="91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2252"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东莞市</w:t>
            </w:r>
          </w:p>
        </w:tc>
        <w:tc>
          <w:tcPr>
            <w:tcW w:w="152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79.31 </w:t>
            </w:r>
          </w:p>
        </w:tc>
      </w:tr>
      <w:tr w:rsidR="002D6C73">
        <w:tc>
          <w:tcPr>
            <w:tcW w:w="11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77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青岛市</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87.01 </w:t>
            </w:r>
          </w:p>
        </w:tc>
        <w:tc>
          <w:tcPr>
            <w:tcW w:w="91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2252"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郑州市</w:t>
            </w:r>
          </w:p>
        </w:tc>
        <w:tc>
          <w:tcPr>
            <w:tcW w:w="152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79.26 </w:t>
            </w:r>
          </w:p>
        </w:tc>
      </w:tr>
      <w:tr w:rsidR="002D6C73">
        <w:tc>
          <w:tcPr>
            <w:tcW w:w="11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177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南京市</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86.04 </w:t>
            </w:r>
          </w:p>
        </w:tc>
        <w:tc>
          <w:tcPr>
            <w:tcW w:w="91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15</w:t>
            </w:r>
          </w:p>
        </w:tc>
        <w:tc>
          <w:tcPr>
            <w:tcW w:w="2252"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昆明市</w:t>
            </w:r>
          </w:p>
        </w:tc>
        <w:tc>
          <w:tcPr>
            <w:tcW w:w="152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79.15 </w:t>
            </w:r>
          </w:p>
        </w:tc>
      </w:tr>
      <w:tr w:rsidR="002D6C73">
        <w:tc>
          <w:tcPr>
            <w:tcW w:w="11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77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宁波市</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82.40 </w:t>
            </w:r>
          </w:p>
        </w:tc>
        <w:tc>
          <w:tcPr>
            <w:tcW w:w="91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16</w:t>
            </w:r>
          </w:p>
        </w:tc>
        <w:tc>
          <w:tcPr>
            <w:tcW w:w="2252"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长春市</w:t>
            </w:r>
          </w:p>
        </w:tc>
        <w:tc>
          <w:tcPr>
            <w:tcW w:w="152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79.01 </w:t>
            </w:r>
          </w:p>
        </w:tc>
      </w:tr>
      <w:tr w:rsidR="002D6C73">
        <w:tc>
          <w:tcPr>
            <w:tcW w:w="11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177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佛山市</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81.93 </w:t>
            </w:r>
          </w:p>
        </w:tc>
        <w:tc>
          <w:tcPr>
            <w:tcW w:w="91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17</w:t>
            </w:r>
          </w:p>
        </w:tc>
        <w:tc>
          <w:tcPr>
            <w:tcW w:w="2252"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长沙市</w:t>
            </w:r>
          </w:p>
        </w:tc>
        <w:tc>
          <w:tcPr>
            <w:tcW w:w="152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78.83 </w:t>
            </w:r>
          </w:p>
        </w:tc>
      </w:tr>
      <w:tr w:rsidR="002D6C73">
        <w:tc>
          <w:tcPr>
            <w:tcW w:w="11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177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南宁市</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81.16 </w:t>
            </w:r>
          </w:p>
        </w:tc>
        <w:tc>
          <w:tcPr>
            <w:tcW w:w="91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18</w:t>
            </w:r>
          </w:p>
        </w:tc>
        <w:tc>
          <w:tcPr>
            <w:tcW w:w="2252"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合肥市</w:t>
            </w:r>
          </w:p>
        </w:tc>
        <w:tc>
          <w:tcPr>
            <w:tcW w:w="152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78.76 </w:t>
            </w:r>
          </w:p>
        </w:tc>
      </w:tr>
      <w:tr w:rsidR="002D6C73">
        <w:tc>
          <w:tcPr>
            <w:tcW w:w="11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177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沈阳市</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80.78 </w:t>
            </w:r>
          </w:p>
        </w:tc>
        <w:tc>
          <w:tcPr>
            <w:tcW w:w="91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19</w:t>
            </w:r>
          </w:p>
        </w:tc>
        <w:tc>
          <w:tcPr>
            <w:tcW w:w="2252"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大连市</w:t>
            </w:r>
          </w:p>
        </w:tc>
        <w:tc>
          <w:tcPr>
            <w:tcW w:w="152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78.74 </w:t>
            </w:r>
          </w:p>
        </w:tc>
      </w:tr>
      <w:tr w:rsidR="002D6C73">
        <w:tc>
          <w:tcPr>
            <w:tcW w:w="11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177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济南市</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80.78 </w:t>
            </w:r>
          </w:p>
        </w:tc>
        <w:tc>
          <w:tcPr>
            <w:tcW w:w="91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20</w:t>
            </w:r>
          </w:p>
        </w:tc>
        <w:tc>
          <w:tcPr>
            <w:tcW w:w="2252"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汕头市</w:t>
            </w:r>
          </w:p>
        </w:tc>
        <w:tc>
          <w:tcPr>
            <w:tcW w:w="152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78.54 </w:t>
            </w:r>
          </w:p>
        </w:tc>
      </w:tr>
      <w:tr w:rsidR="002D6C73">
        <w:tc>
          <w:tcPr>
            <w:tcW w:w="11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177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哈尔滨市</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80.20 </w:t>
            </w:r>
          </w:p>
        </w:tc>
        <w:tc>
          <w:tcPr>
            <w:tcW w:w="91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21</w:t>
            </w:r>
          </w:p>
        </w:tc>
        <w:tc>
          <w:tcPr>
            <w:tcW w:w="2252"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西安市</w:t>
            </w:r>
          </w:p>
        </w:tc>
        <w:tc>
          <w:tcPr>
            <w:tcW w:w="1529" w:type="dxa"/>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76.73 </w:t>
            </w:r>
          </w:p>
        </w:tc>
      </w:tr>
      <w:tr w:rsidR="002D6C73">
        <w:tc>
          <w:tcPr>
            <w:tcW w:w="11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177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武汉市</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80.09 </w:t>
            </w:r>
          </w:p>
        </w:tc>
        <w:tc>
          <w:tcPr>
            <w:tcW w:w="919" w:type="dxa"/>
            <w:vAlign w:val="center"/>
          </w:tcPr>
          <w:p w:rsidR="002D6C73" w:rsidRDefault="002D6C73">
            <w:pPr>
              <w:pStyle w:val="10"/>
              <w:spacing w:line="400" w:lineRule="exact"/>
              <w:rPr>
                <w:rFonts w:ascii="仿宋" w:eastAsia="仿宋" w:hAnsi="仿宋" w:cs="仿宋"/>
                <w:color w:val="1C1C1C"/>
                <w:sz w:val="28"/>
                <w:szCs w:val="22"/>
              </w:rPr>
            </w:pPr>
          </w:p>
        </w:tc>
        <w:tc>
          <w:tcPr>
            <w:tcW w:w="2252" w:type="dxa"/>
            <w:vAlign w:val="bottom"/>
          </w:tcPr>
          <w:p w:rsidR="002D6C73" w:rsidRDefault="002D6C73">
            <w:pPr>
              <w:pStyle w:val="10"/>
              <w:spacing w:line="400" w:lineRule="exact"/>
              <w:rPr>
                <w:rFonts w:ascii="仿宋" w:eastAsia="仿宋" w:hAnsi="仿宋" w:cs="仿宋"/>
                <w:color w:val="1C1C1C"/>
                <w:sz w:val="28"/>
                <w:szCs w:val="22"/>
              </w:rPr>
            </w:pPr>
          </w:p>
        </w:tc>
        <w:tc>
          <w:tcPr>
            <w:tcW w:w="1529" w:type="dxa"/>
            <w:vAlign w:val="bottom"/>
          </w:tcPr>
          <w:p w:rsidR="002D6C73" w:rsidRDefault="002D6C73">
            <w:pPr>
              <w:pStyle w:val="10"/>
              <w:spacing w:line="400" w:lineRule="exact"/>
              <w:rPr>
                <w:rFonts w:ascii="仿宋" w:eastAsia="仿宋" w:hAnsi="仿宋" w:cs="仿宋"/>
                <w:color w:val="1C1C1C"/>
                <w:sz w:val="28"/>
                <w:szCs w:val="22"/>
              </w:rPr>
            </w:pPr>
          </w:p>
        </w:tc>
      </w:tr>
    </w:tbl>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18个Ⅰ型大城市中，9个城市的消费者满意度得分在80分以上，无锡市、烟台市、常州市等3个城市的满意度得分超过85分。</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表16 Ⅰ型大城市消费者满意度得分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2106"/>
        <w:gridCol w:w="1390"/>
        <w:gridCol w:w="1180"/>
        <w:gridCol w:w="1834"/>
        <w:gridCol w:w="1373"/>
      </w:tblGrid>
      <w:tr w:rsidR="002D6C73">
        <w:trPr>
          <w:tblHeader/>
        </w:trPr>
        <w:tc>
          <w:tcPr>
            <w:tcW w:w="1177"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2106"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390"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1180"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834"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373"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w:t>
            </w:r>
          </w:p>
        </w:tc>
        <w:tc>
          <w:tcPr>
            <w:tcW w:w="2106"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无锡市</w:t>
            </w:r>
          </w:p>
        </w:tc>
        <w:tc>
          <w:tcPr>
            <w:tcW w:w="139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86.00 </w:t>
            </w:r>
          </w:p>
        </w:tc>
        <w:tc>
          <w:tcPr>
            <w:tcW w:w="118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10</w:t>
            </w:r>
          </w:p>
        </w:tc>
        <w:tc>
          <w:tcPr>
            <w:tcW w:w="1834"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太原市</w:t>
            </w:r>
          </w:p>
        </w:tc>
        <w:tc>
          <w:tcPr>
            <w:tcW w:w="13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79.81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2</w:t>
            </w:r>
          </w:p>
        </w:tc>
        <w:tc>
          <w:tcPr>
            <w:tcW w:w="2106"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烟台市</w:t>
            </w:r>
          </w:p>
        </w:tc>
        <w:tc>
          <w:tcPr>
            <w:tcW w:w="139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85.29 </w:t>
            </w:r>
          </w:p>
        </w:tc>
        <w:tc>
          <w:tcPr>
            <w:tcW w:w="118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11</w:t>
            </w:r>
          </w:p>
        </w:tc>
        <w:tc>
          <w:tcPr>
            <w:tcW w:w="1834"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福州市</w:t>
            </w:r>
          </w:p>
        </w:tc>
        <w:tc>
          <w:tcPr>
            <w:tcW w:w="13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79.36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lastRenderedPageBreak/>
              <w:t>3</w:t>
            </w:r>
          </w:p>
        </w:tc>
        <w:tc>
          <w:tcPr>
            <w:tcW w:w="2106"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常州市</w:t>
            </w:r>
          </w:p>
        </w:tc>
        <w:tc>
          <w:tcPr>
            <w:tcW w:w="139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85.12 </w:t>
            </w:r>
          </w:p>
        </w:tc>
        <w:tc>
          <w:tcPr>
            <w:tcW w:w="118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12</w:t>
            </w:r>
          </w:p>
        </w:tc>
        <w:tc>
          <w:tcPr>
            <w:tcW w:w="1834"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南昌市</w:t>
            </w:r>
          </w:p>
        </w:tc>
        <w:tc>
          <w:tcPr>
            <w:tcW w:w="13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79.08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4</w:t>
            </w:r>
          </w:p>
        </w:tc>
        <w:tc>
          <w:tcPr>
            <w:tcW w:w="2106"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厦门市</w:t>
            </w:r>
          </w:p>
        </w:tc>
        <w:tc>
          <w:tcPr>
            <w:tcW w:w="139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83.16 </w:t>
            </w:r>
          </w:p>
        </w:tc>
        <w:tc>
          <w:tcPr>
            <w:tcW w:w="118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13</w:t>
            </w:r>
          </w:p>
        </w:tc>
        <w:tc>
          <w:tcPr>
            <w:tcW w:w="1834"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贵阳市</w:t>
            </w:r>
          </w:p>
        </w:tc>
        <w:tc>
          <w:tcPr>
            <w:tcW w:w="13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78.95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5</w:t>
            </w:r>
          </w:p>
        </w:tc>
        <w:tc>
          <w:tcPr>
            <w:tcW w:w="2106"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南通市</w:t>
            </w:r>
          </w:p>
        </w:tc>
        <w:tc>
          <w:tcPr>
            <w:tcW w:w="139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81.30 </w:t>
            </w:r>
          </w:p>
        </w:tc>
        <w:tc>
          <w:tcPr>
            <w:tcW w:w="118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14</w:t>
            </w:r>
          </w:p>
        </w:tc>
        <w:tc>
          <w:tcPr>
            <w:tcW w:w="1834"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邯郸市</w:t>
            </w:r>
          </w:p>
        </w:tc>
        <w:tc>
          <w:tcPr>
            <w:tcW w:w="13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78.63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6</w:t>
            </w:r>
          </w:p>
        </w:tc>
        <w:tc>
          <w:tcPr>
            <w:tcW w:w="2106"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温州市</w:t>
            </w:r>
          </w:p>
        </w:tc>
        <w:tc>
          <w:tcPr>
            <w:tcW w:w="139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80.95 </w:t>
            </w:r>
          </w:p>
        </w:tc>
        <w:tc>
          <w:tcPr>
            <w:tcW w:w="118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15</w:t>
            </w:r>
          </w:p>
        </w:tc>
        <w:tc>
          <w:tcPr>
            <w:tcW w:w="1834"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保定市</w:t>
            </w:r>
          </w:p>
        </w:tc>
        <w:tc>
          <w:tcPr>
            <w:tcW w:w="13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78.34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7</w:t>
            </w:r>
          </w:p>
        </w:tc>
        <w:tc>
          <w:tcPr>
            <w:tcW w:w="2106"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临沂市</w:t>
            </w:r>
          </w:p>
        </w:tc>
        <w:tc>
          <w:tcPr>
            <w:tcW w:w="139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80.75 </w:t>
            </w:r>
          </w:p>
        </w:tc>
        <w:tc>
          <w:tcPr>
            <w:tcW w:w="118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16</w:t>
            </w:r>
          </w:p>
        </w:tc>
        <w:tc>
          <w:tcPr>
            <w:tcW w:w="1834"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乌鲁木齐市</w:t>
            </w:r>
          </w:p>
        </w:tc>
        <w:tc>
          <w:tcPr>
            <w:tcW w:w="13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78.21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8</w:t>
            </w:r>
          </w:p>
        </w:tc>
        <w:tc>
          <w:tcPr>
            <w:tcW w:w="2106"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徐州市</w:t>
            </w:r>
          </w:p>
        </w:tc>
        <w:tc>
          <w:tcPr>
            <w:tcW w:w="139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80.43 </w:t>
            </w:r>
          </w:p>
        </w:tc>
        <w:tc>
          <w:tcPr>
            <w:tcW w:w="118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17</w:t>
            </w:r>
          </w:p>
        </w:tc>
        <w:tc>
          <w:tcPr>
            <w:tcW w:w="1834"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唐山市</w:t>
            </w:r>
          </w:p>
        </w:tc>
        <w:tc>
          <w:tcPr>
            <w:tcW w:w="13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78.12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9</w:t>
            </w:r>
          </w:p>
        </w:tc>
        <w:tc>
          <w:tcPr>
            <w:tcW w:w="2106"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淄博市</w:t>
            </w:r>
          </w:p>
        </w:tc>
        <w:tc>
          <w:tcPr>
            <w:tcW w:w="139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80.09 </w:t>
            </w:r>
          </w:p>
        </w:tc>
        <w:tc>
          <w:tcPr>
            <w:tcW w:w="1180"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18</w:t>
            </w:r>
          </w:p>
        </w:tc>
        <w:tc>
          <w:tcPr>
            <w:tcW w:w="1834"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兰州市</w:t>
            </w:r>
          </w:p>
        </w:tc>
        <w:tc>
          <w:tcPr>
            <w:tcW w:w="1373" w:type="dxa"/>
            <w:noWrap/>
            <w:vAlign w:val="center"/>
          </w:tcPr>
          <w:p w:rsidR="002D6C73" w:rsidRDefault="00FB6868">
            <w:pPr>
              <w:pStyle w:val="10"/>
              <w:spacing w:line="400" w:lineRule="exact"/>
              <w:rPr>
                <w:rFonts w:ascii="仿宋" w:eastAsia="仿宋" w:hAnsi="仿宋" w:cs="仿宋"/>
                <w:color w:val="1C1C1C"/>
                <w:sz w:val="28"/>
                <w:szCs w:val="28"/>
              </w:rPr>
            </w:pPr>
            <w:r>
              <w:rPr>
                <w:rFonts w:ascii="仿宋" w:eastAsia="仿宋" w:hAnsi="仿宋" w:cs="仿宋" w:hint="eastAsia"/>
                <w:color w:val="1C1C1C"/>
                <w:sz w:val="28"/>
                <w:szCs w:val="28"/>
              </w:rPr>
              <w:t xml:space="preserve">78.03 </w:t>
            </w: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39个Ⅱ型大城市中，15个城市的消费者满意度得分在80分以上，排名靠前的3个城市依次为：宜昌市、泉州市、潍坊市；排名靠后的3个城市依次为：三亚市、衡阳市、海口市。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表17 Ⅱ型大城市消费者满意度得分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1766"/>
        <w:gridCol w:w="1418"/>
        <w:gridCol w:w="1134"/>
        <w:gridCol w:w="2192"/>
        <w:gridCol w:w="1373"/>
      </w:tblGrid>
      <w:tr w:rsidR="002D6C73">
        <w:trPr>
          <w:tblHeader/>
        </w:trPr>
        <w:tc>
          <w:tcPr>
            <w:tcW w:w="1177"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766"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418"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1134"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2192"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373"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宜昌市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82.39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21</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齐齐哈尔市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79.54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泉州市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82.20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22</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天水市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79.49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潍坊市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82.08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23</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赣州市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79.46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金华市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81.90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24</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毕节市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79.44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济宁市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81.46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25</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台州市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79.38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嘉兴市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81.38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26</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鞍山市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79.36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洛阳市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81.24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27</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南充市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79.29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绍兴市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81.12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28</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曲靖市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79.10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盐城市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80.77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29</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吉林市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79.09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襄阳市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80.77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30</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南阳市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79.05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岳阳市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80.76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31</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遵义市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78.88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大庆市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80.47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32</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阜阳市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78.79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银川市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80.30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33</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绵阳市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78.78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芜湖市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80.15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34</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桂林市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78.73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15</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西宁市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80.07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35</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呼和浩特市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77.55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16</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渭南市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79.91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36</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宝鸡市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77.39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17</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包头市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79.89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37</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三亚市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77.38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18</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大同市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79.76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38</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衡阳市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77.05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lastRenderedPageBreak/>
              <w:t>19</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上饶市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79.72 </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39</w:t>
            </w:r>
          </w:p>
        </w:tc>
        <w:tc>
          <w:tcPr>
            <w:tcW w:w="219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海口市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76.80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20</w:t>
            </w:r>
          </w:p>
        </w:tc>
        <w:tc>
          <w:tcPr>
            <w:tcW w:w="176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柳州市</w:t>
            </w:r>
          </w:p>
        </w:tc>
        <w:tc>
          <w:tcPr>
            <w:tcW w:w="141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79.66 </w:t>
            </w:r>
          </w:p>
        </w:tc>
        <w:tc>
          <w:tcPr>
            <w:tcW w:w="1134" w:type="dxa"/>
            <w:noWrap/>
            <w:vAlign w:val="center"/>
          </w:tcPr>
          <w:p w:rsidR="002D6C73" w:rsidRDefault="002D6C73">
            <w:pPr>
              <w:pStyle w:val="10"/>
              <w:spacing w:line="400" w:lineRule="exact"/>
              <w:rPr>
                <w:rFonts w:ascii="仿宋" w:eastAsia="仿宋" w:hAnsi="仿宋" w:cs="仿宋"/>
                <w:color w:val="1C1C1C"/>
                <w:sz w:val="28"/>
                <w:szCs w:val="22"/>
              </w:rPr>
            </w:pPr>
          </w:p>
        </w:tc>
        <w:tc>
          <w:tcPr>
            <w:tcW w:w="2192" w:type="dxa"/>
            <w:noWrap/>
            <w:vAlign w:val="bottom"/>
          </w:tcPr>
          <w:p w:rsidR="002D6C73" w:rsidRDefault="002D6C73">
            <w:pPr>
              <w:pStyle w:val="10"/>
              <w:spacing w:line="400" w:lineRule="exact"/>
              <w:jc w:val="both"/>
              <w:rPr>
                <w:rFonts w:ascii="仿宋" w:eastAsia="仿宋" w:hAnsi="仿宋" w:cs="仿宋"/>
                <w:color w:val="1C1C1C"/>
                <w:sz w:val="28"/>
                <w:szCs w:val="22"/>
              </w:rPr>
            </w:pPr>
          </w:p>
        </w:tc>
        <w:tc>
          <w:tcPr>
            <w:tcW w:w="1373" w:type="dxa"/>
            <w:noWrap/>
            <w:vAlign w:val="bottom"/>
          </w:tcPr>
          <w:p w:rsidR="002D6C73" w:rsidRDefault="002D6C73">
            <w:pPr>
              <w:pStyle w:val="10"/>
              <w:spacing w:line="400" w:lineRule="exact"/>
              <w:rPr>
                <w:rFonts w:ascii="仿宋" w:eastAsia="仿宋" w:hAnsi="仿宋" w:cs="仿宋"/>
                <w:color w:val="1C1C1C"/>
                <w:sz w:val="28"/>
                <w:szCs w:val="22"/>
              </w:rPr>
            </w:pP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15个中小型城市中，5个城市的消费者满意度得分在80分以上，排名靠前的3个城市依次为：吴忠市、克拉玛依市、日喀则市；排名靠后的3个城市依次为：玉溪市、松原市、庆阳市。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表18 中小型城市消费者满意度得分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1921"/>
        <w:gridCol w:w="1554"/>
        <w:gridCol w:w="1123"/>
        <w:gridCol w:w="1845"/>
        <w:gridCol w:w="1721"/>
      </w:tblGrid>
      <w:tr w:rsidR="002D6C73">
        <w:trPr>
          <w:tblHeader/>
        </w:trPr>
        <w:tc>
          <w:tcPr>
            <w:tcW w:w="896"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921"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554"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1123"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845"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721"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8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1921"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吴忠市</w:t>
            </w:r>
          </w:p>
        </w:tc>
        <w:tc>
          <w:tcPr>
            <w:tcW w:w="1554"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81.38 </w:t>
            </w:r>
          </w:p>
        </w:tc>
        <w:tc>
          <w:tcPr>
            <w:tcW w:w="1123"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1845"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石嘴山市</w:t>
            </w:r>
          </w:p>
        </w:tc>
        <w:tc>
          <w:tcPr>
            <w:tcW w:w="1721"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79.31 </w:t>
            </w:r>
          </w:p>
        </w:tc>
      </w:tr>
      <w:tr w:rsidR="002D6C73">
        <w:tc>
          <w:tcPr>
            <w:tcW w:w="8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1921"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克拉玛依市</w:t>
            </w:r>
          </w:p>
        </w:tc>
        <w:tc>
          <w:tcPr>
            <w:tcW w:w="1554"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80.72 </w:t>
            </w:r>
          </w:p>
        </w:tc>
        <w:tc>
          <w:tcPr>
            <w:tcW w:w="1123"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1845"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哈密市</w:t>
            </w:r>
          </w:p>
        </w:tc>
        <w:tc>
          <w:tcPr>
            <w:tcW w:w="1721"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79.25 </w:t>
            </w:r>
          </w:p>
        </w:tc>
      </w:tr>
      <w:tr w:rsidR="002D6C73">
        <w:tc>
          <w:tcPr>
            <w:tcW w:w="8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921"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日喀则市</w:t>
            </w:r>
          </w:p>
        </w:tc>
        <w:tc>
          <w:tcPr>
            <w:tcW w:w="1554"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80.70 </w:t>
            </w:r>
          </w:p>
        </w:tc>
        <w:tc>
          <w:tcPr>
            <w:tcW w:w="1123"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1845"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儋州市</w:t>
            </w:r>
          </w:p>
        </w:tc>
        <w:tc>
          <w:tcPr>
            <w:tcW w:w="1721"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78.78 </w:t>
            </w:r>
          </w:p>
        </w:tc>
      </w:tr>
      <w:tr w:rsidR="002D6C73">
        <w:tc>
          <w:tcPr>
            <w:tcW w:w="8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1921"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山南市</w:t>
            </w:r>
          </w:p>
        </w:tc>
        <w:tc>
          <w:tcPr>
            <w:tcW w:w="1554"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80.64 </w:t>
            </w:r>
          </w:p>
        </w:tc>
        <w:tc>
          <w:tcPr>
            <w:tcW w:w="1123"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1845"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运城市</w:t>
            </w:r>
          </w:p>
        </w:tc>
        <w:tc>
          <w:tcPr>
            <w:tcW w:w="1721"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78.44 </w:t>
            </w:r>
          </w:p>
        </w:tc>
      </w:tr>
      <w:tr w:rsidR="002D6C73">
        <w:tc>
          <w:tcPr>
            <w:tcW w:w="8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921"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拉萨市</w:t>
            </w:r>
          </w:p>
        </w:tc>
        <w:tc>
          <w:tcPr>
            <w:tcW w:w="1554"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80.18 </w:t>
            </w:r>
          </w:p>
        </w:tc>
        <w:tc>
          <w:tcPr>
            <w:tcW w:w="1123"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1845"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玉溪市</w:t>
            </w:r>
          </w:p>
        </w:tc>
        <w:tc>
          <w:tcPr>
            <w:tcW w:w="1721"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78.30 </w:t>
            </w:r>
          </w:p>
        </w:tc>
      </w:tr>
      <w:tr w:rsidR="002D6C73">
        <w:tc>
          <w:tcPr>
            <w:tcW w:w="8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1921"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海西蒙古族藏族自治州</w:t>
            </w:r>
          </w:p>
        </w:tc>
        <w:tc>
          <w:tcPr>
            <w:tcW w:w="1554"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79.98 </w:t>
            </w:r>
          </w:p>
        </w:tc>
        <w:tc>
          <w:tcPr>
            <w:tcW w:w="1123"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1845"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松原市</w:t>
            </w:r>
          </w:p>
        </w:tc>
        <w:tc>
          <w:tcPr>
            <w:tcW w:w="1721"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77.32 </w:t>
            </w:r>
          </w:p>
        </w:tc>
      </w:tr>
      <w:tr w:rsidR="002D6C73">
        <w:tc>
          <w:tcPr>
            <w:tcW w:w="8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1921"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鄂尔多斯市</w:t>
            </w:r>
          </w:p>
        </w:tc>
        <w:tc>
          <w:tcPr>
            <w:tcW w:w="1554"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79.35 </w:t>
            </w:r>
          </w:p>
        </w:tc>
        <w:tc>
          <w:tcPr>
            <w:tcW w:w="1123"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15</w:t>
            </w:r>
          </w:p>
        </w:tc>
        <w:tc>
          <w:tcPr>
            <w:tcW w:w="1845"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proofErr w:type="gramStart"/>
            <w:r>
              <w:rPr>
                <w:rFonts w:ascii="仿宋" w:eastAsia="仿宋" w:hAnsi="仿宋" w:cs="仿宋" w:hint="eastAsia"/>
                <w:color w:val="1C1C1C"/>
                <w:sz w:val="28"/>
                <w:szCs w:val="22"/>
              </w:rPr>
              <w:t>庆阳市</w:t>
            </w:r>
            <w:proofErr w:type="gramEnd"/>
          </w:p>
        </w:tc>
        <w:tc>
          <w:tcPr>
            <w:tcW w:w="1721" w:type="dxa"/>
            <w:tcBorders>
              <w:top w:val="single" w:sz="4" w:space="0" w:color="auto"/>
              <w:left w:val="single" w:sz="4" w:space="0" w:color="auto"/>
              <w:bottom w:val="single" w:sz="4" w:space="0" w:color="auto"/>
              <w:right w:val="single" w:sz="4" w:space="0" w:color="auto"/>
            </w:tcBorders>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76.65 </w:t>
            </w:r>
          </w:p>
        </w:tc>
      </w:tr>
      <w:tr w:rsidR="002D6C73">
        <w:tc>
          <w:tcPr>
            <w:tcW w:w="8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1921"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海东市</w:t>
            </w:r>
          </w:p>
        </w:tc>
        <w:tc>
          <w:tcPr>
            <w:tcW w:w="1554"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79.33 </w:t>
            </w:r>
          </w:p>
        </w:tc>
        <w:tc>
          <w:tcPr>
            <w:tcW w:w="1123" w:type="dxa"/>
            <w:tcBorders>
              <w:top w:val="single" w:sz="4" w:space="0" w:color="auto"/>
              <w:left w:val="single" w:sz="4" w:space="0" w:color="auto"/>
              <w:bottom w:val="single" w:sz="4" w:space="0" w:color="auto"/>
              <w:right w:val="single" w:sz="4" w:space="0" w:color="auto"/>
            </w:tcBorders>
            <w:vAlign w:val="center"/>
          </w:tcPr>
          <w:p w:rsidR="002D6C73" w:rsidRDefault="002D6C73">
            <w:pPr>
              <w:pStyle w:val="10"/>
              <w:spacing w:line="400" w:lineRule="exact"/>
              <w:rPr>
                <w:rFonts w:ascii="仿宋" w:eastAsia="仿宋" w:hAnsi="仿宋" w:cs="仿宋"/>
                <w:color w:val="1C1C1C"/>
                <w:sz w:val="28"/>
                <w:szCs w:val="22"/>
              </w:rPr>
            </w:pPr>
          </w:p>
        </w:tc>
        <w:tc>
          <w:tcPr>
            <w:tcW w:w="1845" w:type="dxa"/>
            <w:tcBorders>
              <w:top w:val="single" w:sz="4" w:space="0" w:color="auto"/>
              <w:left w:val="single" w:sz="4" w:space="0" w:color="auto"/>
              <w:bottom w:val="single" w:sz="4" w:space="0" w:color="auto"/>
              <w:right w:val="single" w:sz="4" w:space="0" w:color="auto"/>
            </w:tcBorders>
            <w:vAlign w:val="bottom"/>
          </w:tcPr>
          <w:p w:rsidR="002D6C73" w:rsidRDefault="002D6C73">
            <w:pPr>
              <w:pStyle w:val="10"/>
              <w:spacing w:line="400" w:lineRule="exact"/>
              <w:rPr>
                <w:rFonts w:ascii="仿宋" w:eastAsia="仿宋" w:hAnsi="仿宋" w:cs="仿宋"/>
                <w:color w:val="1C1C1C"/>
                <w:sz w:val="28"/>
                <w:szCs w:val="22"/>
              </w:rPr>
            </w:pPr>
          </w:p>
        </w:tc>
        <w:tc>
          <w:tcPr>
            <w:tcW w:w="1721" w:type="dxa"/>
            <w:tcBorders>
              <w:top w:val="single" w:sz="4" w:space="0" w:color="auto"/>
              <w:left w:val="single" w:sz="4" w:space="0" w:color="auto"/>
              <w:bottom w:val="single" w:sz="4" w:space="0" w:color="auto"/>
              <w:right w:val="single" w:sz="4" w:space="0" w:color="auto"/>
            </w:tcBorders>
            <w:vAlign w:val="bottom"/>
          </w:tcPr>
          <w:p w:rsidR="002D6C73" w:rsidRDefault="002D6C73">
            <w:pPr>
              <w:pStyle w:val="10"/>
              <w:spacing w:line="400" w:lineRule="exact"/>
              <w:rPr>
                <w:rFonts w:ascii="仿宋" w:eastAsia="仿宋" w:hAnsi="仿宋" w:cs="仿宋"/>
                <w:color w:val="1C1C1C"/>
                <w:sz w:val="28"/>
                <w:szCs w:val="22"/>
              </w:rPr>
            </w:pPr>
          </w:p>
        </w:tc>
      </w:tr>
    </w:tbl>
    <w:p w:rsidR="002D6C73" w:rsidRDefault="002D6C73">
      <w:pPr>
        <w:rPr>
          <w:color w:val="1C1C1C"/>
        </w:rPr>
      </w:pPr>
    </w:p>
    <w:p w:rsidR="002D6C73" w:rsidRDefault="00FB6868">
      <w:pPr>
        <w:pStyle w:val="3"/>
        <w:ind w:firstLine="640"/>
        <w:rPr>
          <w:rFonts w:ascii="仿宋" w:eastAsia="仿宋" w:hAnsi="仿宋" w:cs="仿宋"/>
          <w:color w:val="1C1C1C"/>
          <w:sz w:val="32"/>
          <w:szCs w:val="32"/>
        </w:rPr>
      </w:pPr>
      <w:bookmarkStart w:id="49" w:name="_Toc33719406"/>
      <w:bookmarkStart w:id="50" w:name="_Toc62721767"/>
      <w:bookmarkStart w:id="51" w:name="_Toc3991"/>
      <w:r>
        <w:rPr>
          <w:rFonts w:ascii="仿宋" w:eastAsia="仿宋" w:hAnsi="仿宋" w:cs="仿宋" w:hint="eastAsia"/>
          <w:color w:val="1C1C1C"/>
          <w:sz w:val="32"/>
          <w:szCs w:val="32"/>
        </w:rPr>
        <w:t>（五）基于三大地理地区分类的各城市得分</w:t>
      </w:r>
      <w:bookmarkEnd w:id="49"/>
      <w:bookmarkEnd w:id="50"/>
      <w:bookmarkEnd w:id="51"/>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42个东部地区城市中，消费者满意度得分在80分以上的有29个。其中，排名靠前的3个城市依次为：苏州市、杭州市、青岛市；排名靠后的3个城市依次为：唐山市、三亚市、海口市。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表19</w:t>
      </w:r>
      <w:r>
        <w:rPr>
          <w:rFonts w:ascii="黑体" w:eastAsia="黑体" w:hAnsi="黑体"/>
          <w:color w:val="1C1C1C"/>
          <w:sz w:val="28"/>
          <w:szCs w:val="32"/>
        </w:rPr>
        <w:t xml:space="preserve"> </w:t>
      </w:r>
      <w:r>
        <w:rPr>
          <w:rFonts w:ascii="黑体" w:eastAsia="黑体" w:hAnsi="黑体" w:hint="eastAsia"/>
          <w:color w:val="1C1C1C"/>
          <w:sz w:val="28"/>
          <w:szCs w:val="32"/>
        </w:rPr>
        <w:t>东部地区城市消费者满意度得分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653"/>
        <w:gridCol w:w="1441"/>
        <w:gridCol w:w="1232"/>
        <w:gridCol w:w="2076"/>
        <w:gridCol w:w="1439"/>
      </w:tblGrid>
      <w:tr w:rsidR="002D6C73">
        <w:trPr>
          <w:tblHeader/>
        </w:trPr>
        <w:tc>
          <w:tcPr>
            <w:tcW w:w="1233"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653"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441"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1232"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2076"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439"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苏州市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89.70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22</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温州市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80.95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杭州市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87.34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23</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广州市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80.90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青岛市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87.01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24</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沈阳市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80.78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南京市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86.04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25</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济南市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80.78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无锡市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86.00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26</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盐城市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80.77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lastRenderedPageBreak/>
              <w:t>6</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烟台市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85.29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27</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临沂市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80.75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常州市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85.12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28</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徐州市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80.43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上海市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84.57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29</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淄博市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80.09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北京市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83.49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30</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石家庄市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79.92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厦门市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83.16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31</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台州市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79.38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宁波市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82.40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32</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鞍山市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79.36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泉州市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82.20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33</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福州市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79.36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潍坊市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82.08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34</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东莞市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79.31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佛山市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81.93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35</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儋州市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78.78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15</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金华市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81.90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36</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大连市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78.74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16</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天津市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81.49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37</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邯郸市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78.63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17</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济宁市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81.46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38</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汕头市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78.54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18</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嘉兴市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81.38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39</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保定市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78.34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19</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南通市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81.30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40</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唐山市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78.12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20</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绍兴市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81.12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41</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三亚市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77.38 </w:t>
            </w:r>
          </w:p>
        </w:tc>
      </w:tr>
      <w:tr w:rsidR="002D6C73">
        <w:tc>
          <w:tcPr>
            <w:tcW w:w="123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21</w:t>
            </w:r>
          </w:p>
        </w:tc>
        <w:tc>
          <w:tcPr>
            <w:tcW w:w="165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深圳市</w:t>
            </w:r>
          </w:p>
        </w:tc>
        <w:tc>
          <w:tcPr>
            <w:tcW w:w="14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81.00 </w:t>
            </w:r>
          </w:p>
        </w:tc>
        <w:tc>
          <w:tcPr>
            <w:tcW w:w="123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42</w:t>
            </w:r>
          </w:p>
        </w:tc>
        <w:tc>
          <w:tcPr>
            <w:tcW w:w="20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海口市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76.80 </w:t>
            </w: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24个中部地区城市中，消费者满意度得分在80分以上的有8个。其中，排名靠前的3个城市依次为：宜昌市、洛阳市、襄阳市；排名靠后的3个城市依次为：运城市、松原市、衡阳市。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表20 中部地区城市消费者满意度得分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8"/>
        <w:gridCol w:w="2096"/>
        <w:gridCol w:w="1437"/>
        <w:gridCol w:w="1218"/>
        <w:gridCol w:w="1656"/>
        <w:gridCol w:w="1435"/>
      </w:tblGrid>
      <w:tr w:rsidR="002D6C73">
        <w:tc>
          <w:tcPr>
            <w:tcW w:w="1218"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tcPr>
          <w:p w:rsidR="002D6C73" w:rsidRDefault="00FB6868">
            <w:pPr>
              <w:pStyle w:val="10"/>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2096"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tcPr>
          <w:p w:rsidR="002D6C73" w:rsidRDefault="00FB6868">
            <w:pPr>
              <w:pStyle w:val="10"/>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437"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tcPr>
          <w:p w:rsidR="002D6C73" w:rsidRDefault="00FB6868">
            <w:pPr>
              <w:pStyle w:val="10"/>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1218"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tcPr>
          <w:p w:rsidR="002D6C73" w:rsidRDefault="00FB6868">
            <w:pPr>
              <w:pStyle w:val="10"/>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656"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tcPr>
          <w:p w:rsidR="002D6C73" w:rsidRDefault="00FB6868">
            <w:pPr>
              <w:pStyle w:val="10"/>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435"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tcPr>
          <w:p w:rsidR="002D6C73" w:rsidRDefault="00FB6868">
            <w:pPr>
              <w:pStyle w:val="10"/>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宜昌市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82.39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赣州市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79.46 </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洛阳市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81.24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郑州市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79.26 </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襄阳市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80.77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15</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吉林市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79.09 </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岳阳市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80.76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16</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南昌市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79.08 </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大庆市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80.47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17</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南阳市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79.05 </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哈尔滨市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80.20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18</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长春市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79.01 </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芜湖市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80.15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19</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长沙市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78.83 </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武汉市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80.09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20</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阜阳市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78.79 </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lastRenderedPageBreak/>
              <w:t>9</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太原市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79.81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21</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合肥市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78.76 </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大同市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79.76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22</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运城市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78.44 </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上饶市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79.72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23</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松原市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77.32 </w:t>
            </w:r>
          </w:p>
        </w:tc>
      </w:tr>
      <w:tr w:rsidR="002D6C73">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209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齐齐哈尔市</w:t>
            </w:r>
          </w:p>
        </w:tc>
        <w:tc>
          <w:tcPr>
            <w:tcW w:w="1437"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79.54 </w:t>
            </w:r>
          </w:p>
        </w:tc>
        <w:tc>
          <w:tcPr>
            <w:tcW w:w="1218"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24</w:t>
            </w:r>
          </w:p>
        </w:tc>
        <w:tc>
          <w:tcPr>
            <w:tcW w:w="1656"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衡阳市</w:t>
            </w:r>
          </w:p>
        </w:tc>
        <w:tc>
          <w:tcPr>
            <w:tcW w:w="1435" w:type="dxa"/>
            <w:tcBorders>
              <w:top w:val="single" w:sz="4" w:space="0" w:color="auto"/>
              <w:left w:val="single" w:sz="4" w:space="0" w:color="auto"/>
              <w:bottom w:val="single" w:sz="4" w:space="0" w:color="auto"/>
              <w:right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77.05 </w:t>
            </w: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34个西部地区城市中，消费者满意度得分在80分以上的有9个。其中，排名靠前的3个城市依次为：成都市、吴忠市、南宁市；排名靠后的3个城市依次为：宝鸡市、西安市、庆阳市。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表21 西部地区城市消费者满意度得分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2284"/>
        <w:gridCol w:w="1316"/>
        <w:gridCol w:w="1125"/>
        <w:gridCol w:w="1895"/>
        <w:gridCol w:w="1316"/>
      </w:tblGrid>
      <w:tr w:rsidR="002D6C73">
        <w:trPr>
          <w:tblHeader/>
        </w:trPr>
        <w:tc>
          <w:tcPr>
            <w:tcW w:w="1124"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2284"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316"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1125"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895"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316"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成都市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81.85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18</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石嘴山市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79.31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吴忠市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81.38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19</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南充市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79.29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南宁市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81.16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20</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哈密市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79.25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克拉玛依市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80.72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21</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昆明市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79.15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日喀则市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80.70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22</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曲靖市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79.10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山南市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80.64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23</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贵阳市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78.95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银川市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80.30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24</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遵义市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78.88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拉萨市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80.18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25</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重庆市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78.79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西宁市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80.07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26</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绵阳市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78.78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海西蒙古族藏族自治州</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79.98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27</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桂林市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78.73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渭南市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79.91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28</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玉溪市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78.30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包头市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79.89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29</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乌鲁木齐市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78.21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柳州市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79.66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30</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兰州市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78.03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天水市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79.49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31</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呼和浩特市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77.55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15</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毕节市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79.44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32</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宝鸡市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77.39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16</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鄂尔多斯市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79.35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33</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西安市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76.73 </w:t>
            </w:r>
          </w:p>
        </w:tc>
      </w:tr>
      <w:tr w:rsidR="002D6C73">
        <w:tc>
          <w:tcPr>
            <w:tcW w:w="112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17</w:t>
            </w:r>
          </w:p>
        </w:tc>
        <w:tc>
          <w:tcPr>
            <w:tcW w:w="228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海东市</w:t>
            </w:r>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79.33 </w:t>
            </w:r>
          </w:p>
        </w:tc>
        <w:tc>
          <w:tcPr>
            <w:tcW w:w="112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34</w:t>
            </w:r>
          </w:p>
        </w:tc>
        <w:tc>
          <w:tcPr>
            <w:tcW w:w="1895" w:type="dxa"/>
            <w:noWrap/>
            <w:vAlign w:val="center"/>
          </w:tcPr>
          <w:p w:rsidR="002D6C73" w:rsidRDefault="00FB6868">
            <w:pPr>
              <w:pStyle w:val="10"/>
              <w:spacing w:line="400" w:lineRule="exact"/>
              <w:rPr>
                <w:rFonts w:ascii="仿宋" w:eastAsia="仿宋" w:hAnsi="仿宋" w:cs="仿宋"/>
                <w:color w:val="1C1C1C"/>
                <w:sz w:val="28"/>
                <w:szCs w:val="22"/>
              </w:rPr>
            </w:pPr>
            <w:proofErr w:type="gramStart"/>
            <w:r>
              <w:rPr>
                <w:rFonts w:ascii="仿宋" w:eastAsia="仿宋" w:hAnsi="仿宋" w:cs="仿宋" w:hint="eastAsia"/>
                <w:color w:val="1C1C1C"/>
                <w:sz w:val="28"/>
                <w:szCs w:val="22"/>
              </w:rPr>
              <w:t>庆阳市</w:t>
            </w:r>
            <w:proofErr w:type="gramEnd"/>
          </w:p>
        </w:tc>
        <w:tc>
          <w:tcPr>
            <w:tcW w:w="131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76.65 </w:t>
            </w:r>
          </w:p>
        </w:tc>
      </w:tr>
    </w:tbl>
    <w:p w:rsidR="002D6C73" w:rsidRDefault="00FB6868">
      <w:pPr>
        <w:pStyle w:val="3"/>
        <w:ind w:firstLine="640"/>
        <w:rPr>
          <w:rFonts w:ascii="仿宋" w:eastAsia="仿宋" w:hAnsi="仿宋" w:cs="仿宋"/>
          <w:color w:val="1C1C1C"/>
          <w:sz w:val="32"/>
          <w:szCs w:val="32"/>
        </w:rPr>
      </w:pPr>
      <w:bookmarkStart w:id="52" w:name="_Toc33719407"/>
      <w:bookmarkStart w:id="53" w:name="_Toc20239"/>
      <w:bookmarkStart w:id="54" w:name="_Toc62721768"/>
      <w:r>
        <w:rPr>
          <w:rFonts w:ascii="仿宋" w:eastAsia="仿宋" w:hAnsi="仿宋" w:cs="仿宋" w:hint="eastAsia"/>
          <w:color w:val="1C1C1C"/>
          <w:sz w:val="32"/>
          <w:szCs w:val="32"/>
        </w:rPr>
        <w:t>（六）基于七大地理地区分类的各城市得分</w:t>
      </w:r>
      <w:bookmarkEnd w:id="52"/>
      <w:bookmarkEnd w:id="53"/>
      <w:bookmarkEnd w:id="54"/>
    </w:p>
    <w:p w:rsidR="002D6C73" w:rsidRDefault="00FB6868">
      <w:pPr>
        <w:spacing w:line="560" w:lineRule="exact"/>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31个华东区域城市中，有24个城市的消费者满意度得分超过80分，总体表现亮眼。其中，排名靠前的3个城市依次为：</w:t>
      </w:r>
      <w:r>
        <w:rPr>
          <w:rFonts w:ascii="仿宋" w:eastAsia="仿宋" w:hAnsi="仿宋" w:cs="仿宋" w:hint="eastAsia"/>
          <w:color w:val="1C1C1C"/>
          <w:sz w:val="32"/>
          <w:szCs w:val="32"/>
        </w:rPr>
        <w:lastRenderedPageBreak/>
        <w:t>苏州市、杭州市、青岛市；排名靠后的3个城市依次为：南昌市、阜阳市、合肥市。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表22 华东城市消费者满意度得分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731"/>
        <w:gridCol w:w="1509"/>
        <w:gridCol w:w="1290"/>
        <w:gridCol w:w="1730"/>
        <w:gridCol w:w="1509"/>
      </w:tblGrid>
      <w:tr w:rsidR="002D6C73">
        <w:trPr>
          <w:tblHeader/>
        </w:trPr>
        <w:tc>
          <w:tcPr>
            <w:tcW w:w="1291"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731"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509"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1290"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730"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509"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苏州市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89.70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17</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绍兴市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81.12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杭州市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87.34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18</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温州市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80.95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青岛市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87.01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19</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济南市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80.78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南京市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86.04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20</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盐城市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80.77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无锡市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86.00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21</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临沂市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80.75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烟台市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85.29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22</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徐州市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80.43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常州市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85.12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23</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芜湖市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80.15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上海市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84.57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24</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淄博市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80.09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厦门市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83.16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25</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上饶市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79.72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宁波市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82.40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26</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赣州市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79.46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泉州市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82.20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27</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台州市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79.38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潍坊市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82.08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28</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福州市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79.36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金华市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81.90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29</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南昌市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79.08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济宁市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81.46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30</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阜阳市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78.79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15</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嘉兴市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81.38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31</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合肥市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78.76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16</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南通市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81.30 </w:t>
            </w:r>
          </w:p>
        </w:tc>
        <w:tc>
          <w:tcPr>
            <w:tcW w:w="1290" w:type="dxa"/>
            <w:noWrap/>
            <w:vAlign w:val="center"/>
          </w:tcPr>
          <w:p w:rsidR="002D6C73" w:rsidRDefault="002D6C73">
            <w:pPr>
              <w:pStyle w:val="10"/>
              <w:spacing w:line="400" w:lineRule="exact"/>
              <w:rPr>
                <w:rFonts w:ascii="仿宋" w:eastAsia="仿宋" w:hAnsi="仿宋" w:cs="仿宋"/>
                <w:color w:val="1C1C1C"/>
                <w:sz w:val="28"/>
                <w:szCs w:val="22"/>
              </w:rPr>
            </w:pPr>
          </w:p>
        </w:tc>
        <w:tc>
          <w:tcPr>
            <w:tcW w:w="1730" w:type="dxa"/>
            <w:noWrap/>
            <w:vAlign w:val="center"/>
          </w:tcPr>
          <w:p w:rsidR="002D6C73" w:rsidRDefault="002D6C73">
            <w:pPr>
              <w:pStyle w:val="10"/>
              <w:spacing w:line="400" w:lineRule="exact"/>
              <w:rPr>
                <w:rFonts w:ascii="仿宋" w:eastAsia="仿宋" w:hAnsi="仿宋" w:cs="仿宋"/>
                <w:color w:val="1C1C1C"/>
                <w:sz w:val="28"/>
                <w:szCs w:val="18"/>
              </w:rPr>
            </w:pPr>
          </w:p>
        </w:tc>
        <w:tc>
          <w:tcPr>
            <w:tcW w:w="1509" w:type="dxa"/>
            <w:noWrap/>
            <w:vAlign w:val="center"/>
          </w:tcPr>
          <w:p w:rsidR="002D6C73" w:rsidRDefault="002D6C73">
            <w:pPr>
              <w:pStyle w:val="10"/>
              <w:spacing w:line="400" w:lineRule="exact"/>
              <w:rPr>
                <w:rFonts w:ascii="仿宋" w:eastAsia="仿宋" w:hAnsi="仿宋" w:cs="仿宋"/>
                <w:color w:val="1C1C1C"/>
                <w:sz w:val="28"/>
                <w:szCs w:val="18"/>
              </w:rPr>
            </w:pP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12个华北区域城市中，北京、天津2个城市满意度得分超过80分；排名靠前的3个城市依次为：北京市、天津市、石家庄市；排名靠后的3个城市依次为：保定市、唐山市、呼和浩特市。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表23 华北城市消费者满意度得分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1908"/>
        <w:gridCol w:w="1041"/>
        <w:gridCol w:w="1176"/>
        <w:gridCol w:w="2385"/>
        <w:gridCol w:w="1373"/>
      </w:tblGrid>
      <w:tr w:rsidR="002D6C73">
        <w:trPr>
          <w:trHeight w:val="554"/>
        </w:trPr>
        <w:tc>
          <w:tcPr>
            <w:tcW w:w="1177"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908"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041"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1176"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2385"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373"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190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北京市</w:t>
            </w:r>
          </w:p>
        </w:tc>
        <w:tc>
          <w:tcPr>
            <w:tcW w:w="10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83.49 </w:t>
            </w:r>
          </w:p>
        </w:tc>
        <w:tc>
          <w:tcPr>
            <w:tcW w:w="11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238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鄂尔多斯市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79.35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190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天津市</w:t>
            </w:r>
          </w:p>
        </w:tc>
        <w:tc>
          <w:tcPr>
            <w:tcW w:w="10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81.49 </w:t>
            </w:r>
          </w:p>
        </w:tc>
        <w:tc>
          <w:tcPr>
            <w:tcW w:w="11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238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邯郸市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78.63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90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石家庄市</w:t>
            </w:r>
          </w:p>
        </w:tc>
        <w:tc>
          <w:tcPr>
            <w:tcW w:w="10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79.92 </w:t>
            </w:r>
          </w:p>
        </w:tc>
        <w:tc>
          <w:tcPr>
            <w:tcW w:w="11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238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运城市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78.44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lastRenderedPageBreak/>
              <w:t>4</w:t>
            </w:r>
          </w:p>
        </w:tc>
        <w:tc>
          <w:tcPr>
            <w:tcW w:w="190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包头市</w:t>
            </w:r>
          </w:p>
        </w:tc>
        <w:tc>
          <w:tcPr>
            <w:tcW w:w="10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79.89 </w:t>
            </w:r>
          </w:p>
        </w:tc>
        <w:tc>
          <w:tcPr>
            <w:tcW w:w="11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238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保定市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78.34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90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太原市</w:t>
            </w:r>
          </w:p>
        </w:tc>
        <w:tc>
          <w:tcPr>
            <w:tcW w:w="10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79.81 </w:t>
            </w:r>
          </w:p>
        </w:tc>
        <w:tc>
          <w:tcPr>
            <w:tcW w:w="11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238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唐山市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78.12 </w:t>
            </w:r>
          </w:p>
        </w:tc>
      </w:tr>
      <w:tr w:rsidR="002D6C73">
        <w:tc>
          <w:tcPr>
            <w:tcW w:w="117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190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大同市</w:t>
            </w:r>
          </w:p>
        </w:tc>
        <w:tc>
          <w:tcPr>
            <w:tcW w:w="104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79.76 </w:t>
            </w:r>
          </w:p>
        </w:tc>
        <w:tc>
          <w:tcPr>
            <w:tcW w:w="1176"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238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呼和浩特市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77.55 </w:t>
            </w: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11个华南</w:t>
      </w:r>
      <w:r>
        <w:rPr>
          <w:rFonts w:ascii="仿宋" w:eastAsia="仿宋" w:hAnsi="仿宋" w:cs="仿宋" w:hint="eastAsia"/>
          <w:color w:val="1C1C1C"/>
          <w:spacing w:val="8"/>
          <w:sz w:val="32"/>
          <w:szCs w:val="32"/>
        </w:rPr>
        <w:t>区域城市中，佛山、南宁、深圳、广州4个城市排在前4名，满意度得分均超过80分；</w:t>
      </w:r>
      <w:r>
        <w:rPr>
          <w:rFonts w:ascii="仿宋" w:eastAsia="仿宋" w:hAnsi="仿宋" w:cs="仿宋" w:hint="eastAsia"/>
          <w:color w:val="1C1C1C"/>
          <w:sz w:val="32"/>
          <w:szCs w:val="32"/>
        </w:rPr>
        <w:t>排名靠后的3个城市依次为：汕头市、三亚市、海口市。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表24 华南城市消费者满意度得分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731"/>
        <w:gridCol w:w="1509"/>
        <w:gridCol w:w="1290"/>
        <w:gridCol w:w="1730"/>
        <w:gridCol w:w="1509"/>
      </w:tblGrid>
      <w:tr w:rsidR="002D6C73">
        <w:tc>
          <w:tcPr>
            <w:tcW w:w="1291"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731"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509"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1290"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730"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509"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佛山市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81.93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儋州市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78.78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南宁市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81.16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桂林市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78.73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深圳市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81.00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汕头市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78.54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广州市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80.90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三亚市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77.38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柳州市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79.66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海口市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76.80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东莞市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79.31 </w:t>
            </w:r>
          </w:p>
        </w:tc>
        <w:tc>
          <w:tcPr>
            <w:tcW w:w="1290" w:type="dxa"/>
            <w:noWrap/>
            <w:vAlign w:val="center"/>
          </w:tcPr>
          <w:p w:rsidR="002D6C73" w:rsidRDefault="002D6C73">
            <w:pPr>
              <w:pStyle w:val="10"/>
              <w:spacing w:line="400" w:lineRule="exact"/>
              <w:rPr>
                <w:rFonts w:ascii="仿宋" w:eastAsia="仿宋" w:hAnsi="仿宋" w:cs="仿宋"/>
                <w:color w:val="1C1C1C"/>
                <w:sz w:val="28"/>
                <w:szCs w:val="22"/>
              </w:rPr>
            </w:pPr>
          </w:p>
        </w:tc>
        <w:tc>
          <w:tcPr>
            <w:tcW w:w="1730" w:type="dxa"/>
            <w:noWrap/>
            <w:vAlign w:val="center"/>
          </w:tcPr>
          <w:p w:rsidR="002D6C73" w:rsidRDefault="002D6C73">
            <w:pPr>
              <w:pStyle w:val="10"/>
              <w:spacing w:line="400" w:lineRule="exact"/>
              <w:rPr>
                <w:rFonts w:ascii="仿宋" w:eastAsia="仿宋" w:hAnsi="仿宋" w:cs="仿宋"/>
                <w:color w:val="1C1C1C"/>
                <w:sz w:val="28"/>
                <w:szCs w:val="18"/>
              </w:rPr>
            </w:pPr>
          </w:p>
        </w:tc>
        <w:tc>
          <w:tcPr>
            <w:tcW w:w="1509" w:type="dxa"/>
            <w:noWrap/>
            <w:vAlign w:val="center"/>
          </w:tcPr>
          <w:p w:rsidR="002D6C73" w:rsidRDefault="002D6C73">
            <w:pPr>
              <w:pStyle w:val="10"/>
              <w:spacing w:line="400" w:lineRule="exact"/>
              <w:rPr>
                <w:rFonts w:ascii="仿宋" w:eastAsia="仿宋" w:hAnsi="仿宋" w:cs="仿宋"/>
                <w:color w:val="1C1C1C"/>
                <w:sz w:val="28"/>
                <w:szCs w:val="18"/>
              </w:rPr>
            </w:pP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9个华中区域城市中，</w:t>
      </w:r>
      <w:r>
        <w:rPr>
          <w:rFonts w:ascii="仿宋" w:eastAsia="仿宋" w:hAnsi="仿宋" w:cs="仿宋" w:hint="eastAsia"/>
          <w:color w:val="1C1C1C"/>
          <w:spacing w:val="8"/>
          <w:sz w:val="32"/>
          <w:szCs w:val="32"/>
        </w:rPr>
        <w:t>宜昌、洛阳、襄阳、岳阳、武汉5个城市排在前5名，满意度得分均超过80分；</w:t>
      </w:r>
      <w:r>
        <w:rPr>
          <w:rFonts w:ascii="仿宋" w:eastAsia="仿宋" w:hAnsi="仿宋" w:cs="仿宋" w:hint="eastAsia"/>
          <w:color w:val="1C1C1C"/>
          <w:sz w:val="32"/>
          <w:szCs w:val="32"/>
        </w:rPr>
        <w:t>排名靠后的3个城市依次为：南阳市、长沙市、衡阳市。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表25 华中城市消费者满意度得分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731"/>
        <w:gridCol w:w="1509"/>
        <w:gridCol w:w="1290"/>
        <w:gridCol w:w="1730"/>
        <w:gridCol w:w="1509"/>
      </w:tblGrid>
      <w:tr w:rsidR="002D6C73">
        <w:tc>
          <w:tcPr>
            <w:tcW w:w="1291"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731"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509"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1290"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730"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509"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宜昌市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82.39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郑州市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79.26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洛阳市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81.24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南阳市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79.05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襄阳市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80.77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长沙市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78.83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岳阳市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80.76 </w:t>
            </w:r>
          </w:p>
        </w:tc>
        <w:tc>
          <w:tcPr>
            <w:tcW w:w="129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17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衡阳市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77.05 </w:t>
            </w:r>
          </w:p>
        </w:tc>
      </w:tr>
      <w:tr w:rsidR="002D6C73">
        <w:tc>
          <w:tcPr>
            <w:tcW w:w="129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7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武汉市</w:t>
            </w:r>
          </w:p>
        </w:tc>
        <w:tc>
          <w:tcPr>
            <w:tcW w:w="150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80.09 </w:t>
            </w:r>
          </w:p>
        </w:tc>
        <w:tc>
          <w:tcPr>
            <w:tcW w:w="1290" w:type="dxa"/>
            <w:noWrap/>
            <w:vAlign w:val="center"/>
          </w:tcPr>
          <w:p w:rsidR="002D6C73" w:rsidRDefault="002D6C73">
            <w:pPr>
              <w:pStyle w:val="10"/>
              <w:spacing w:line="400" w:lineRule="exact"/>
              <w:rPr>
                <w:rFonts w:ascii="仿宋" w:eastAsia="仿宋" w:hAnsi="仿宋" w:cs="仿宋"/>
                <w:color w:val="1C1C1C"/>
                <w:sz w:val="28"/>
                <w:szCs w:val="22"/>
              </w:rPr>
            </w:pPr>
          </w:p>
        </w:tc>
        <w:tc>
          <w:tcPr>
            <w:tcW w:w="1730" w:type="dxa"/>
            <w:noWrap/>
            <w:vAlign w:val="center"/>
          </w:tcPr>
          <w:p w:rsidR="002D6C73" w:rsidRDefault="002D6C73">
            <w:pPr>
              <w:pStyle w:val="10"/>
              <w:spacing w:line="400" w:lineRule="exact"/>
              <w:rPr>
                <w:rFonts w:ascii="仿宋" w:eastAsia="仿宋" w:hAnsi="仿宋" w:cs="仿宋"/>
                <w:color w:val="1C1C1C"/>
                <w:sz w:val="28"/>
                <w:szCs w:val="18"/>
              </w:rPr>
            </w:pPr>
          </w:p>
        </w:tc>
        <w:tc>
          <w:tcPr>
            <w:tcW w:w="1509" w:type="dxa"/>
            <w:noWrap/>
            <w:vAlign w:val="center"/>
          </w:tcPr>
          <w:p w:rsidR="002D6C73" w:rsidRDefault="002D6C73">
            <w:pPr>
              <w:pStyle w:val="10"/>
              <w:spacing w:line="400" w:lineRule="exact"/>
              <w:rPr>
                <w:rFonts w:ascii="仿宋" w:eastAsia="仿宋" w:hAnsi="仿宋" w:cs="仿宋"/>
                <w:color w:val="1C1C1C"/>
                <w:sz w:val="28"/>
                <w:szCs w:val="18"/>
              </w:rPr>
            </w:pP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9个东北区域城市中，</w:t>
      </w:r>
      <w:r>
        <w:rPr>
          <w:rFonts w:ascii="仿宋" w:eastAsia="仿宋" w:hAnsi="仿宋" w:cs="仿宋" w:hint="eastAsia"/>
          <w:color w:val="1C1C1C"/>
          <w:spacing w:val="8"/>
          <w:sz w:val="32"/>
          <w:szCs w:val="32"/>
        </w:rPr>
        <w:t>沈阳、大庆、哈尔滨3个城市排在前3名，满意度得分均超过80分；</w:t>
      </w:r>
      <w:r>
        <w:rPr>
          <w:rFonts w:ascii="仿宋" w:eastAsia="仿宋" w:hAnsi="仿宋" w:cs="仿宋" w:hint="eastAsia"/>
          <w:color w:val="1C1C1C"/>
          <w:sz w:val="32"/>
          <w:szCs w:val="32"/>
        </w:rPr>
        <w:t>排名靠后的3个城市依次为：长春市、大连市、松原市。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lastRenderedPageBreak/>
        <w:t>表26 东北城市消费者满意度得分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831"/>
        <w:gridCol w:w="1258"/>
        <w:gridCol w:w="1221"/>
        <w:gridCol w:w="2093"/>
        <w:gridCol w:w="1435"/>
      </w:tblGrid>
      <w:tr w:rsidR="002D6C73">
        <w:tc>
          <w:tcPr>
            <w:tcW w:w="1222"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1831"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258"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c>
          <w:tcPr>
            <w:tcW w:w="1221"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排名</w:t>
            </w:r>
          </w:p>
        </w:tc>
        <w:tc>
          <w:tcPr>
            <w:tcW w:w="2093"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城市</w:t>
            </w:r>
          </w:p>
        </w:tc>
        <w:tc>
          <w:tcPr>
            <w:tcW w:w="1435" w:type="dxa"/>
            <w:shd w:val="clear" w:color="auto" w:fill="4472C4" w:themeFill="accent5"/>
            <w:vAlign w:val="center"/>
          </w:tcPr>
          <w:p w:rsidR="002D6C73" w:rsidRDefault="00FB6868">
            <w:pPr>
              <w:pStyle w:val="10"/>
              <w:spacing w:line="400" w:lineRule="exact"/>
              <w:rPr>
                <w:rFonts w:ascii="黑体" w:eastAsia="黑体" w:hAnsi="黑体" w:cs="黑体"/>
                <w:bCs w:val="0"/>
                <w:color w:val="1C1C1C"/>
                <w:sz w:val="28"/>
                <w:szCs w:val="22"/>
              </w:rPr>
            </w:pPr>
            <w:r>
              <w:rPr>
                <w:rFonts w:ascii="黑体" w:eastAsia="黑体" w:hAnsi="黑体" w:cs="黑体" w:hint="eastAsia"/>
                <w:bCs w:val="0"/>
                <w:color w:val="1C1C1C"/>
                <w:sz w:val="28"/>
                <w:szCs w:val="22"/>
              </w:rPr>
              <w:t>得分</w:t>
            </w:r>
          </w:p>
        </w:tc>
      </w:tr>
      <w:tr w:rsidR="002D6C73">
        <w:tc>
          <w:tcPr>
            <w:tcW w:w="122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18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沈阳市</w:t>
            </w:r>
          </w:p>
        </w:tc>
        <w:tc>
          <w:tcPr>
            <w:tcW w:w="125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80.78 </w:t>
            </w:r>
          </w:p>
        </w:tc>
        <w:tc>
          <w:tcPr>
            <w:tcW w:w="122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209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吉林市</w:t>
            </w:r>
          </w:p>
        </w:tc>
        <w:tc>
          <w:tcPr>
            <w:tcW w:w="143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79.09 </w:t>
            </w:r>
          </w:p>
        </w:tc>
      </w:tr>
      <w:tr w:rsidR="002D6C73">
        <w:tc>
          <w:tcPr>
            <w:tcW w:w="122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18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大庆市</w:t>
            </w:r>
          </w:p>
        </w:tc>
        <w:tc>
          <w:tcPr>
            <w:tcW w:w="125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80.47 </w:t>
            </w:r>
          </w:p>
        </w:tc>
        <w:tc>
          <w:tcPr>
            <w:tcW w:w="122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209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长春市</w:t>
            </w:r>
          </w:p>
        </w:tc>
        <w:tc>
          <w:tcPr>
            <w:tcW w:w="143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79.01 </w:t>
            </w:r>
          </w:p>
        </w:tc>
      </w:tr>
      <w:tr w:rsidR="002D6C73">
        <w:tc>
          <w:tcPr>
            <w:tcW w:w="122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8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哈尔滨市</w:t>
            </w:r>
          </w:p>
        </w:tc>
        <w:tc>
          <w:tcPr>
            <w:tcW w:w="125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80.20 </w:t>
            </w:r>
          </w:p>
        </w:tc>
        <w:tc>
          <w:tcPr>
            <w:tcW w:w="122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209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大连市</w:t>
            </w:r>
          </w:p>
        </w:tc>
        <w:tc>
          <w:tcPr>
            <w:tcW w:w="143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78.74 </w:t>
            </w:r>
          </w:p>
        </w:tc>
      </w:tr>
      <w:tr w:rsidR="002D6C73">
        <w:tc>
          <w:tcPr>
            <w:tcW w:w="122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18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齐齐哈尔市</w:t>
            </w:r>
          </w:p>
        </w:tc>
        <w:tc>
          <w:tcPr>
            <w:tcW w:w="125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79.54 </w:t>
            </w:r>
          </w:p>
        </w:tc>
        <w:tc>
          <w:tcPr>
            <w:tcW w:w="122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209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松原市</w:t>
            </w:r>
          </w:p>
        </w:tc>
        <w:tc>
          <w:tcPr>
            <w:tcW w:w="1435"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77.32 </w:t>
            </w:r>
          </w:p>
        </w:tc>
      </w:tr>
      <w:tr w:rsidR="002D6C73">
        <w:tc>
          <w:tcPr>
            <w:tcW w:w="1222"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83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鞍山市</w:t>
            </w:r>
          </w:p>
        </w:tc>
        <w:tc>
          <w:tcPr>
            <w:tcW w:w="1258"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79.36 </w:t>
            </w:r>
          </w:p>
        </w:tc>
        <w:tc>
          <w:tcPr>
            <w:tcW w:w="1221" w:type="dxa"/>
            <w:noWrap/>
            <w:vAlign w:val="center"/>
          </w:tcPr>
          <w:p w:rsidR="002D6C73" w:rsidRDefault="002D6C73">
            <w:pPr>
              <w:pStyle w:val="10"/>
              <w:spacing w:line="400" w:lineRule="exact"/>
              <w:rPr>
                <w:rFonts w:ascii="仿宋" w:eastAsia="仿宋" w:hAnsi="仿宋" w:cs="仿宋"/>
                <w:color w:val="1C1C1C"/>
                <w:sz w:val="28"/>
                <w:szCs w:val="22"/>
              </w:rPr>
            </w:pPr>
          </w:p>
        </w:tc>
        <w:tc>
          <w:tcPr>
            <w:tcW w:w="2093" w:type="dxa"/>
            <w:noWrap/>
            <w:vAlign w:val="center"/>
          </w:tcPr>
          <w:p w:rsidR="002D6C73" w:rsidRDefault="002D6C73">
            <w:pPr>
              <w:pStyle w:val="10"/>
              <w:spacing w:line="400" w:lineRule="exact"/>
              <w:rPr>
                <w:rFonts w:ascii="仿宋" w:eastAsia="仿宋" w:hAnsi="仿宋" w:cs="仿宋"/>
                <w:color w:val="1C1C1C"/>
                <w:sz w:val="28"/>
                <w:szCs w:val="18"/>
              </w:rPr>
            </w:pPr>
          </w:p>
        </w:tc>
        <w:tc>
          <w:tcPr>
            <w:tcW w:w="1435" w:type="dxa"/>
            <w:noWrap/>
            <w:vAlign w:val="center"/>
          </w:tcPr>
          <w:p w:rsidR="002D6C73" w:rsidRDefault="002D6C73">
            <w:pPr>
              <w:pStyle w:val="10"/>
              <w:spacing w:line="400" w:lineRule="exact"/>
              <w:rPr>
                <w:rFonts w:ascii="仿宋" w:eastAsia="仿宋" w:hAnsi="仿宋" w:cs="仿宋"/>
                <w:color w:val="1C1C1C"/>
                <w:sz w:val="28"/>
                <w:szCs w:val="18"/>
              </w:rPr>
            </w:pPr>
          </w:p>
        </w:tc>
      </w:tr>
    </w:tbl>
    <w:p w:rsidR="002D6C73" w:rsidRDefault="00FB6868">
      <w:pPr>
        <w:ind w:firstLineChars="200" w:firstLine="640"/>
        <w:jc w:val="both"/>
        <w:rPr>
          <w:rFonts w:ascii="黑体" w:eastAsia="黑体" w:hAnsi="黑体"/>
          <w:color w:val="1C1C1C"/>
          <w:sz w:val="28"/>
          <w:szCs w:val="32"/>
        </w:rPr>
      </w:pPr>
      <w:r>
        <w:rPr>
          <w:rFonts w:ascii="仿宋" w:eastAsia="仿宋" w:hAnsi="仿宋" w:cs="仿宋"/>
          <w:color w:val="1C1C1C"/>
          <w:sz w:val="32"/>
          <w:szCs w:val="32"/>
        </w:rPr>
        <w:t>1</w:t>
      </w:r>
      <w:r>
        <w:rPr>
          <w:rFonts w:ascii="仿宋" w:eastAsia="仿宋" w:hAnsi="仿宋" w:cs="仿宋" w:hint="eastAsia"/>
          <w:color w:val="1C1C1C"/>
          <w:sz w:val="32"/>
          <w:szCs w:val="32"/>
        </w:rPr>
        <w:t>5个西北区域城市中，</w:t>
      </w:r>
      <w:r>
        <w:rPr>
          <w:rFonts w:ascii="仿宋" w:eastAsia="仿宋" w:hAnsi="仿宋" w:cs="仿宋" w:hint="eastAsia"/>
          <w:color w:val="1C1C1C"/>
          <w:spacing w:val="8"/>
          <w:sz w:val="32"/>
          <w:szCs w:val="32"/>
        </w:rPr>
        <w:t>吴忠、克拉玛依、银川、西宁4个城市排在前4名，满意度得分均超过80分；</w:t>
      </w:r>
      <w:r>
        <w:rPr>
          <w:rFonts w:ascii="仿宋" w:eastAsia="仿宋" w:hAnsi="仿宋" w:cs="仿宋" w:hint="eastAsia"/>
          <w:color w:val="1C1C1C"/>
          <w:sz w:val="32"/>
          <w:szCs w:val="32"/>
        </w:rPr>
        <w:t>排名靠后的3个城市依次为：宝鸡市、西安市、庆阳市。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表27 西北城市消费者满意度得分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1799"/>
        <w:gridCol w:w="1134"/>
        <w:gridCol w:w="1417"/>
        <w:gridCol w:w="2334"/>
        <w:gridCol w:w="1373"/>
      </w:tblGrid>
      <w:tr w:rsidR="002D6C73">
        <w:trPr>
          <w:tblHeader/>
        </w:trPr>
        <w:tc>
          <w:tcPr>
            <w:tcW w:w="1003"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排名</w:t>
            </w:r>
          </w:p>
        </w:tc>
        <w:tc>
          <w:tcPr>
            <w:tcW w:w="1799" w:type="dxa"/>
            <w:shd w:val="clear" w:color="auto" w:fill="4472C4" w:themeFill="accent5"/>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城市</w:t>
            </w:r>
          </w:p>
        </w:tc>
        <w:tc>
          <w:tcPr>
            <w:tcW w:w="1134"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得分</w:t>
            </w:r>
          </w:p>
        </w:tc>
        <w:tc>
          <w:tcPr>
            <w:tcW w:w="1417"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排名</w:t>
            </w:r>
          </w:p>
        </w:tc>
        <w:tc>
          <w:tcPr>
            <w:tcW w:w="2334" w:type="dxa"/>
            <w:shd w:val="clear" w:color="auto" w:fill="4472C4" w:themeFill="accent5"/>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城市</w:t>
            </w:r>
          </w:p>
        </w:tc>
        <w:tc>
          <w:tcPr>
            <w:tcW w:w="1373" w:type="dxa"/>
            <w:shd w:val="clear" w:color="auto" w:fill="4472C4" w:themeFill="accent5"/>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得分</w:t>
            </w:r>
          </w:p>
        </w:tc>
      </w:tr>
      <w:tr w:rsidR="002D6C73">
        <w:trPr>
          <w:trHeight w:val="397"/>
          <w:tblHeader/>
        </w:trPr>
        <w:tc>
          <w:tcPr>
            <w:tcW w:w="100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179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吴忠市</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81.38 </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23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石嘴山市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79.31 </w:t>
            </w:r>
          </w:p>
        </w:tc>
      </w:tr>
      <w:tr w:rsidR="002D6C73">
        <w:trPr>
          <w:trHeight w:val="397"/>
          <w:tblHeader/>
        </w:trPr>
        <w:tc>
          <w:tcPr>
            <w:tcW w:w="1003" w:type="dxa"/>
            <w:tcBorders>
              <w:bottom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1799" w:type="dxa"/>
            <w:tcBorders>
              <w:bottom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克拉玛依市</w:t>
            </w:r>
          </w:p>
        </w:tc>
        <w:tc>
          <w:tcPr>
            <w:tcW w:w="1134" w:type="dxa"/>
            <w:tcBorders>
              <w:bottom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80.72 </w:t>
            </w:r>
          </w:p>
        </w:tc>
        <w:tc>
          <w:tcPr>
            <w:tcW w:w="1417" w:type="dxa"/>
            <w:tcBorders>
              <w:bottom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2334" w:type="dxa"/>
            <w:tcBorders>
              <w:bottom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哈密市</w:t>
            </w:r>
          </w:p>
        </w:tc>
        <w:tc>
          <w:tcPr>
            <w:tcW w:w="1373" w:type="dxa"/>
            <w:tcBorders>
              <w:bottom w:val="single" w:sz="4" w:space="0" w:color="auto"/>
            </w:tcBorders>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79.25 </w:t>
            </w:r>
          </w:p>
        </w:tc>
      </w:tr>
      <w:tr w:rsidR="002D6C73">
        <w:trPr>
          <w:trHeight w:val="397"/>
          <w:tblHeader/>
        </w:trPr>
        <w:tc>
          <w:tcPr>
            <w:tcW w:w="100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79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银川市</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80.30 </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23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乌鲁木齐市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78.21 </w:t>
            </w:r>
          </w:p>
        </w:tc>
      </w:tr>
      <w:tr w:rsidR="002D6C73">
        <w:trPr>
          <w:trHeight w:val="397"/>
          <w:tblHeader/>
        </w:trPr>
        <w:tc>
          <w:tcPr>
            <w:tcW w:w="100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179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西宁市</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80.07 </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23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兰州市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78.03 </w:t>
            </w:r>
          </w:p>
        </w:tc>
      </w:tr>
      <w:tr w:rsidR="002D6C73">
        <w:trPr>
          <w:trHeight w:val="397"/>
          <w:tblHeader/>
        </w:trPr>
        <w:tc>
          <w:tcPr>
            <w:tcW w:w="100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79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海西蒙古族藏族自治州</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79.98 </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23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宝鸡市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77.39 </w:t>
            </w:r>
          </w:p>
        </w:tc>
      </w:tr>
      <w:tr w:rsidR="002D6C73">
        <w:trPr>
          <w:trHeight w:val="397"/>
          <w:tblHeader/>
        </w:trPr>
        <w:tc>
          <w:tcPr>
            <w:tcW w:w="100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179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渭南市</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79.91 </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23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西安市</w:t>
            </w:r>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76.73 </w:t>
            </w:r>
          </w:p>
        </w:tc>
      </w:tr>
      <w:tr w:rsidR="002D6C73">
        <w:trPr>
          <w:trHeight w:val="397"/>
          <w:tblHeader/>
        </w:trPr>
        <w:tc>
          <w:tcPr>
            <w:tcW w:w="100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179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天水市</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79.49 </w:t>
            </w:r>
          </w:p>
        </w:tc>
        <w:tc>
          <w:tcPr>
            <w:tcW w:w="141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15</w:t>
            </w:r>
          </w:p>
        </w:tc>
        <w:tc>
          <w:tcPr>
            <w:tcW w:w="2334" w:type="dxa"/>
            <w:noWrap/>
            <w:vAlign w:val="center"/>
          </w:tcPr>
          <w:p w:rsidR="002D6C73" w:rsidRDefault="00FB6868">
            <w:pPr>
              <w:pStyle w:val="10"/>
              <w:spacing w:line="400" w:lineRule="exact"/>
              <w:rPr>
                <w:rFonts w:ascii="仿宋" w:eastAsia="仿宋" w:hAnsi="仿宋" w:cs="仿宋"/>
                <w:color w:val="1C1C1C"/>
                <w:sz w:val="28"/>
                <w:szCs w:val="22"/>
              </w:rPr>
            </w:pPr>
            <w:proofErr w:type="gramStart"/>
            <w:r>
              <w:rPr>
                <w:rFonts w:ascii="仿宋" w:eastAsia="仿宋" w:hAnsi="仿宋" w:cs="仿宋" w:hint="eastAsia"/>
                <w:color w:val="1C1C1C"/>
                <w:sz w:val="28"/>
                <w:szCs w:val="22"/>
              </w:rPr>
              <w:t>庆阳市</w:t>
            </w:r>
            <w:proofErr w:type="gramEnd"/>
          </w:p>
        </w:tc>
        <w:tc>
          <w:tcPr>
            <w:tcW w:w="13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76.65 </w:t>
            </w:r>
          </w:p>
        </w:tc>
      </w:tr>
      <w:tr w:rsidR="002D6C73">
        <w:trPr>
          <w:trHeight w:val="397"/>
          <w:tblHeader/>
        </w:trPr>
        <w:tc>
          <w:tcPr>
            <w:tcW w:w="100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179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海东市</w:t>
            </w:r>
          </w:p>
        </w:tc>
        <w:tc>
          <w:tcPr>
            <w:tcW w:w="1134"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79.33 </w:t>
            </w:r>
          </w:p>
        </w:tc>
        <w:tc>
          <w:tcPr>
            <w:tcW w:w="1417" w:type="dxa"/>
            <w:noWrap/>
            <w:vAlign w:val="center"/>
          </w:tcPr>
          <w:p w:rsidR="002D6C73" w:rsidRDefault="002D6C73">
            <w:pPr>
              <w:pStyle w:val="10"/>
              <w:spacing w:line="400" w:lineRule="exact"/>
              <w:rPr>
                <w:rFonts w:ascii="仿宋" w:eastAsia="仿宋" w:hAnsi="仿宋" w:cs="仿宋"/>
                <w:color w:val="1C1C1C"/>
                <w:sz w:val="28"/>
                <w:szCs w:val="22"/>
              </w:rPr>
            </w:pPr>
          </w:p>
        </w:tc>
        <w:tc>
          <w:tcPr>
            <w:tcW w:w="2334" w:type="dxa"/>
            <w:noWrap/>
            <w:vAlign w:val="center"/>
          </w:tcPr>
          <w:p w:rsidR="002D6C73" w:rsidRDefault="002D6C73">
            <w:pPr>
              <w:pStyle w:val="10"/>
              <w:spacing w:line="400" w:lineRule="exact"/>
              <w:rPr>
                <w:rFonts w:ascii="仿宋" w:eastAsia="仿宋" w:hAnsi="仿宋" w:cs="仿宋"/>
                <w:color w:val="1C1C1C"/>
                <w:sz w:val="28"/>
                <w:szCs w:val="18"/>
              </w:rPr>
            </w:pPr>
          </w:p>
        </w:tc>
        <w:tc>
          <w:tcPr>
            <w:tcW w:w="1373" w:type="dxa"/>
            <w:noWrap/>
            <w:vAlign w:val="center"/>
          </w:tcPr>
          <w:p w:rsidR="002D6C73" w:rsidRDefault="002D6C73">
            <w:pPr>
              <w:pStyle w:val="10"/>
              <w:spacing w:line="400" w:lineRule="exact"/>
              <w:rPr>
                <w:rFonts w:ascii="仿宋" w:eastAsia="仿宋" w:hAnsi="仿宋" w:cs="仿宋"/>
                <w:color w:val="1C1C1C"/>
                <w:sz w:val="28"/>
                <w:szCs w:val="18"/>
              </w:rPr>
            </w:pPr>
          </w:p>
        </w:tc>
      </w:tr>
    </w:tbl>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13个西南区域城市中，</w:t>
      </w:r>
      <w:r>
        <w:rPr>
          <w:rFonts w:ascii="仿宋" w:eastAsia="仿宋" w:hAnsi="仿宋" w:cs="仿宋" w:hint="eastAsia"/>
          <w:color w:val="1C1C1C"/>
          <w:spacing w:val="8"/>
          <w:sz w:val="32"/>
          <w:szCs w:val="32"/>
        </w:rPr>
        <w:t>成都、日喀则、山南、拉萨4个城市排在前4名，满意度得分均超过80分；</w:t>
      </w:r>
      <w:r>
        <w:rPr>
          <w:rFonts w:ascii="仿宋" w:eastAsia="仿宋" w:hAnsi="仿宋" w:cs="仿宋" w:hint="eastAsia"/>
          <w:color w:val="1C1C1C"/>
          <w:sz w:val="32"/>
          <w:szCs w:val="32"/>
        </w:rPr>
        <w:t>排名靠后的3个城市依次为：重庆市、绵阳市、玉溪市。</w:t>
      </w:r>
    </w:p>
    <w:p w:rsidR="002D6C73" w:rsidRDefault="00FB6868">
      <w:pPr>
        <w:jc w:val="center"/>
        <w:rPr>
          <w:rFonts w:ascii="黑体" w:eastAsia="黑体" w:hAnsi="黑体"/>
          <w:color w:val="1C1C1C"/>
          <w:sz w:val="28"/>
          <w:szCs w:val="32"/>
        </w:rPr>
      </w:pPr>
      <w:r>
        <w:rPr>
          <w:rFonts w:ascii="黑体" w:eastAsia="黑体" w:hAnsi="黑体" w:hint="eastAsia"/>
          <w:color w:val="1C1C1C"/>
          <w:sz w:val="28"/>
          <w:szCs w:val="32"/>
        </w:rPr>
        <w:t>表28 西南城市消费者满意度得分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651"/>
        <w:gridCol w:w="1439"/>
        <w:gridCol w:w="1230"/>
        <w:gridCol w:w="2073"/>
        <w:gridCol w:w="1437"/>
      </w:tblGrid>
      <w:tr w:rsidR="002D6C73">
        <w:trPr>
          <w:trHeight w:hRule="exact" w:val="592"/>
          <w:tblHeader/>
        </w:trPr>
        <w:tc>
          <w:tcPr>
            <w:tcW w:w="1230" w:type="dxa"/>
            <w:shd w:val="clear" w:color="auto" w:fill="4472C4" w:themeFill="accent5"/>
            <w:vAlign w:val="center"/>
          </w:tcPr>
          <w:p w:rsidR="002D6C73" w:rsidRDefault="00FB6868">
            <w:pPr>
              <w:pStyle w:val="10"/>
              <w:rPr>
                <w:rFonts w:ascii="仿宋" w:hAnsi="仿宋"/>
                <w:b/>
                <w:color w:val="1C1C1C"/>
                <w:sz w:val="28"/>
              </w:rPr>
            </w:pPr>
            <w:r>
              <w:rPr>
                <w:rFonts w:ascii="黑体" w:eastAsia="黑体" w:hAnsi="黑体" w:cs="黑体" w:hint="eastAsia"/>
                <w:bCs w:val="0"/>
                <w:color w:val="1C1C1C"/>
                <w:sz w:val="28"/>
                <w:szCs w:val="28"/>
              </w:rPr>
              <w:t>排名</w:t>
            </w:r>
          </w:p>
        </w:tc>
        <w:tc>
          <w:tcPr>
            <w:tcW w:w="1651" w:type="dxa"/>
            <w:shd w:val="clear" w:color="auto" w:fill="4472C4" w:themeFill="accent5"/>
            <w:noWrap/>
            <w:vAlign w:val="center"/>
          </w:tcPr>
          <w:p w:rsidR="002D6C73" w:rsidRDefault="00FB6868">
            <w:pPr>
              <w:pStyle w:val="10"/>
              <w:rPr>
                <w:rFonts w:ascii="仿宋" w:hAnsi="仿宋"/>
                <w:b/>
                <w:color w:val="1C1C1C"/>
                <w:sz w:val="28"/>
              </w:rPr>
            </w:pPr>
            <w:r>
              <w:rPr>
                <w:rFonts w:ascii="黑体" w:eastAsia="黑体" w:hAnsi="黑体" w:cs="黑体" w:hint="eastAsia"/>
                <w:bCs w:val="0"/>
                <w:color w:val="1C1C1C"/>
                <w:sz w:val="28"/>
                <w:szCs w:val="28"/>
              </w:rPr>
              <w:t>城市</w:t>
            </w:r>
          </w:p>
        </w:tc>
        <w:tc>
          <w:tcPr>
            <w:tcW w:w="1439" w:type="dxa"/>
            <w:shd w:val="clear" w:color="auto" w:fill="4472C4" w:themeFill="accent5"/>
            <w:vAlign w:val="center"/>
          </w:tcPr>
          <w:p w:rsidR="002D6C73" w:rsidRDefault="00FB6868">
            <w:pPr>
              <w:pStyle w:val="10"/>
              <w:rPr>
                <w:rFonts w:ascii="仿宋" w:hAnsi="仿宋"/>
                <w:b/>
                <w:color w:val="1C1C1C"/>
                <w:sz w:val="28"/>
              </w:rPr>
            </w:pPr>
            <w:r>
              <w:rPr>
                <w:rFonts w:ascii="黑体" w:eastAsia="黑体" w:hAnsi="黑体" w:cs="黑体" w:hint="eastAsia"/>
                <w:bCs w:val="0"/>
                <w:color w:val="1C1C1C"/>
                <w:sz w:val="28"/>
                <w:szCs w:val="28"/>
              </w:rPr>
              <w:t>得分</w:t>
            </w:r>
          </w:p>
        </w:tc>
        <w:tc>
          <w:tcPr>
            <w:tcW w:w="1230" w:type="dxa"/>
            <w:shd w:val="clear" w:color="auto" w:fill="4472C4" w:themeFill="accent5"/>
            <w:vAlign w:val="center"/>
          </w:tcPr>
          <w:p w:rsidR="002D6C73" w:rsidRDefault="00FB6868">
            <w:pPr>
              <w:pStyle w:val="10"/>
              <w:rPr>
                <w:rFonts w:ascii="仿宋" w:hAnsi="仿宋"/>
                <w:b/>
                <w:color w:val="1C1C1C"/>
                <w:sz w:val="28"/>
              </w:rPr>
            </w:pPr>
            <w:r>
              <w:rPr>
                <w:rFonts w:ascii="黑体" w:eastAsia="黑体" w:hAnsi="黑体" w:cs="黑体" w:hint="eastAsia"/>
                <w:bCs w:val="0"/>
                <w:color w:val="1C1C1C"/>
                <w:sz w:val="28"/>
                <w:szCs w:val="28"/>
              </w:rPr>
              <w:t>排名</w:t>
            </w:r>
          </w:p>
        </w:tc>
        <w:tc>
          <w:tcPr>
            <w:tcW w:w="2073" w:type="dxa"/>
            <w:shd w:val="clear" w:color="auto" w:fill="4472C4" w:themeFill="accent5"/>
            <w:noWrap/>
            <w:vAlign w:val="center"/>
          </w:tcPr>
          <w:p w:rsidR="002D6C73" w:rsidRDefault="00FB6868">
            <w:pPr>
              <w:pStyle w:val="10"/>
              <w:rPr>
                <w:rFonts w:ascii="仿宋" w:hAnsi="仿宋"/>
                <w:b/>
                <w:color w:val="1C1C1C"/>
                <w:sz w:val="28"/>
              </w:rPr>
            </w:pPr>
            <w:r>
              <w:rPr>
                <w:rFonts w:ascii="黑体" w:eastAsia="黑体" w:hAnsi="黑体" w:cs="黑体" w:hint="eastAsia"/>
                <w:bCs w:val="0"/>
                <w:color w:val="1C1C1C"/>
                <w:sz w:val="28"/>
                <w:szCs w:val="28"/>
              </w:rPr>
              <w:t>城市</w:t>
            </w:r>
          </w:p>
        </w:tc>
        <w:tc>
          <w:tcPr>
            <w:tcW w:w="1437" w:type="dxa"/>
            <w:shd w:val="clear" w:color="auto" w:fill="4472C4" w:themeFill="accent5"/>
            <w:vAlign w:val="center"/>
          </w:tcPr>
          <w:p w:rsidR="002D6C73" w:rsidRDefault="00FB6868">
            <w:pPr>
              <w:pStyle w:val="10"/>
              <w:rPr>
                <w:rFonts w:ascii="仿宋" w:hAnsi="仿宋"/>
                <w:b/>
                <w:color w:val="1C1C1C"/>
                <w:sz w:val="28"/>
              </w:rPr>
            </w:pPr>
            <w:r>
              <w:rPr>
                <w:rFonts w:ascii="黑体" w:eastAsia="黑体" w:hAnsi="黑体" w:cs="黑体" w:hint="eastAsia"/>
                <w:bCs w:val="0"/>
                <w:color w:val="1C1C1C"/>
                <w:sz w:val="28"/>
                <w:szCs w:val="28"/>
              </w:rPr>
              <w:t>得分</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165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成都市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81.85 </w:t>
            </w:r>
          </w:p>
        </w:tc>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20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曲靖市</w:t>
            </w:r>
          </w:p>
        </w:tc>
        <w:tc>
          <w:tcPr>
            <w:tcW w:w="143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79.10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lastRenderedPageBreak/>
              <w:t>2</w:t>
            </w:r>
          </w:p>
        </w:tc>
        <w:tc>
          <w:tcPr>
            <w:tcW w:w="165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日喀则市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80.70 </w:t>
            </w:r>
          </w:p>
        </w:tc>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20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贵阳市</w:t>
            </w:r>
          </w:p>
        </w:tc>
        <w:tc>
          <w:tcPr>
            <w:tcW w:w="143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78.95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165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山南市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80.64 </w:t>
            </w:r>
          </w:p>
        </w:tc>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20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遵义市</w:t>
            </w:r>
          </w:p>
        </w:tc>
        <w:tc>
          <w:tcPr>
            <w:tcW w:w="143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78.88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165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拉萨市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80.18 </w:t>
            </w:r>
          </w:p>
        </w:tc>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20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重庆市</w:t>
            </w:r>
          </w:p>
        </w:tc>
        <w:tc>
          <w:tcPr>
            <w:tcW w:w="143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78.79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165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毕节市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79.44 </w:t>
            </w:r>
          </w:p>
        </w:tc>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20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绵阳市</w:t>
            </w:r>
          </w:p>
        </w:tc>
        <w:tc>
          <w:tcPr>
            <w:tcW w:w="143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78.78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165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南充市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79.29 </w:t>
            </w:r>
          </w:p>
        </w:tc>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2073"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玉溪市</w:t>
            </w:r>
          </w:p>
        </w:tc>
        <w:tc>
          <w:tcPr>
            <w:tcW w:w="1437"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78.30 </w:t>
            </w:r>
          </w:p>
        </w:tc>
      </w:tr>
      <w:tr w:rsidR="002D6C73">
        <w:tc>
          <w:tcPr>
            <w:tcW w:w="1230"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1651"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昆明市</w:t>
            </w:r>
          </w:p>
        </w:tc>
        <w:tc>
          <w:tcPr>
            <w:tcW w:w="1439" w:type="dxa"/>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79.15 </w:t>
            </w:r>
          </w:p>
        </w:tc>
        <w:tc>
          <w:tcPr>
            <w:tcW w:w="1230" w:type="dxa"/>
            <w:noWrap/>
            <w:vAlign w:val="center"/>
          </w:tcPr>
          <w:p w:rsidR="002D6C73" w:rsidRDefault="002D6C73">
            <w:pPr>
              <w:pStyle w:val="10"/>
              <w:spacing w:line="400" w:lineRule="exact"/>
              <w:rPr>
                <w:rFonts w:ascii="仿宋" w:eastAsia="仿宋" w:hAnsi="仿宋" w:cs="仿宋"/>
                <w:color w:val="1C1C1C"/>
                <w:sz w:val="28"/>
                <w:szCs w:val="22"/>
              </w:rPr>
            </w:pPr>
          </w:p>
        </w:tc>
        <w:tc>
          <w:tcPr>
            <w:tcW w:w="2073" w:type="dxa"/>
            <w:noWrap/>
            <w:vAlign w:val="center"/>
          </w:tcPr>
          <w:p w:rsidR="002D6C73" w:rsidRDefault="002D6C73">
            <w:pPr>
              <w:pStyle w:val="10"/>
              <w:spacing w:line="400" w:lineRule="exact"/>
              <w:rPr>
                <w:rFonts w:ascii="仿宋" w:eastAsia="仿宋" w:hAnsi="仿宋" w:cs="仿宋"/>
                <w:color w:val="1C1C1C"/>
                <w:sz w:val="28"/>
                <w:szCs w:val="22"/>
              </w:rPr>
            </w:pPr>
          </w:p>
        </w:tc>
        <w:tc>
          <w:tcPr>
            <w:tcW w:w="1437" w:type="dxa"/>
            <w:noWrap/>
            <w:vAlign w:val="center"/>
          </w:tcPr>
          <w:p w:rsidR="002D6C73" w:rsidRDefault="002D6C73">
            <w:pPr>
              <w:pStyle w:val="10"/>
              <w:spacing w:line="400" w:lineRule="exact"/>
              <w:rPr>
                <w:rFonts w:ascii="仿宋" w:eastAsia="仿宋" w:hAnsi="仿宋" w:cs="仿宋"/>
                <w:color w:val="1C1C1C"/>
                <w:sz w:val="28"/>
                <w:szCs w:val="22"/>
              </w:rPr>
            </w:pPr>
          </w:p>
        </w:tc>
      </w:tr>
    </w:tbl>
    <w:p w:rsidR="002D6C73" w:rsidRDefault="00FB6868">
      <w:pPr>
        <w:rPr>
          <w:rFonts w:ascii="黑体" w:eastAsia="黑体" w:hAnsi="黑体" w:cs="黑体"/>
          <w:bCs/>
          <w:iCs/>
          <w:sz w:val="32"/>
          <w:szCs w:val="32"/>
        </w:rPr>
      </w:pPr>
      <w:bookmarkStart w:id="55" w:name="_Toc33719408"/>
      <w:bookmarkStart w:id="56" w:name="_Toc62721769"/>
      <w:r>
        <w:rPr>
          <w:rFonts w:ascii="黑体" w:eastAsia="黑体" w:hAnsi="黑体" w:cs="黑体" w:hint="eastAsia"/>
          <w:bCs/>
          <w:iCs/>
          <w:sz w:val="32"/>
          <w:szCs w:val="32"/>
        </w:rPr>
        <w:br w:type="page"/>
      </w:r>
    </w:p>
    <w:p w:rsidR="002D6C73" w:rsidRDefault="00FB6868">
      <w:pPr>
        <w:pStyle w:val="2"/>
        <w:rPr>
          <w:rFonts w:ascii="黑体" w:eastAsia="黑体" w:hAnsi="黑体" w:cs="黑体"/>
          <w:b w:val="0"/>
          <w:bCs/>
          <w:i w:val="0"/>
          <w:iCs/>
          <w:sz w:val="32"/>
          <w:szCs w:val="32"/>
        </w:rPr>
      </w:pPr>
      <w:bookmarkStart w:id="57" w:name="_Toc16777"/>
      <w:r>
        <w:rPr>
          <w:rFonts w:ascii="黑体" w:eastAsia="黑体" w:hAnsi="黑体" w:cs="黑体" w:hint="eastAsia"/>
          <w:b w:val="0"/>
          <w:bCs/>
          <w:i w:val="0"/>
          <w:iCs/>
          <w:sz w:val="32"/>
          <w:szCs w:val="32"/>
        </w:rPr>
        <w:lastRenderedPageBreak/>
        <w:t>二、100个城市一级指标得分情况</w:t>
      </w:r>
      <w:bookmarkEnd w:id="55"/>
      <w:bookmarkEnd w:id="56"/>
      <w:bookmarkEnd w:id="57"/>
    </w:p>
    <w:p w:rsidR="002D6C73" w:rsidRDefault="00FB6868">
      <w:pPr>
        <w:ind w:firstLineChars="200"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1.在“消费供给”方面。</w:t>
      </w:r>
      <w:r>
        <w:rPr>
          <w:rFonts w:ascii="仿宋" w:eastAsia="仿宋" w:hAnsi="仿宋" w:cs="仿宋" w:hint="eastAsia"/>
          <w:color w:val="1C1C1C"/>
          <w:sz w:val="32"/>
          <w:szCs w:val="32"/>
        </w:rPr>
        <w:t>全国综合得分为81</w:t>
      </w:r>
      <w:r>
        <w:rPr>
          <w:rFonts w:ascii="仿宋" w:eastAsia="仿宋" w:hAnsi="仿宋" w:cs="仿宋"/>
          <w:color w:val="1C1C1C"/>
          <w:sz w:val="32"/>
          <w:szCs w:val="32"/>
        </w:rPr>
        <w:t>.</w:t>
      </w:r>
      <w:r>
        <w:rPr>
          <w:rFonts w:ascii="仿宋" w:eastAsia="仿宋" w:hAnsi="仿宋" w:cs="仿宋" w:hint="eastAsia"/>
          <w:color w:val="1C1C1C"/>
          <w:sz w:val="32"/>
          <w:szCs w:val="32"/>
        </w:rPr>
        <w:t>93分，总体来看，有40个城市的“消费供给”得分高于全国综合水平，5个城市的得分高于85分。杭州市得分最高，为88.78分，</w:t>
      </w:r>
      <w:proofErr w:type="gramStart"/>
      <w:r>
        <w:rPr>
          <w:rFonts w:ascii="仿宋" w:eastAsia="仿宋" w:hAnsi="仿宋" w:cs="仿宋" w:hint="eastAsia"/>
          <w:color w:val="1C1C1C"/>
          <w:sz w:val="32"/>
          <w:szCs w:val="32"/>
        </w:rPr>
        <w:t>庆阳市</w:t>
      </w:r>
      <w:proofErr w:type="gramEnd"/>
      <w:r>
        <w:rPr>
          <w:rFonts w:ascii="仿宋" w:eastAsia="仿宋" w:hAnsi="仿宋" w:cs="仿宋" w:hint="eastAsia"/>
          <w:color w:val="1C1C1C"/>
          <w:sz w:val="32"/>
          <w:szCs w:val="32"/>
        </w:rPr>
        <w:t>得分最低，为76.16分，最高分与最低分相差12.62分。消费供给TOP20城市名单如下：</w:t>
      </w:r>
    </w:p>
    <w:p w:rsidR="002D6C73" w:rsidRDefault="00FB6868">
      <w:pPr>
        <w:jc w:val="center"/>
        <w:rPr>
          <w:rFonts w:ascii="仿宋" w:eastAsia="黑体" w:hAnsi="仿宋" w:cs="仿宋"/>
          <w:color w:val="1C1C1C"/>
          <w:sz w:val="32"/>
          <w:szCs w:val="32"/>
        </w:rPr>
      </w:pPr>
      <w:r>
        <w:rPr>
          <w:rFonts w:ascii="黑体" w:eastAsia="黑体" w:hAnsi="黑体" w:hint="eastAsia"/>
          <w:color w:val="1C1C1C"/>
          <w:sz w:val="28"/>
          <w:szCs w:val="32"/>
        </w:rPr>
        <w:t>表29 消费供给TOP20城市名单</w:t>
      </w:r>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641"/>
        <w:gridCol w:w="2351"/>
      </w:tblGrid>
      <w:tr w:rsidR="002D6C73">
        <w:trPr>
          <w:trHeight w:val="285"/>
          <w:jc w:val="center"/>
        </w:trPr>
        <w:tc>
          <w:tcPr>
            <w:tcW w:w="1805" w:type="dxa"/>
            <w:shd w:val="clear" w:color="auto" w:fill="ED7D31" w:themeFill="accent2"/>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排名</w:t>
            </w:r>
          </w:p>
        </w:tc>
        <w:tc>
          <w:tcPr>
            <w:tcW w:w="2641" w:type="dxa"/>
            <w:shd w:val="clear" w:color="auto" w:fill="ED7D31" w:themeFill="accent2"/>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城市</w:t>
            </w:r>
          </w:p>
        </w:tc>
        <w:tc>
          <w:tcPr>
            <w:tcW w:w="2351" w:type="dxa"/>
            <w:shd w:val="clear" w:color="auto" w:fill="ED7D31" w:themeFill="accent2"/>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消费供给得分</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杭州市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88.78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无锡市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88.15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苏州市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87.13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青岛市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86.39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常州市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86.39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广州市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84.86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烟台市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84.84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上海市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84.29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厦门市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84.16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克拉玛依市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84.15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沈阳市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84.10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襄阳市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84.06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济宁市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84.03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南通市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84.00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15</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佛山市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83.82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16</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潍坊市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83.77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17</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宜昌市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83.76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18</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北京市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83.73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19</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南宁市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83.69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20</w:t>
            </w:r>
          </w:p>
        </w:tc>
        <w:tc>
          <w:tcPr>
            <w:tcW w:w="264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济南市</w:t>
            </w:r>
          </w:p>
        </w:tc>
        <w:tc>
          <w:tcPr>
            <w:tcW w:w="2351"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 xml:space="preserve">83.66 </w:t>
            </w:r>
          </w:p>
        </w:tc>
      </w:tr>
    </w:tbl>
    <w:p w:rsidR="002D6C73" w:rsidRDefault="00FB6868">
      <w:pPr>
        <w:ind w:firstLineChars="200"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lastRenderedPageBreak/>
        <w:t>2.在“消费环境”方面。</w:t>
      </w:r>
      <w:r>
        <w:rPr>
          <w:rFonts w:ascii="仿宋" w:eastAsia="仿宋" w:hAnsi="仿宋" w:cs="仿宋" w:hint="eastAsia"/>
          <w:color w:val="1C1C1C"/>
          <w:sz w:val="32"/>
          <w:szCs w:val="32"/>
        </w:rPr>
        <w:t>全国综合得分为80.52分，总体来看，有32个城市的“消费环境”得分高于全国综合水平，6个城市的得分高于85分。苏州市得分最高，为89.87分，西安市得分最低，为76.26分，最高分与最低分相差13.61分。消费环境TOP20城市名单如下：</w:t>
      </w:r>
    </w:p>
    <w:p w:rsidR="002D6C73" w:rsidRDefault="00FB6868">
      <w:pPr>
        <w:jc w:val="center"/>
        <w:rPr>
          <w:rFonts w:ascii="仿宋" w:eastAsia="黑体" w:hAnsi="仿宋" w:cs="仿宋"/>
          <w:color w:val="1C1C1C"/>
          <w:sz w:val="32"/>
          <w:szCs w:val="32"/>
        </w:rPr>
      </w:pPr>
      <w:r>
        <w:rPr>
          <w:rFonts w:ascii="黑体" w:eastAsia="黑体" w:hAnsi="黑体" w:hint="eastAsia"/>
          <w:color w:val="1C1C1C"/>
          <w:sz w:val="28"/>
          <w:szCs w:val="32"/>
        </w:rPr>
        <w:t>表30 消费环境TOP20城市名单</w:t>
      </w:r>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641"/>
        <w:gridCol w:w="2351"/>
      </w:tblGrid>
      <w:tr w:rsidR="002D6C73">
        <w:trPr>
          <w:trHeight w:val="285"/>
          <w:jc w:val="center"/>
        </w:trPr>
        <w:tc>
          <w:tcPr>
            <w:tcW w:w="1805" w:type="dxa"/>
            <w:shd w:val="clear" w:color="auto" w:fill="ED7D31" w:themeFill="accent2"/>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排名</w:t>
            </w:r>
          </w:p>
        </w:tc>
        <w:tc>
          <w:tcPr>
            <w:tcW w:w="2641" w:type="dxa"/>
            <w:shd w:val="clear" w:color="auto" w:fill="ED7D31" w:themeFill="accent2"/>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城市</w:t>
            </w:r>
          </w:p>
        </w:tc>
        <w:tc>
          <w:tcPr>
            <w:tcW w:w="2351" w:type="dxa"/>
            <w:shd w:val="clear" w:color="auto" w:fill="ED7D31" w:themeFill="accent2"/>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消费环境得分</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苏州市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89.87</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青岛市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87.50</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杭州市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87.08</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南京市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86.96</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无锡市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86.47</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烟台市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85.70</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常州市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84.87</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上海市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84.43</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9</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宁波市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83.61</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厦门市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83.11</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北京市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82.97</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金华市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82.46</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潍坊市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82.42</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泉州市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82.24</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lastRenderedPageBreak/>
              <w:t>15</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宜昌市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81.96</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16</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成都市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81.86</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17</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深圳市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81.85</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18</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绍兴市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81.80</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19</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天津市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81.58</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20</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佛山市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81.49</w:t>
            </w:r>
          </w:p>
        </w:tc>
      </w:tr>
    </w:tbl>
    <w:p w:rsidR="002D6C73" w:rsidRDefault="00FB6868">
      <w:pPr>
        <w:ind w:firstLineChars="200"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3.在“消费维权”方面。</w:t>
      </w:r>
      <w:r>
        <w:rPr>
          <w:rFonts w:ascii="仿宋" w:eastAsia="仿宋" w:hAnsi="仿宋" w:cs="仿宋" w:hint="eastAsia"/>
          <w:color w:val="1C1C1C"/>
          <w:sz w:val="32"/>
          <w:szCs w:val="32"/>
        </w:rPr>
        <w:t>全国综合得分为80.05分，总体来看，有34个城市的消费维权得分高于全国综合水平，5个城市的得分高于85分。苏州市得分最高，为90.69分，衡阳市得分最低，为74.65分，最高分与最低分相差16.04分。消费维权TOP20城市名单如下：</w:t>
      </w:r>
    </w:p>
    <w:p w:rsidR="002D6C73" w:rsidRDefault="00FB6868">
      <w:pPr>
        <w:jc w:val="center"/>
        <w:rPr>
          <w:rFonts w:ascii="仿宋" w:eastAsia="黑体" w:hAnsi="仿宋" w:cs="仿宋"/>
          <w:color w:val="1C1C1C"/>
          <w:sz w:val="32"/>
          <w:szCs w:val="32"/>
        </w:rPr>
      </w:pPr>
      <w:r>
        <w:rPr>
          <w:rFonts w:ascii="黑体" w:eastAsia="黑体" w:hAnsi="黑体" w:hint="eastAsia"/>
          <w:color w:val="1C1C1C"/>
          <w:sz w:val="28"/>
          <w:szCs w:val="32"/>
        </w:rPr>
        <w:t>表31 消费维权TOP20城市名单</w:t>
      </w:r>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641"/>
        <w:gridCol w:w="2351"/>
      </w:tblGrid>
      <w:tr w:rsidR="002D6C73">
        <w:trPr>
          <w:trHeight w:val="285"/>
          <w:jc w:val="center"/>
        </w:trPr>
        <w:tc>
          <w:tcPr>
            <w:tcW w:w="1805" w:type="dxa"/>
            <w:shd w:val="clear" w:color="auto" w:fill="ED7D31" w:themeFill="accent2"/>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排名</w:t>
            </w:r>
          </w:p>
        </w:tc>
        <w:tc>
          <w:tcPr>
            <w:tcW w:w="2641" w:type="dxa"/>
            <w:shd w:val="clear" w:color="auto" w:fill="ED7D31" w:themeFill="accent2"/>
            <w:noWrap/>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城市</w:t>
            </w:r>
          </w:p>
        </w:tc>
        <w:tc>
          <w:tcPr>
            <w:tcW w:w="2351" w:type="dxa"/>
            <w:shd w:val="clear" w:color="auto" w:fill="ED7D31" w:themeFill="accent2"/>
            <w:vAlign w:val="center"/>
          </w:tcPr>
          <w:p w:rsidR="002D6C73" w:rsidRDefault="00FB6868">
            <w:pPr>
              <w:pStyle w:val="10"/>
              <w:rPr>
                <w:rFonts w:ascii="黑体" w:eastAsia="黑体" w:hAnsi="黑体" w:cs="黑体"/>
                <w:bCs w:val="0"/>
                <w:color w:val="1C1C1C"/>
                <w:sz w:val="28"/>
                <w:szCs w:val="28"/>
              </w:rPr>
            </w:pPr>
            <w:r>
              <w:rPr>
                <w:rFonts w:ascii="黑体" w:eastAsia="黑体" w:hAnsi="黑体" w:cs="黑体" w:hint="eastAsia"/>
                <w:bCs w:val="0"/>
                <w:color w:val="1C1C1C"/>
                <w:sz w:val="28"/>
                <w:szCs w:val="28"/>
              </w:rPr>
              <w:t>消费维权得分</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苏州市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90.69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杭州市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87.23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3</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青岛市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85.98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4</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上海市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85.14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5</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常州市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85.07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6</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南京市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84.97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7</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北京市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84.77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8</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烟台市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84.43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lastRenderedPageBreak/>
              <w:t>9</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吴忠市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84.13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10</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克拉玛依市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83.60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11</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无锡市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83.49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12</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盐城市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82.94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13</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宜昌市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82.82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14</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厦门市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82.74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15</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佛山市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82.06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16</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拉萨市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81.89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17</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泉州市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81.86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18</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南宁市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81.82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19</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银川市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81.64 </w:t>
            </w:r>
          </w:p>
        </w:tc>
      </w:tr>
      <w:tr w:rsidR="002D6C73">
        <w:trPr>
          <w:trHeight w:val="285"/>
          <w:jc w:val="center"/>
        </w:trPr>
        <w:tc>
          <w:tcPr>
            <w:tcW w:w="1805" w:type="dxa"/>
            <w:shd w:val="clear" w:color="auto" w:fill="auto"/>
            <w:noWrap/>
            <w:vAlign w:val="center"/>
          </w:tcPr>
          <w:p w:rsidR="002D6C73" w:rsidRDefault="00FB6868">
            <w:pPr>
              <w:pStyle w:val="10"/>
              <w:spacing w:line="400" w:lineRule="exact"/>
              <w:rPr>
                <w:rFonts w:ascii="仿宋" w:eastAsia="仿宋" w:hAnsi="仿宋" w:cs="仿宋"/>
                <w:color w:val="1C1C1C"/>
                <w:sz w:val="28"/>
                <w:szCs w:val="22"/>
              </w:rPr>
            </w:pPr>
            <w:r>
              <w:rPr>
                <w:rFonts w:ascii="仿宋" w:eastAsia="仿宋" w:hAnsi="仿宋" w:cs="仿宋" w:hint="eastAsia"/>
                <w:color w:val="1C1C1C"/>
                <w:sz w:val="28"/>
                <w:szCs w:val="22"/>
              </w:rPr>
              <w:t>20</w:t>
            </w:r>
          </w:p>
        </w:tc>
        <w:tc>
          <w:tcPr>
            <w:tcW w:w="264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嘉兴市</w:t>
            </w:r>
          </w:p>
        </w:tc>
        <w:tc>
          <w:tcPr>
            <w:tcW w:w="2351" w:type="dxa"/>
            <w:shd w:val="clear" w:color="auto" w:fill="auto"/>
            <w:noWrap/>
            <w:vAlign w:val="center"/>
          </w:tcPr>
          <w:p w:rsidR="002D6C73" w:rsidRDefault="00FB6868">
            <w:pPr>
              <w:jc w:val="center"/>
              <w:textAlignment w:val="center"/>
              <w:rPr>
                <w:rFonts w:ascii="仿宋" w:eastAsia="仿宋" w:hAnsi="仿宋" w:cs="仿宋"/>
                <w:bCs/>
                <w:color w:val="1C1C1C"/>
                <w:kern w:val="2"/>
                <w:sz w:val="28"/>
                <w:szCs w:val="22"/>
              </w:rPr>
            </w:pPr>
            <w:r>
              <w:rPr>
                <w:rFonts w:ascii="仿宋" w:eastAsia="仿宋" w:hAnsi="仿宋" w:cs="仿宋" w:hint="eastAsia"/>
                <w:bCs/>
                <w:color w:val="1C1C1C"/>
                <w:kern w:val="2"/>
                <w:sz w:val="28"/>
                <w:szCs w:val="22"/>
              </w:rPr>
              <w:t xml:space="preserve">81.28 </w:t>
            </w:r>
          </w:p>
        </w:tc>
      </w:tr>
    </w:tbl>
    <w:p w:rsidR="00486C58" w:rsidRDefault="00486C58">
      <w:pPr>
        <w:ind w:firstLineChars="200" w:firstLine="643"/>
        <w:jc w:val="both"/>
        <w:rPr>
          <w:rFonts w:ascii="仿宋" w:eastAsia="仿宋" w:hAnsi="仿宋" w:cs="仿宋"/>
          <w:b/>
          <w:bCs/>
          <w:color w:val="1C1C1C"/>
          <w:sz w:val="32"/>
          <w:szCs w:val="32"/>
        </w:rPr>
      </w:pPr>
    </w:p>
    <w:p w:rsidR="002D6C73" w:rsidRDefault="00FB6868">
      <w:pPr>
        <w:ind w:firstLineChars="200"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4.三个一级指标对比。</w:t>
      </w:r>
      <w:r>
        <w:rPr>
          <w:rFonts w:ascii="仿宋" w:eastAsia="仿宋" w:hAnsi="仿宋" w:cs="仿宋" w:hint="eastAsia"/>
          <w:color w:val="1C1C1C"/>
          <w:sz w:val="32"/>
          <w:szCs w:val="32"/>
        </w:rPr>
        <w:t>“消费供给”总体得分最高、城市得分波动最小，“消费维权”总体得分最低、城市得分波动最大。10</w:t>
      </w:r>
      <w:r>
        <w:rPr>
          <w:rFonts w:ascii="仿宋" w:eastAsia="仿宋" w:hAnsi="仿宋" w:cs="仿宋"/>
          <w:color w:val="1C1C1C"/>
          <w:sz w:val="32"/>
          <w:szCs w:val="32"/>
        </w:rPr>
        <w:t>0</w:t>
      </w:r>
      <w:r>
        <w:rPr>
          <w:rFonts w:ascii="仿宋" w:eastAsia="仿宋" w:hAnsi="仿宋" w:cs="仿宋" w:hint="eastAsia"/>
          <w:color w:val="1C1C1C"/>
          <w:sz w:val="32"/>
          <w:szCs w:val="32"/>
        </w:rPr>
        <w:t>个城市中，58个城市的“消费维权”得分最低，36个城市的“消费环境”得分最低，6个城市的“消费供给”得分最低，同时，排名前列的城市各一级指标得分较为均衡，排名靠后的城市“消费供给”显著高于“消费维权”，因此，“消费维权”是消费者满意度测评结果的相对短板。各城市一级指标得分如下：</w:t>
      </w:r>
    </w:p>
    <w:p w:rsidR="002D6C73" w:rsidRDefault="00FB6868">
      <w:pPr>
        <w:rPr>
          <w:rFonts w:ascii="黑体" w:eastAsia="黑体" w:hAnsi="黑体"/>
          <w:color w:val="1C1C1C"/>
          <w:sz w:val="28"/>
          <w:szCs w:val="32"/>
        </w:rPr>
      </w:pPr>
      <w:r>
        <w:rPr>
          <w:rFonts w:ascii="黑体" w:eastAsia="黑体" w:hAnsi="黑体"/>
          <w:color w:val="1C1C1C"/>
          <w:sz w:val="28"/>
          <w:szCs w:val="32"/>
        </w:rPr>
        <w:br w:type="page"/>
      </w:r>
    </w:p>
    <w:p w:rsidR="002D6C73" w:rsidRDefault="002D6C73">
      <w:pPr>
        <w:rPr>
          <w:rFonts w:ascii="等线" w:eastAsia="等线" w:hAnsi="等线"/>
          <w:color w:val="1C1C1C"/>
          <w:sz w:val="22"/>
        </w:rPr>
        <w:sectPr w:rsidR="002D6C73">
          <w:footerReference w:type="default" r:id="rId29"/>
          <w:pgSz w:w="11906" w:h="16838"/>
          <w:pgMar w:top="1531" w:right="1474" w:bottom="1531" w:left="1588" w:header="851" w:footer="992" w:gutter="0"/>
          <w:pgNumType w:fmt="numberInDash"/>
          <w:cols w:space="720"/>
          <w:docGrid w:type="lines" w:linePitch="312"/>
        </w:sectPr>
      </w:pPr>
    </w:p>
    <w:p w:rsidR="002D6C73" w:rsidRDefault="002D6C73">
      <w:pPr>
        <w:rPr>
          <w:rFonts w:ascii="黑体" w:eastAsia="黑体" w:hAnsi="黑体"/>
          <w:color w:val="1C1C1C"/>
          <w:sz w:val="28"/>
          <w:szCs w:val="28"/>
        </w:rPr>
      </w:pPr>
    </w:p>
    <w:p w:rsidR="002D6C73" w:rsidRDefault="00FB6868">
      <w:pPr>
        <w:jc w:val="center"/>
      </w:pPr>
      <w:r>
        <w:rPr>
          <w:rFonts w:hint="eastAsia"/>
          <w:noProof/>
        </w:rPr>
        <w:drawing>
          <wp:inline distT="0" distB="0" distL="114300" distR="114300">
            <wp:extent cx="9644380" cy="5386070"/>
            <wp:effectExtent l="4445" t="4445" r="9525" b="19685"/>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6C73" w:rsidRDefault="00FB6868">
      <w:pPr>
        <w:jc w:val="center"/>
        <w:rPr>
          <w:rFonts w:ascii="等线" w:eastAsia="等线" w:hAnsi="等线"/>
          <w:color w:val="1C1C1C"/>
          <w:sz w:val="28"/>
          <w:szCs w:val="28"/>
        </w:rPr>
        <w:sectPr w:rsidR="002D6C73">
          <w:pgSz w:w="16838" w:h="11906" w:orient="landscape"/>
          <w:pgMar w:top="720" w:right="720" w:bottom="720" w:left="720" w:header="851" w:footer="992" w:gutter="0"/>
          <w:pgNumType w:fmt="numberInDash"/>
          <w:cols w:space="720"/>
          <w:docGrid w:type="lines" w:linePitch="435"/>
        </w:sectPr>
      </w:pPr>
      <w:r>
        <w:rPr>
          <w:rFonts w:ascii="黑体" w:eastAsia="黑体" w:hAnsi="黑体" w:hint="eastAsia"/>
          <w:color w:val="1C1C1C"/>
          <w:sz w:val="28"/>
          <w:szCs w:val="28"/>
        </w:rPr>
        <w:t>图13  100个城市消费者满意度一级指标满意度得分示意图</w:t>
      </w:r>
    </w:p>
    <w:p w:rsidR="002D6C73" w:rsidRDefault="002D6C73">
      <w:bookmarkStart w:id="58" w:name="_Toc33719409"/>
      <w:bookmarkStart w:id="59" w:name="_Toc62721770"/>
    </w:p>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表3</w:t>
      </w:r>
      <w:r>
        <w:rPr>
          <w:rFonts w:ascii="黑体" w:eastAsia="黑体" w:hAnsi="黑体" w:cs="黑体"/>
          <w:color w:val="1C1C1C"/>
          <w:sz w:val="28"/>
          <w:szCs w:val="28"/>
        </w:rPr>
        <w:t xml:space="preserve">2 </w:t>
      </w:r>
      <w:r>
        <w:rPr>
          <w:rFonts w:ascii="黑体" w:eastAsia="黑体" w:hAnsi="黑体" w:cs="黑体" w:hint="eastAsia"/>
          <w:color w:val="1C1C1C"/>
          <w:sz w:val="28"/>
          <w:szCs w:val="28"/>
        </w:rPr>
        <w:t>100个城市消费者满意度一级指标得分表</w:t>
      </w:r>
    </w:p>
    <w:tbl>
      <w:tblPr>
        <w:tblW w:w="5000" w:type="pct"/>
        <w:tblLayout w:type="fixed"/>
        <w:tblLook w:val="04A0" w:firstRow="1" w:lastRow="0" w:firstColumn="1" w:lastColumn="0" w:noHBand="0" w:noVBand="1"/>
      </w:tblPr>
      <w:tblGrid>
        <w:gridCol w:w="1029"/>
        <w:gridCol w:w="3155"/>
        <w:gridCol w:w="1546"/>
        <w:gridCol w:w="1546"/>
        <w:gridCol w:w="1548"/>
      </w:tblGrid>
      <w:tr w:rsidR="002D6C73">
        <w:trPr>
          <w:trHeight w:val="503"/>
          <w:tblHeader/>
        </w:trPr>
        <w:tc>
          <w:tcPr>
            <w:tcW w:w="583" w:type="pct"/>
            <w:tcBorders>
              <w:top w:val="single" w:sz="8" w:space="0" w:color="auto"/>
              <w:left w:val="single" w:sz="8" w:space="0" w:color="auto"/>
              <w:bottom w:val="single" w:sz="8" w:space="0" w:color="auto"/>
              <w:right w:val="single" w:sz="8" w:space="0" w:color="auto"/>
            </w:tcBorders>
            <w:shd w:val="clear" w:color="auto" w:fill="4472C4" w:themeFill="accent5"/>
            <w:noWrap/>
            <w:vAlign w:val="center"/>
          </w:tcPr>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序号</w:t>
            </w:r>
          </w:p>
        </w:tc>
        <w:tc>
          <w:tcPr>
            <w:tcW w:w="1787" w:type="pct"/>
            <w:tcBorders>
              <w:top w:val="single" w:sz="8" w:space="0" w:color="auto"/>
              <w:left w:val="nil"/>
              <w:bottom w:val="single" w:sz="8" w:space="0" w:color="auto"/>
              <w:right w:val="single" w:sz="8" w:space="0" w:color="auto"/>
            </w:tcBorders>
            <w:shd w:val="clear" w:color="auto" w:fill="4472C4" w:themeFill="accent5"/>
            <w:noWrap/>
            <w:vAlign w:val="center"/>
          </w:tcPr>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城市</w:t>
            </w:r>
          </w:p>
        </w:tc>
        <w:tc>
          <w:tcPr>
            <w:tcW w:w="875" w:type="pct"/>
            <w:tcBorders>
              <w:top w:val="single" w:sz="8" w:space="0" w:color="auto"/>
              <w:left w:val="nil"/>
              <w:bottom w:val="single" w:sz="8" w:space="0" w:color="auto"/>
              <w:right w:val="single" w:sz="8" w:space="0" w:color="auto"/>
            </w:tcBorders>
            <w:shd w:val="clear" w:color="auto" w:fill="4472C4" w:themeFill="accent5"/>
            <w:noWrap/>
            <w:vAlign w:val="center"/>
          </w:tcPr>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消费供给</w:t>
            </w:r>
          </w:p>
        </w:tc>
        <w:tc>
          <w:tcPr>
            <w:tcW w:w="875" w:type="pct"/>
            <w:tcBorders>
              <w:top w:val="single" w:sz="8" w:space="0" w:color="auto"/>
              <w:left w:val="nil"/>
              <w:bottom w:val="single" w:sz="8" w:space="0" w:color="auto"/>
              <w:right w:val="single" w:sz="8" w:space="0" w:color="auto"/>
            </w:tcBorders>
            <w:shd w:val="clear" w:color="auto" w:fill="4472C4" w:themeFill="accent5"/>
            <w:noWrap/>
            <w:vAlign w:val="center"/>
          </w:tcPr>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消费环境</w:t>
            </w:r>
          </w:p>
        </w:tc>
        <w:tc>
          <w:tcPr>
            <w:tcW w:w="876" w:type="pct"/>
            <w:tcBorders>
              <w:top w:val="single" w:sz="8" w:space="0" w:color="auto"/>
              <w:left w:val="nil"/>
              <w:bottom w:val="single" w:sz="8" w:space="0" w:color="auto"/>
              <w:right w:val="single" w:sz="8" w:space="0" w:color="auto"/>
            </w:tcBorders>
            <w:shd w:val="clear" w:color="auto" w:fill="4472C4" w:themeFill="accent5"/>
            <w:noWrap/>
            <w:vAlign w:val="center"/>
          </w:tcPr>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消费维权</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苏州市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87.13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89.87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90.69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2</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杭州市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88.78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87.08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87.23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3</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青岛市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86.39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87.50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85.98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4</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南京市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83.46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86.96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84.97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5</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无锡市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88.15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86.47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83.49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6</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烟台市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84.84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85.70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84.43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7</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常州市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86.39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84.87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85.07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8</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上海市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84.29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84.43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85.14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9</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北京市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83.73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82.97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84.77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10</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厦门市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84.16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83.11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82.74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11</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宁波市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82.71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83.61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78.89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12</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宜昌市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83.76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81.96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82.82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13</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泉州市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82.58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82.24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81.86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14</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潍坊市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83.77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82.42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80.17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15</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佛山市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83.82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81.49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82.06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16</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金华市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81.91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82.46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80.36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17</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成都市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83.64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81.86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80.78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18</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天津市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82.22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81.58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80.82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19</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济宁市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84.03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81.02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81.21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20</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嘉兴市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82.62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81.17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81.28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21</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吴忠市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78.26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81.03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84.13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22</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南通市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84.00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80.75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81.27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23</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洛阳市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82.87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80.92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81.21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24</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南宁市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83.69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80.39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81.82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25</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绍兴市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82.06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81.80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78.67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26</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深圳市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80.18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81.85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79.12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27</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温州市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82.42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80.64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80.97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lastRenderedPageBreak/>
              <w:t>28</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广州市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84.86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80.78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78.95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29</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沈阳市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84.10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80.41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79.91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30</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济南市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83.66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80.72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79.30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31</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盐城市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80.03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80.15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82.94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32</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襄阳市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84.06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80.41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79.91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33</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岳阳市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81.65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81.07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79.37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34</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临沂市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81.81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80.39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81.12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35</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克拉玛依市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84.15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78.96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83.60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36</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日喀则市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81.64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80.31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81.24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37</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山南市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82.97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80.32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80.19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38</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大庆市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79.46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81.30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78.73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39</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徐州市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83.07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80.66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78.29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40</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银川市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83.58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79.14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81.64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41</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哈尔滨市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80.46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80.51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79.19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42</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拉萨市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80.70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79.45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81.89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43</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芜湖市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82.23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79.84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79.82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44</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淄博市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80.82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79.90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80.19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45</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武汉市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82.19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79.69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79.98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46</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西宁市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80.68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80.23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79.27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47</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海西蒙古族藏族自治州</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79.96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79.95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80.10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48</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石家庄市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81.88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79.83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79.05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49</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渭南市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81.36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80.18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78.35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50</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包头市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82.19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79.52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79.58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51</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太原市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82.26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79.60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78.97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52</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大同市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81.39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79.96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78.25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53</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上饶市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78.68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80.87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77.14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54</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柳州市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81.74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79.46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79.03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55</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齐齐哈尔市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81.03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79.68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78.33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56</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天水市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81.87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79.13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79.12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lastRenderedPageBreak/>
              <w:t>57</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赣州市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81.01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79.18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79.36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58</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毕节市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80.10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79.37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79.24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59</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台州市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82.57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78.70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79.45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60</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鞍山市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80.73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79.70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77.64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61</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福州市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82.04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79.42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77.63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62</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鄂尔多斯市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80.33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79.23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79.11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63</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海东市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77.67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79.73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79.18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64</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石嘴山市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78.82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80.76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65</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东莞市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81.64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78.81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79.35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66</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南充市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80.35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79.51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78.10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67</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郑州市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81.73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78.76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79.25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68</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哈密市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80.16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79.08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79.19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69</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昆明市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79.37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79.03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79.37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70</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曲靖市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79.22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79.40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78.20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71</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吉林市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80.96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79.87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75.87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72</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南昌市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80.66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79.15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77.97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73</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南阳市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81.04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78.78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78.66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74</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长春市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80.89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78.77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78.59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75</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贵阳市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79.46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79.14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78.11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76</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遵义市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80.15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79.01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77.79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77</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长沙市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81.49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78.57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78.01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78</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重庆市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81.74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76.23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79</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阜阳市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80.45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79.55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75.74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80</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绵阳市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82.79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79.20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75.33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81</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儋州市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79.51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78.69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78.63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82</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合肥市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81.16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78.03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79.38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83</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大连市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81.68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78.57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77.50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84</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桂林市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80.07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78.17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79.50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85</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邯郸市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79.88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78.39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78.57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lastRenderedPageBreak/>
              <w:t>86</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汕头市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81.46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79.07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75.40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87</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运城市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80.22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78.10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78.36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88</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保定市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80.40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77.92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78.30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89</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玉溪市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79.00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78.62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77.01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90</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乌鲁木齐市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82.76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77.12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78.62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91</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唐山市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80.50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78.24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76.45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92</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兰州市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80.46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77.93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76.92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93</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呼和浩特市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79.02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77.21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77.67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94</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宝鸡市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79.86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77.44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75.85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95</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三亚市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76.95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77.57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96</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松原市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78.25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77.51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76.27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97</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衡阳市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78.96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77.52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74.65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98</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海口市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76.76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75.57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99</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西安市</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79.13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76.26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76.66 </w:t>
            </w:r>
          </w:p>
        </w:tc>
      </w:tr>
      <w:tr w:rsidR="002D6C73">
        <w:trPr>
          <w:trHeight w:val="330"/>
        </w:trPr>
        <w:tc>
          <w:tcPr>
            <w:tcW w:w="583" w:type="pct"/>
            <w:tcBorders>
              <w:top w:val="nil"/>
              <w:left w:val="single" w:sz="8" w:space="0" w:color="auto"/>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100</w:t>
            </w:r>
          </w:p>
        </w:tc>
        <w:tc>
          <w:tcPr>
            <w:tcW w:w="1787"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proofErr w:type="gramStart"/>
            <w:r>
              <w:rPr>
                <w:rFonts w:ascii="仿宋" w:eastAsia="仿宋" w:hAnsi="仿宋" w:cs="仿宋" w:hint="eastAsia"/>
                <w:color w:val="1C1C1C"/>
              </w:rPr>
              <w:t>庆阳市</w:t>
            </w:r>
            <w:proofErr w:type="gramEnd"/>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76.16 </w:t>
            </w:r>
          </w:p>
        </w:tc>
        <w:tc>
          <w:tcPr>
            <w:tcW w:w="875"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77.20 </w:t>
            </w:r>
          </w:p>
        </w:tc>
        <w:tc>
          <w:tcPr>
            <w:tcW w:w="876" w:type="pct"/>
            <w:tcBorders>
              <w:top w:val="nil"/>
              <w:left w:val="nil"/>
              <w:bottom w:val="single" w:sz="8" w:space="0" w:color="auto"/>
              <w:right w:val="single" w:sz="8" w:space="0" w:color="auto"/>
            </w:tcBorders>
            <w:noWrap/>
            <w:vAlign w:val="center"/>
          </w:tcPr>
          <w:p w:rsidR="002D6C73" w:rsidRDefault="00FB6868">
            <w:pPr>
              <w:jc w:val="center"/>
              <w:rPr>
                <w:rFonts w:ascii="仿宋" w:eastAsia="仿宋" w:hAnsi="仿宋" w:cs="仿宋"/>
                <w:color w:val="1C1C1C"/>
              </w:rPr>
            </w:pPr>
            <w:r>
              <w:rPr>
                <w:rFonts w:ascii="仿宋" w:eastAsia="仿宋" w:hAnsi="仿宋" w:cs="仿宋" w:hint="eastAsia"/>
                <w:color w:val="1C1C1C"/>
              </w:rPr>
              <w:t xml:space="preserve">75.41 </w:t>
            </w:r>
          </w:p>
        </w:tc>
      </w:tr>
    </w:tbl>
    <w:p w:rsidR="002D6C73" w:rsidRDefault="002D6C73"/>
    <w:p w:rsidR="002D6C73" w:rsidRDefault="00FB6868">
      <w:pPr>
        <w:pStyle w:val="2"/>
        <w:rPr>
          <w:rFonts w:ascii="黑体" w:eastAsia="黑体" w:hAnsi="黑体" w:cs="黑体"/>
          <w:b w:val="0"/>
          <w:bCs/>
          <w:i w:val="0"/>
          <w:iCs/>
          <w:sz w:val="32"/>
          <w:szCs w:val="32"/>
        </w:rPr>
      </w:pPr>
      <w:bookmarkStart w:id="60" w:name="_Toc23780"/>
      <w:r>
        <w:rPr>
          <w:rFonts w:ascii="黑体" w:eastAsia="黑体" w:hAnsi="黑体" w:cs="黑体" w:hint="eastAsia"/>
          <w:b w:val="0"/>
          <w:bCs/>
          <w:i w:val="0"/>
          <w:iCs/>
          <w:sz w:val="32"/>
          <w:szCs w:val="32"/>
        </w:rPr>
        <w:t>三、100个城市二级指标得分情况</w:t>
      </w:r>
      <w:bookmarkEnd w:id="58"/>
      <w:bookmarkEnd w:id="59"/>
      <w:bookmarkEnd w:id="60"/>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1.在“供给丰富性”方面。</w:t>
      </w:r>
      <w:r>
        <w:rPr>
          <w:rFonts w:ascii="仿宋" w:eastAsia="仿宋" w:hAnsi="仿宋" w:cs="仿宋" w:hint="eastAsia"/>
          <w:color w:val="1C1C1C"/>
          <w:sz w:val="32"/>
          <w:szCs w:val="32"/>
        </w:rPr>
        <w:t>全国综合得分为82.90分，总体来看，有44个城市的得分高于全国综合得分，78个城市的得分高于80分，17个城市的得分高于85分。其中，排名靠前的3个城市依次为：杭州市91.30分、苏州市90.09分、无锡市89.89分；排名靠后的3个城市依次为：吴忠市77.30分、衡阳市77.01分、</w:t>
      </w:r>
      <w:proofErr w:type="gramStart"/>
      <w:r>
        <w:rPr>
          <w:rFonts w:ascii="仿宋" w:eastAsia="仿宋" w:hAnsi="仿宋" w:cs="仿宋" w:hint="eastAsia"/>
          <w:color w:val="1C1C1C"/>
          <w:sz w:val="32"/>
          <w:szCs w:val="32"/>
        </w:rPr>
        <w:t>庆阳市</w:t>
      </w:r>
      <w:proofErr w:type="gramEnd"/>
      <w:r>
        <w:rPr>
          <w:rFonts w:ascii="仿宋" w:eastAsia="仿宋" w:hAnsi="仿宋" w:cs="仿宋" w:hint="eastAsia"/>
          <w:color w:val="1C1C1C"/>
          <w:sz w:val="32"/>
          <w:szCs w:val="32"/>
        </w:rPr>
        <w:t>76.56分。最高得分与最低得分之间相差14.74分。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2.在“供给便利性”方面。</w:t>
      </w:r>
      <w:r>
        <w:rPr>
          <w:rFonts w:ascii="仿宋" w:eastAsia="仿宋" w:hAnsi="仿宋" w:cs="仿宋" w:hint="eastAsia"/>
          <w:color w:val="1C1C1C"/>
          <w:sz w:val="32"/>
          <w:szCs w:val="32"/>
        </w:rPr>
        <w:t>全国综合得分为82.45分，总体来看，有42个城市的得分高于全国综合得分，83个城市的得分高于80分，12个城市的得分高于85分。其中排名靠前的3个</w:t>
      </w:r>
      <w:r>
        <w:rPr>
          <w:rFonts w:ascii="仿宋" w:eastAsia="仿宋" w:hAnsi="仿宋" w:cs="仿宋" w:hint="eastAsia"/>
          <w:color w:val="1C1C1C"/>
          <w:sz w:val="32"/>
          <w:szCs w:val="32"/>
        </w:rPr>
        <w:lastRenderedPageBreak/>
        <w:t>城市依次为：杭州市89.07分、无锡市87.76分、青岛市87.25分；排名靠后的3个城市依次为：吴忠市77.59分、</w:t>
      </w:r>
      <w:proofErr w:type="gramStart"/>
      <w:r>
        <w:rPr>
          <w:rFonts w:ascii="仿宋" w:eastAsia="仿宋" w:hAnsi="仿宋" w:cs="仿宋" w:hint="eastAsia"/>
          <w:color w:val="1C1C1C"/>
          <w:sz w:val="32"/>
          <w:szCs w:val="32"/>
        </w:rPr>
        <w:t>庆阳市</w:t>
      </w:r>
      <w:proofErr w:type="gramEnd"/>
      <w:r>
        <w:rPr>
          <w:rFonts w:ascii="仿宋" w:eastAsia="仿宋" w:hAnsi="仿宋" w:cs="仿宋" w:hint="eastAsia"/>
          <w:color w:val="1C1C1C"/>
          <w:sz w:val="32"/>
          <w:szCs w:val="32"/>
        </w:rPr>
        <w:t>75.75分、海东市75.69分。最高得分与最低得分之间相差13.38分。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3.在“供给创新性”方面。</w:t>
      </w:r>
      <w:r>
        <w:rPr>
          <w:rFonts w:ascii="仿宋" w:eastAsia="仿宋" w:hAnsi="仿宋" w:cs="仿宋" w:hint="eastAsia"/>
          <w:color w:val="1C1C1C"/>
          <w:sz w:val="32"/>
          <w:szCs w:val="32"/>
        </w:rPr>
        <w:t>全国综合得分为79.93分，总体来看，有53个城市的得分高于全国综合得分，4个城市的得分高于85分。其中，排名靠前的3个城市依次为：无锡市86.53分、克拉玛依市85.30分、杭州市85.19分；排名靠后的3个城市依次为：绵阳市75.45分、石嘴山市75.40分、成都市75.11分。最高得分与最低得分之间相差11.42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4.在“质量水平”方面。</w:t>
      </w:r>
      <w:r>
        <w:rPr>
          <w:rFonts w:ascii="仿宋" w:eastAsia="仿宋" w:hAnsi="仿宋" w:cs="仿宋" w:hint="eastAsia"/>
          <w:color w:val="1C1C1C"/>
          <w:sz w:val="32"/>
          <w:szCs w:val="32"/>
        </w:rPr>
        <w:t>全国综合得分为81.20分，总体来看，有42个城市的得分高于全国综合得分，61个城市的得分高于80分，8个城市的得分高于85分。其中，排名靠前的3个城市依次为：苏州市88.71分、烟台市87.81分、南京市87.67分；排名靠后的3个城市依次为：乌鲁木齐市75.06分、台州市74.20分、克拉玛依市72.62分。最高得分与最低得分之间相差16.09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5.在“服务水平”方面。</w:t>
      </w:r>
      <w:r>
        <w:rPr>
          <w:rFonts w:ascii="仿宋" w:eastAsia="仿宋" w:hAnsi="仿宋" w:cs="仿宋" w:hint="eastAsia"/>
          <w:color w:val="1C1C1C"/>
          <w:sz w:val="32"/>
          <w:szCs w:val="32"/>
        </w:rPr>
        <w:t>全国综合得分为78.00分，总体来看，有31个城市的得分高于全国综合得分，18个城市的得分高于80分，9个城市的得分高于85分,2个城市的得分低于70分。其中，排名靠前的3个城市依次为：苏州市94.49分、青岛市89.90分、上海市88.62分；排名靠后的3个城市依次为：吴忠市70.61分、海东市68.64分、</w:t>
      </w:r>
      <w:proofErr w:type="gramStart"/>
      <w:r>
        <w:rPr>
          <w:rFonts w:ascii="仿宋" w:eastAsia="仿宋" w:hAnsi="仿宋" w:cs="仿宋" w:hint="eastAsia"/>
          <w:color w:val="1C1C1C"/>
          <w:sz w:val="32"/>
          <w:szCs w:val="32"/>
        </w:rPr>
        <w:t>庆阳市</w:t>
      </w:r>
      <w:proofErr w:type="gramEnd"/>
      <w:r>
        <w:rPr>
          <w:rFonts w:ascii="仿宋" w:eastAsia="仿宋" w:hAnsi="仿宋" w:cs="仿宋" w:hint="eastAsia"/>
          <w:color w:val="1C1C1C"/>
          <w:sz w:val="32"/>
          <w:szCs w:val="32"/>
        </w:rPr>
        <w:t>67.85分。最高得分与最低得分之间相差26.63分。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6.在“消费设施”方面。</w:t>
      </w:r>
      <w:r>
        <w:rPr>
          <w:rFonts w:ascii="仿宋" w:eastAsia="仿宋" w:hAnsi="仿宋" w:cs="仿宋" w:hint="eastAsia"/>
          <w:color w:val="1C1C1C"/>
          <w:sz w:val="32"/>
          <w:szCs w:val="32"/>
        </w:rPr>
        <w:t>全国综合得分为81.44分，总体来</w:t>
      </w:r>
      <w:r>
        <w:rPr>
          <w:rFonts w:ascii="仿宋" w:eastAsia="仿宋" w:hAnsi="仿宋" w:cs="仿宋" w:hint="eastAsia"/>
          <w:color w:val="1C1C1C"/>
          <w:sz w:val="32"/>
          <w:szCs w:val="32"/>
        </w:rPr>
        <w:lastRenderedPageBreak/>
        <w:t>看，有52个城市的得分高于全国综合得分，73个城市的得分高于80分，12个城市的得分高于85分。其中排名靠前的3个城市依次为：宜昌市87.52分、西宁市86.50分、无锡市86.26分；排名靠后的3个城市依次为：成都市76.94分、海口市76.43分、绵阳市75.71分。最高得分与最低得分之间相差11.81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7.在“价格合理”方面。</w:t>
      </w:r>
      <w:r>
        <w:rPr>
          <w:rFonts w:ascii="仿宋" w:eastAsia="仿宋" w:hAnsi="仿宋" w:cs="仿宋" w:hint="eastAsia"/>
          <w:color w:val="1C1C1C"/>
          <w:sz w:val="32"/>
          <w:szCs w:val="32"/>
        </w:rPr>
        <w:t>全国综合得分为82.02分，总体来看，有48个城市的得分高于全国综合得分，81个城市的得分高于80分，11个城市的得分高于85分。其中，排名靠前的3个城市依次为：宜昌市87.92分、西宁市87.30分、无锡市87.13分；排名靠后的3个城市依次为：三亚市78.07分、海口市77.05分、西安市76.32分。最高得分与最低得分之间相差11.60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8.在“信息真实”方面。</w:t>
      </w:r>
      <w:r>
        <w:rPr>
          <w:rFonts w:ascii="仿宋" w:eastAsia="仿宋" w:hAnsi="仿宋" w:cs="仿宋" w:hint="eastAsia"/>
          <w:color w:val="1C1C1C"/>
          <w:sz w:val="32"/>
          <w:szCs w:val="32"/>
        </w:rPr>
        <w:t>全国综合得分为74.93分，总体来看，有43个城市的得分高于全国综合得分，11个城市的得分高于80分，3个城市的得分高于85分,17个城市的得分低于70分。其中，排名靠前的3个城市依次为：苏州市92.42分、青岛市87.19分、无锡市85.83分；排名靠后的3个城市依次为：三亚市66.20分、松原市65.45分、毕节市64.06分。最高得分与最低得分之间相差28.36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9.在“售后保障”方面。</w:t>
      </w:r>
      <w:r>
        <w:rPr>
          <w:rFonts w:ascii="仿宋" w:eastAsia="仿宋" w:hAnsi="仿宋" w:cs="仿宋" w:hint="eastAsia"/>
          <w:color w:val="1C1C1C"/>
          <w:sz w:val="32"/>
          <w:szCs w:val="32"/>
        </w:rPr>
        <w:t>全国综合得分为79.25分，总体来看，有39个城市的得分高于全国综合得分，9个城市的得分高于85分,2个城市的得分低于70分。其中，排名靠前的3个城市依次为：苏州市95.50分、青岛市90.98分、南京市89.81分；排名靠后的3个城市依次为：海东市70.06分、西宁市69.98分、</w:t>
      </w:r>
      <w:proofErr w:type="gramStart"/>
      <w:r>
        <w:rPr>
          <w:rFonts w:ascii="仿宋" w:eastAsia="仿宋" w:hAnsi="仿宋" w:cs="仿宋" w:hint="eastAsia"/>
          <w:color w:val="1C1C1C"/>
          <w:sz w:val="32"/>
          <w:szCs w:val="32"/>
        </w:rPr>
        <w:t>庆阳市</w:t>
      </w:r>
      <w:proofErr w:type="gramEnd"/>
      <w:r>
        <w:rPr>
          <w:rFonts w:ascii="仿宋" w:eastAsia="仿宋" w:hAnsi="仿宋" w:cs="仿宋" w:hint="eastAsia"/>
          <w:color w:val="1C1C1C"/>
          <w:sz w:val="32"/>
          <w:szCs w:val="32"/>
        </w:rPr>
        <w:t>69.04分。最高得分与最低得分之间相差26.46分。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lastRenderedPageBreak/>
        <w:t>10.在“商家信任度”方面。</w:t>
      </w:r>
      <w:r>
        <w:rPr>
          <w:rFonts w:ascii="仿宋" w:eastAsia="仿宋" w:hAnsi="仿宋" w:cs="仿宋" w:hint="eastAsia"/>
          <w:color w:val="1C1C1C"/>
          <w:sz w:val="32"/>
          <w:szCs w:val="32"/>
        </w:rPr>
        <w:t>全国综合得分为80.54分，总体来看，有37个城市的得分高于全国综合得分，11个城市的得分高于85分。其中，排名靠前的3个城市依次为南京市90.23分、杭州市90.09分、苏州市89.48分；排名靠后的3个城市依次为：呼和浩特市73.56分、衡阳市73.32分、西宁市72.72分。最高得分与最低得分之间相差17.50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11.在“交易安全”方面。</w:t>
      </w:r>
      <w:r>
        <w:rPr>
          <w:rFonts w:ascii="仿宋" w:eastAsia="仿宋" w:hAnsi="仿宋" w:cs="仿宋" w:hint="eastAsia"/>
          <w:color w:val="1C1C1C"/>
          <w:sz w:val="32"/>
          <w:szCs w:val="32"/>
        </w:rPr>
        <w:t>全国综合得分为79.08分，总体来看，有52个城市的得分高于全国综合得分，8个城市的得分高于85分。其中，排名靠前的3个城市依次为</w:t>
      </w:r>
      <w:r>
        <w:rPr>
          <w:rFonts w:ascii="仿宋" w:eastAsia="仿宋" w:hAnsi="仿宋" w:cs="仿宋" w:hint="eastAsia"/>
          <w:color w:val="1C1C1C"/>
          <w:spacing w:val="-6"/>
          <w:sz w:val="32"/>
          <w:szCs w:val="32"/>
        </w:rPr>
        <w:t>：苏州市87.35分、西宁市86.70分、无锡市86.64分；排名靠后的3个城市依次为：成都市72.28分、海口市72.02分、绵阳市70.09分。最高得分与最低得分之间相差17.26分。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12.在“消费知情权”方面。</w:t>
      </w:r>
      <w:r>
        <w:rPr>
          <w:rFonts w:ascii="仿宋" w:eastAsia="仿宋" w:hAnsi="仿宋" w:cs="仿宋" w:hint="eastAsia"/>
          <w:color w:val="1C1C1C"/>
          <w:sz w:val="32"/>
          <w:szCs w:val="32"/>
        </w:rPr>
        <w:t>全国综合得分为83.49分，总体来看，有45个城市的得分高于全国综合得分，90个城市的得分高于80分，32个城市的得分高于85分。其中，排名靠前的3个城市依次为：宜昌市90.84分、杭州市90.56分、绵阳市89.74分；排名靠后的3个城市依次为：儋州市77.58分、西安市76.83分、三亚市76.74分。最高得分与最低得分之间相差14.10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13.在“消费自主选择权”方面。</w:t>
      </w:r>
      <w:r>
        <w:rPr>
          <w:rFonts w:ascii="仿宋" w:eastAsia="仿宋" w:hAnsi="仿宋" w:cs="仿宋" w:hint="eastAsia"/>
          <w:color w:val="1C1C1C"/>
          <w:sz w:val="32"/>
          <w:szCs w:val="32"/>
        </w:rPr>
        <w:t>全国综合得分为86.97分，总体来看，有46个城市的得分高于全国综合得分，99个城市的得分高于80分，76个城市的得分高于85分。其中，排名靠前的3个城市依次为：杭州市93.62分、绵阳市93.60分、宜昌市93.13分；排名靠后的3个城市依次为：三亚市81.71分、宝鸡市81.55分、儋州市79.78分。最高得分与最低得分之间相差</w:t>
      </w:r>
      <w:r>
        <w:rPr>
          <w:rFonts w:ascii="仿宋" w:eastAsia="仿宋" w:hAnsi="仿宋" w:cs="仿宋" w:hint="eastAsia"/>
          <w:color w:val="1C1C1C"/>
          <w:sz w:val="32"/>
          <w:szCs w:val="32"/>
        </w:rPr>
        <w:lastRenderedPageBreak/>
        <w:t>13.84分。</w:t>
      </w:r>
    </w:p>
    <w:p w:rsidR="002D6C73" w:rsidRDefault="00FB6868">
      <w:pPr>
        <w:pStyle w:val="af9"/>
        <w:spacing w:line="56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14.在“权益保护”方面。</w:t>
      </w:r>
      <w:r>
        <w:rPr>
          <w:rFonts w:ascii="仿宋" w:eastAsia="仿宋" w:hAnsi="仿宋" w:cs="仿宋" w:hint="eastAsia"/>
          <w:color w:val="1C1C1C"/>
          <w:sz w:val="32"/>
          <w:szCs w:val="32"/>
        </w:rPr>
        <w:t>全国综合得分为82.94分，总体来看，有42个城市的得分高于全国综合得分，81个城市的得分高于80分，23个城市的得分高于85分。其中，排名靠前的3个城市依次为盐城市92.76分、吴忠市91.76分、宜昌市90.87分；排名靠后的3个城市依次为：</w:t>
      </w:r>
      <w:proofErr w:type="gramStart"/>
      <w:r>
        <w:rPr>
          <w:rFonts w:ascii="仿宋" w:eastAsia="仿宋" w:hAnsi="仿宋" w:cs="仿宋" w:hint="eastAsia"/>
          <w:color w:val="1C1C1C"/>
          <w:sz w:val="32"/>
          <w:szCs w:val="32"/>
        </w:rPr>
        <w:t>庆阳市</w:t>
      </w:r>
      <w:proofErr w:type="gramEnd"/>
      <w:r>
        <w:rPr>
          <w:rFonts w:ascii="仿宋" w:eastAsia="仿宋" w:hAnsi="仿宋" w:cs="仿宋" w:hint="eastAsia"/>
          <w:color w:val="1C1C1C"/>
          <w:sz w:val="32"/>
          <w:szCs w:val="32"/>
        </w:rPr>
        <w:t>76.19分、宝鸡市76.13分、玉溪市75.51分。最高得分与最低得分之间相差17.25分。</w:t>
      </w:r>
    </w:p>
    <w:p w:rsidR="002D6C73" w:rsidRDefault="00FB6868">
      <w:pPr>
        <w:pStyle w:val="af9"/>
        <w:spacing w:line="54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15.在“消费宣传”方面。</w:t>
      </w:r>
      <w:r>
        <w:rPr>
          <w:rFonts w:ascii="仿宋" w:eastAsia="仿宋" w:hAnsi="仿宋" w:cs="仿宋" w:hint="eastAsia"/>
          <w:color w:val="1C1C1C"/>
          <w:sz w:val="32"/>
          <w:szCs w:val="32"/>
        </w:rPr>
        <w:t>全国综合得分为79.70分，总体来看，有42个城市的得分高于全国综合得分，7个城市的得分高于85分。其中，排名靠前的3个城市依次为：苏州市89.72分、杭州市87.14分、上海市86.34分；排名靠后的3个城市依次为：阜阳市72.66分、吉林市71.94分、衡阳市70.07分。最高得分与最低得分之间相差19.65分。</w:t>
      </w:r>
    </w:p>
    <w:p w:rsidR="002D6C73" w:rsidRDefault="00FB6868">
      <w:pPr>
        <w:pStyle w:val="af9"/>
        <w:spacing w:line="540" w:lineRule="exact"/>
        <w:ind w:firstLine="643"/>
        <w:jc w:val="both"/>
        <w:rPr>
          <w:rFonts w:ascii="仿宋" w:eastAsia="仿宋" w:hAnsi="仿宋" w:cs="仿宋"/>
          <w:color w:val="1C1C1C"/>
          <w:sz w:val="32"/>
          <w:szCs w:val="32"/>
        </w:rPr>
      </w:pPr>
      <w:r>
        <w:rPr>
          <w:rFonts w:ascii="仿宋" w:eastAsia="仿宋" w:hAnsi="仿宋" w:cs="仿宋" w:hint="eastAsia"/>
          <w:b/>
          <w:bCs/>
          <w:color w:val="1C1C1C"/>
          <w:sz w:val="32"/>
          <w:szCs w:val="32"/>
        </w:rPr>
        <w:t>16.在“消费执法”方面。</w:t>
      </w:r>
      <w:r>
        <w:rPr>
          <w:rFonts w:ascii="仿宋" w:eastAsia="仿宋" w:hAnsi="仿宋" w:cs="仿宋" w:hint="eastAsia"/>
          <w:color w:val="1C1C1C"/>
          <w:sz w:val="32"/>
          <w:szCs w:val="32"/>
        </w:rPr>
        <w:t>全国综合得分为78.03分，总体来看，有31个城市的得分高于全国综合得分，12个城市的得分高于80分，8个城市的得分高于85分,1个城市的得分低于70分。其中，排名靠前的3个城市依次为：苏州市94.99分、杭州市87.81分、青岛市87.39分；排名靠后的3个城市依次为：</w:t>
      </w:r>
      <w:proofErr w:type="gramStart"/>
      <w:r>
        <w:rPr>
          <w:rFonts w:ascii="仿宋" w:eastAsia="仿宋" w:hAnsi="仿宋" w:cs="仿宋" w:hint="eastAsia"/>
          <w:color w:val="1C1C1C"/>
          <w:sz w:val="32"/>
          <w:szCs w:val="32"/>
        </w:rPr>
        <w:t>庆阳市</w:t>
      </w:r>
      <w:proofErr w:type="gramEnd"/>
      <w:r>
        <w:rPr>
          <w:rFonts w:ascii="仿宋" w:eastAsia="仿宋" w:hAnsi="仿宋" w:cs="仿宋" w:hint="eastAsia"/>
          <w:color w:val="1C1C1C"/>
          <w:sz w:val="32"/>
          <w:szCs w:val="32"/>
        </w:rPr>
        <w:t>71.76分、绵阳市71.69分、深圳市69.34分。最高得分与最低得分之间相差25.65分。</w:t>
      </w:r>
    </w:p>
    <w:p w:rsidR="002D6C73" w:rsidRDefault="002D6C73">
      <w:pPr>
        <w:spacing w:line="360" w:lineRule="auto"/>
        <w:jc w:val="both"/>
        <w:rPr>
          <w:color w:val="1C1C1C"/>
        </w:rPr>
        <w:sectPr w:rsidR="002D6C73">
          <w:footerReference w:type="default" r:id="rId31"/>
          <w:pgSz w:w="11906" w:h="16838"/>
          <w:pgMar w:top="1531" w:right="1474" w:bottom="1531" w:left="1588" w:header="851" w:footer="992" w:gutter="0"/>
          <w:pgNumType w:fmt="numberInDash"/>
          <w:cols w:space="720"/>
          <w:docGrid w:type="lines" w:linePitch="435"/>
        </w:sectPr>
      </w:pPr>
    </w:p>
    <w:p w:rsidR="002D6C73" w:rsidRDefault="002D6C73">
      <w:pPr>
        <w:spacing w:line="360" w:lineRule="auto"/>
        <w:jc w:val="both"/>
        <w:rPr>
          <w:color w:val="1C1C1C"/>
        </w:rPr>
      </w:pPr>
    </w:p>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表3</w:t>
      </w:r>
      <w:r>
        <w:rPr>
          <w:rFonts w:ascii="黑体" w:eastAsia="黑体" w:hAnsi="黑体" w:cs="黑体"/>
          <w:color w:val="1C1C1C"/>
          <w:sz w:val="28"/>
          <w:szCs w:val="28"/>
        </w:rPr>
        <w:t xml:space="preserve">3 </w:t>
      </w:r>
      <w:r>
        <w:rPr>
          <w:rFonts w:ascii="黑体" w:eastAsia="黑体" w:hAnsi="黑体" w:cs="黑体" w:hint="eastAsia"/>
          <w:color w:val="1C1C1C"/>
          <w:sz w:val="28"/>
          <w:szCs w:val="28"/>
        </w:rPr>
        <w:t>100个城市消费者满意度二级指标得分表</w:t>
      </w:r>
    </w:p>
    <w:tbl>
      <w:tblPr>
        <w:tblW w:w="15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4A0" w:firstRow="1" w:lastRow="0" w:firstColumn="1" w:lastColumn="0" w:noHBand="0" w:noVBand="1"/>
      </w:tblPr>
      <w:tblGrid>
        <w:gridCol w:w="675"/>
        <w:gridCol w:w="993"/>
        <w:gridCol w:w="992"/>
        <w:gridCol w:w="992"/>
        <w:gridCol w:w="992"/>
        <w:gridCol w:w="851"/>
        <w:gridCol w:w="850"/>
        <w:gridCol w:w="851"/>
        <w:gridCol w:w="850"/>
        <w:gridCol w:w="851"/>
        <w:gridCol w:w="881"/>
        <w:gridCol w:w="820"/>
        <w:gridCol w:w="850"/>
        <w:gridCol w:w="993"/>
        <w:gridCol w:w="965"/>
        <w:gridCol w:w="851"/>
        <w:gridCol w:w="877"/>
        <w:gridCol w:w="824"/>
      </w:tblGrid>
      <w:tr w:rsidR="002D6C73">
        <w:trPr>
          <w:trHeight w:val="300"/>
          <w:tblHeader/>
          <w:jc w:val="center"/>
        </w:trPr>
        <w:tc>
          <w:tcPr>
            <w:tcW w:w="675"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序号</w:t>
            </w:r>
          </w:p>
        </w:tc>
        <w:tc>
          <w:tcPr>
            <w:tcW w:w="993"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城市</w:t>
            </w:r>
          </w:p>
        </w:tc>
        <w:tc>
          <w:tcPr>
            <w:tcW w:w="992"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供给丰富性</w:t>
            </w:r>
          </w:p>
        </w:tc>
        <w:tc>
          <w:tcPr>
            <w:tcW w:w="992"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供给便利性</w:t>
            </w:r>
          </w:p>
        </w:tc>
        <w:tc>
          <w:tcPr>
            <w:tcW w:w="992"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供给创新性</w:t>
            </w:r>
          </w:p>
        </w:tc>
        <w:tc>
          <w:tcPr>
            <w:tcW w:w="851"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质量</w:t>
            </w:r>
          </w:p>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水平</w:t>
            </w:r>
          </w:p>
        </w:tc>
        <w:tc>
          <w:tcPr>
            <w:tcW w:w="850"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服务</w:t>
            </w:r>
          </w:p>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水平</w:t>
            </w:r>
          </w:p>
        </w:tc>
        <w:tc>
          <w:tcPr>
            <w:tcW w:w="851"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消费</w:t>
            </w:r>
          </w:p>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设施</w:t>
            </w:r>
          </w:p>
        </w:tc>
        <w:tc>
          <w:tcPr>
            <w:tcW w:w="850"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价格</w:t>
            </w:r>
          </w:p>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合理</w:t>
            </w:r>
          </w:p>
        </w:tc>
        <w:tc>
          <w:tcPr>
            <w:tcW w:w="851"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信息</w:t>
            </w:r>
          </w:p>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真实</w:t>
            </w:r>
          </w:p>
        </w:tc>
        <w:tc>
          <w:tcPr>
            <w:tcW w:w="881"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售后</w:t>
            </w:r>
          </w:p>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保障</w:t>
            </w:r>
          </w:p>
        </w:tc>
        <w:tc>
          <w:tcPr>
            <w:tcW w:w="820" w:type="dxa"/>
            <w:shd w:val="clear" w:color="auto" w:fill="4472C4" w:themeFill="accent5"/>
            <w:noWrap/>
            <w:tcMar>
              <w:left w:w="0" w:type="dxa"/>
            </w:tcMar>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商家信任度</w:t>
            </w:r>
          </w:p>
        </w:tc>
        <w:tc>
          <w:tcPr>
            <w:tcW w:w="850"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交易</w:t>
            </w:r>
          </w:p>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安全</w:t>
            </w:r>
          </w:p>
        </w:tc>
        <w:tc>
          <w:tcPr>
            <w:tcW w:w="993"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消费知情权</w:t>
            </w:r>
          </w:p>
        </w:tc>
        <w:tc>
          <w:tcPr>
            <w:tcW w:w="965" w:type="dxa"/>
            <w:shd w:val="clear" w:color="auto" w:fill="4472C4" w:themeFill="accent5"/>
            <w:noWrap/>
            <w:tcMar>
              <w:left w:w="0" w:type="dxa"/>
            </w:tcMar>
            <w:vAlign w:val="center"/>
          </w:tcPr>
          <w:p w:rsidR="002D6C73" w:rsidRDefault="00FB6868">
            <w:pPr>
              <w:pStyle w:val="10"/>
              <w:spacing w:line="400" w:lineRule="exact"/>
              <w:rPr>
                <w:rFonts w:ascii="黑体" w:eastAsia="黑体" w:hAnsi="黑体" w:cs="黑体"/>
                <w:bCs w:val="0"/>
                <w:color w:val="1C1C1C"/>
                <w:spacing w:val="-8"/>
                <w:sz w:val="24"/>
              </w:rPr>
            </w:pPr>
            <w:r>
              <w:rPr>
                <w:rFonts w:ascii="黑体" w:eastAsia="黑体" w:hAnsi="黑体" w:cs="黑体" w:hint="eastAsia"/>
                <w:bCs w:val="0"/>
                <w:color w:val="1C1C1C"/>
                <w:spacing w:val="-8"/>
                <w:sz w:val="24"/>
              </w:rPr>
              <w:t>消费自主选择权</w:t>
            </w:r>
          </w:p>
        </w:tc>
        <w:tc>
          <w:tcPr>
            <w:tcW w:w="851"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权益</w:t>
            </w:r>
          </w:p>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保护</w:t>
            </w:r>
          </w:p>
        </w:tc>
        <w:tc>
          <w:tcPr>
            <w:tcW w:w="877"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消费</w:t>
            </w:r>
          </w:p>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宣传</w:t>
            </w:r>
          </w:p>
        </w:tc>
        <w:tc>
          <w:tcPr>
            <w:tcW w:w="824" w:type="dxa"/>
            <w:shd w:val="clear" w:color="auto" w:fill="4472C4" w:themeFill="accent5"/>
            <w:noWrap/>
            <w:vAlign w:val="center"/>
          </w:tcPr>
          <w:p w:rsidR="002D6C73" w:rsidRDefault="00FB6868">
            <w:pPr>
              <w:pStyle w:val="10"/>
              <w:spacing w:line="400" w:lineRule="exact"/>
              <w:rPr>
                <w:rFonts w:ascii="黑体" w:eastAsia="黑体" w:hAnsi="黑体" w:cs="黑体"/>
                <w:bCs w:val="0"/>
                <w:color w:val="1C1C1C"/>
                <w:sz w:val="24"/>
              </w:rPr>
            </w:pPr>
            <w:r>
              <w:rPr>
                <w:rFonts w:ascii="黑体" w:eastAsia="黑体" w:hAnsi="黑体" w:cs="黑体" w:hint="eastAsia"/>
                <w:bCs w:val="0"/>
                <w:color w:val="1C1C1C"/>
                <w:sz w:val="24"/>
              </w:rPr>
              <w:t>消费执法</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1</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苏州市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90.09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86.20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84.77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88.71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94.49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85.75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85.24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92.42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95.50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89.48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87.35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88.99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91.66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86.33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89.72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94.99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2</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杭州市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91.30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89.07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86.30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87.77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85.70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86.28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82.61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89.12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90.09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80.97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90.56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93.62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86.59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87.14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87.81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3</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青岛市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88.47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87.25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82.53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87.36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89.90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84.75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84.62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87.19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90.98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88.82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85.47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86.50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89.92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85.13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85.11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87.39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4</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南京市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84.22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85.90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87.67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85.84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86.03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84.12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89.81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90.23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83.26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88.20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90.17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83.71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85.57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85.49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5</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无锡市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89.89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87.76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86.53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86.16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84.57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86.26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87.13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85.83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88.87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86.64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86.42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88.89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80.15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86.07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83.96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6</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烟台市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86.64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87.81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86.79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82.98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80.61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87.43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87.39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84.73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85.54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88.12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82.92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84.80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85.33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7</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常州市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88.36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86.45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83.83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84.35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85.26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86.25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84.74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79.43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86.32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83.50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85.48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88.34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84.45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85.53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8</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上海市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87.27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84.89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88.62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84.64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88.37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88.39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78.63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84.27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86.94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86.34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86.83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9</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北京市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85.63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84.53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82.30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85.75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86.74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86.43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79.13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82.25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85.48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83.33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85.45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85.34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10</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厦门市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83.80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83.69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77.74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82.48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83.54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85.82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89.58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83.79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82.98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11</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宁波市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84.80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84.04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83.94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85.87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80.13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83.33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88.05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79.81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77.13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79.65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12</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宜昌市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82.86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82.85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76.63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87.52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87.92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75.66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76.04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76.48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79.74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90.84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93.13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90.87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80.84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78.07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13</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泉州市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83.49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83.61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79.93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78.79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82.98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83.00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78.27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85.49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89.62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85.29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81.02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79.84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14</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潍坊市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84.82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73.38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80.99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80.77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85.05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89.60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82.70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81.02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15</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佛山市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84.60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79.94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82.85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80.78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85.07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86.68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85.20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81.54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80.00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lastRenderedPageBreak/>
              <w:t>16</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金华市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84.05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77.97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83.23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84.20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75.34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81.22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84.14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81.11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86.35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89.76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83.76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80.39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17</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成都市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88.09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85.64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75.11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76.94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82.63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83.65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85.24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72.28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87.96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90.32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80.31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83.02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18</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天津市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83.55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82.83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73.90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80.62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83.84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86.23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82.20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81.08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19</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济宁市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86.32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84.87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79.93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75.55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76.24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85.72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89.37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86.66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80.06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77.82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20</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嘉兴市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83.73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83.23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77.03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81.38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79.29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83.61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85.80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84.33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80.32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79.64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21</w:t>
            </w:r>
          </w:p>
        </w:tc>
        <w:tc>
          <w:tcPr>
            <w:tcW w:w="993" w:type="dxa"/>
            <w:noWrap/>
            <w:tcMar>
              <w:left w:w="0" w:type="dxa"/>
            </w:tcMar>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吴忠市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77.30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70.61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84.51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79.55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75.25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84.38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85.19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87.11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87.13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91.76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83.96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22</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南通市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85.98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83.83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75.23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82.89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69.35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83.11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81.78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81.71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86.20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86.46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82.24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76.29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23</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洛阳市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84.62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83.18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70.75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80.40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83.26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86.98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83.79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80.81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24</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南宁市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85.35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84.15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75.10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80.22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77.44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83.01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86.59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87.70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79.88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78.77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25</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绍兴市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83.48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82.31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83.64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75.61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79.53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86.36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90.08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79.71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79.37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77.25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26</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深圳市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76.10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84.24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78.15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80.02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86.89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88.32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87.87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82.40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69.34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27</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温州市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83.29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82.92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75.56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87.04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84.09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80.90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28</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广州市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85.45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86.22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82.13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78.76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76.86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76.48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79.85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88.92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81.15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76.66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29</w:t>
            </w:r>
          </w:p>
        </w:tc>
        <w:tc>
          <w:tcPr>
            <w:tcW w:w="993" w:type="dxa"/>
            <w:noWrap/>
            <w:tcMar>
              <w:left w:w="0" w:type="dxa"/>
            </w:tcMar>
            <w:vAlign w:val="center"/>
          </w:tcPr>
          <w:p w:rsidR="002D6C73" w:rsidRDefault="00FB6868">
            <w:pPr>
              <w:pStyle w:val="10"/>
              <w:spacing w:line="300" w:lineRule="exact"/>
              <w:rPr>
                <w:rFonts w:ascii="仿宋" w:eastAsia="仿宋" w:hAnsi="仿宋" w:cs="Times New Roman"/>
                <w:color w:val="1C1C1C"/>
                <w:spacing w:val="-10"/>
                <w:sz w:val="24"/>
              </w:rPr>
            </w:pPr>
            <w:r>
              <w:rPr>
                <w:rFonts w:ascii="仿宋" w:eastAsia="仿宋" w:hAnsi="仿宋" w:hint="eastAsia"/>
                <w:sz w:val="24"/>
              </w:rPr>
              <w:t>沈阳市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86.50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82.56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82.17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74.79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81.29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74.37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87.66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78.81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78.57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30</w:t>
            </w:r>
          </w:p>
        </w:tc>
        <w:tc>
          <w:tcPr>
            <w:tcW w:w="993" w:type="dxa"/>
            <w:noWrap/>
            <w:tcMar>
              <w:left w:w="0" w:type="dxa"/>
            </w:tcMar>
            <w:vAlign w:val="center"/>
          </w:tcPr>
          <w:p w:rsidR="002D6C73" w:rsidRDefault="00FB6868">
            <w:pPr>
              <w:pStyle w:val="10"/>
              <w:spacing w:line="300" w:lineRule="exact"/>
              <w:rPr>
                <w:rFonts w:ascii="仿宋" w:eastAsia="仿宋" w:hAnsi="仿宋" w:cs="Times New Roman"/>
                <w:color w:val="1C1C1C"/>
                <w:sz w:val="24"/>
              </w:rPr>
            </w:pPr>
            <w:r>
              <w:rPr>
                <w:rFonts w:ascii="仿宋" w:eastAsia="仿宋" w:hAnsi="仿宋" w:hint="eastAsia"/>
                <w:sz w:val="24"/>
              </w:rPr>
              <w:t>济南市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85.70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81.36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77.71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76.36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82.00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86.40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82.08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79.21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77.15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31</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盐城市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79.90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75.91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83.11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83.23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75.22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77.52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80.58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84.33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85.99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92.76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79.49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78.02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32</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襄阳市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82.13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73.21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85.45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86.77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72.49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74.28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76.61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88.42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90.79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84.86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lastRenderedPageBreak/>
              <w:t>33</w:t>
            </w:r>
          </w:p>
        </w:tc>
        <w:tc>
          <w:tcPr>
            <w:tcW w:w="993" w:type="dxa"/>
            <w:noWrap/>
            <w:tcMar>
              <w:left w:w="28" w:type="dxa"/>
              <w:right w:w="28" w:type="dxa"/>
            </w:tcMar>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岳阳市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84.81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83.29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84.78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73.12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87.73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88.28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80.15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34</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临沂市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74.15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79.60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81.43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86.86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87.72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76.77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35</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克拉玛依市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84.85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85.30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72.62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77.32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86.12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72.12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73.63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73.70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85.82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89.11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90.16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77.25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36</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日喀则市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82.56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71.67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81.41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80.73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82.22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37</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山南市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83.21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73.57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80.16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86.82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79.31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82.78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78.68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38</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大庆市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83.04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74.05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83.44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80.21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76.90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81.71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86.79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89.89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79.07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76.01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39</w:t>
            </w:r>
          </w:p>
        </w:tc>
        <w:tc>
          <w:tcPr>
            <w:tcW w:w="993" w:type="dxa"/>
            <w:noWrap/>
            <w:tcMar>
              <w:left w:w="28" w:type="dxa"/>
              <w:right w:w="28" w:type="dxa"/>
            </w:tcMar>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徐州市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74.96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80.45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77.73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88.68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81.39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76.20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40</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银川市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76.74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75.41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83.57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71.28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76.47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78.52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84.90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86.62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88.12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83.32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75.03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41</w:t>
            </w:r>
          </w:p>
        </w:tc>
        <w:tc>
          <w:tcPr>
            <w:tcW w:w="993" w:type="dxa"/>
            <w:noWrap/>
            <w:tcMar>
              <w:left w:w="0" w:type="dxa"/>
            </w:tcMar>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哈尔滨市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76.11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72.57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77.79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80.84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85.01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87.31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83.44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78.45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76.42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42</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拉萨市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79.99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75.53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80.70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79.85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84.05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83.59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79.30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43</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芜湖市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83.50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82.59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70.77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79.88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79.34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81.77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84.87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78.25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44</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淄博市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82.50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79.90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75.70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82.57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85.37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85.11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77.41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45</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武汉市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83.46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83.87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82.30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74.67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76.61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76.34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87.87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85.27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75.12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46</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西宁市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84.15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86.63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71.01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86.50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87.30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66.42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69.98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72.72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86.70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87.29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88.89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90.43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73.18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75.50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lastRenderedPageBreak/>
              <w:t>47</w:t>
            </w:r>
          </w:p>
        </w:tc>
        <w:tc>
          <w:tcPr>
            <w:tcW w:w="993" w:type="dxa"/>
            <w:noWrap/>
            <w:vAlign w:val="center"/>
          </w:tcPr>
          <w:p w:rsidR="002D6C73" w:rsidRDefault="00FB6868">
            <w:pPr>
              <w:pStyle w:val="10"/>
              <w:rPr>
                <w:rFonts w:ascii="仿宋" w:eastAsia="仿宋" w:hAnsi="仿宋" w:cs="Times New Roman"/>
                <w:color w:val="1C1C1C"/>
                <w:sz w:val="24"/>
              </w:rPr>
            </w:pPr>
            <w:r w:rsidRPr="00486C58">
              <w:rPr>
                <w:rFonts w:ascii="仿宋" w:eastAsia="仿宋" w:hAnsi="仿宋" w:hint="eastAsia"/>
                <w:sz w:val="22"/>
              </w:rPr>
              <w:t>海西蒙古族藏族自治州</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76.37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72.97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82.84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85.81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71.16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80.74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86.79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88.91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83.87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77.17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48</w:t>
            </w:r>
          </w:p>
        </w:tc>
        <w:tc>
          <w:tcPr>
            <w:tcW w:w="993" w:type="dxa"/>
            <w:noWrap/>
            <w:vAlign w:val="center"/>
          </w:tcPr>
          <w:p w:rsidR="002D6C73" w:rsidRDefault="00FB6868">
            <w:pPr>
              <w:pStyle w:val="10"/>
              <w:spacing w:line="300" w:lineRule="exact"/>
              <w:rPr>
                <w:rFonts w:ascii="仿宋" w:eastAsia="仿宋" w:hAnsi="仿宋" w:cs="Times New Roman"/>
                <w:color w:val="1C1C1C"/>
                <w:sz w:val="24"/>
              </w:rPr>
            </w:pPr>
            <w:r>
              <w:rPr>
                <w:rFonts w:ascii="仿宋" w:eastAsia="仿宋" w:hAnsi="仿宋" w:hint="eastAsia"/>
                <w:sz w:val="24"/>
              </w:rPr>
              <w:t>石家庄市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83.86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77.06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79.62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84.56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84.44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78.12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75.55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49</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渭南市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82.17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78.74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77.03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88.76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77.82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77.18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50</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包头市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82.11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73.91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83.12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68.43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79.27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83.38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81.01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75.33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51</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太原市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84.31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83.19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82.13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73.14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78.28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74.71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83.91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86.16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83.75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77.29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76.57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52</w:t>
            </w:r>
          </w:p>
        </w:tc>
        <w:tc>
          <w:tcPr>
            <w:tcW w:w="993" w:type="dxa"/>
            <w:noWrap/>
            <w:tcMar>
              <w:left w:w="0" w:type="dxa"/>
            </w:tcMar>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大同市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76.96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71.30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81.54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86.57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82.54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76.80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76.03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53</w:t>
            </w:r>
          </w:p>
        </w:tc>
        <w:tc>
          <w:tcPr>
            <w:tcW w:w="993" w:type="dxa"/>
            <w:noWrap/>
            <w:vAlign w:val="center"/>
          </w:tcPr>
          <w:p w:rsidR="002D6C73" w:rsidRDefault="00FB6868">
            <w:pPr>
              <w:pStyle w:val="10"/>
              <w:spacing w:line="300" w:lineRule="exact"/>
              <w:rPr>
                <w:rFonts w:ascii="仿宋" w:eastAsia="仿宋" w:hAnsi="仿宋" w:cs="Times New Roman"/>
                <w:color w:val="1C1C1C"/>
                <w:sz w:val="24"/>
              </w:rPr>
            </w:pPr>
            <w:r>
              <w:rPr>
                <w:rFonts w:ascii="仿宋" w:eastAsia="仿宋" w:hAnsi="仿宋" w:hint="eastAsia"/>
                <w:sz w:val="24"/>
              </w:rPr>
              <w:t>上饶市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77.90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84.67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74.60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84.55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85.84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69.77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72.33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75.34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84.70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88.75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91.05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81.51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74.16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76.16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54</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柳州市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82.56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76.24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77.59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80.57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83.40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79.24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77.22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55</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齐齐哈尔市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75.95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73.48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77.40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79.00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81.70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84.59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79.53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79.25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56</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天水市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77.15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76.16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82.51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82.84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67.65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78.70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80.63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82.76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85.40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81.88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75.08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57</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赣州市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78.27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78.86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74.89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85.23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82.99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78.01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77.60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58</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毕节市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82.32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73.59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84.26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84.10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64.06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71.63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84.11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84.63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87.22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79.15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78.96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59</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台州市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74.20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73.06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85.65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85.29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70.87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72.07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74.83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87.12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91.72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82.96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84.20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72.61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60</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鞍山市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81.39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83.85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82.91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72.66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85.27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68.19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74.57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75.05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82.71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87.32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80.20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74.53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78.24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lastRenderedPageBreak/>
              <w:t>61</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福州市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75.58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78.49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76.72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86.88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76.59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75.35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62</w:t>
            </w:r>
          </w:p>
        </w:tc>
        <w:tc>
          <w:tcPr>
            <w:tcW w:w="993" w:type="dxa"/>
            <w:noWrap/>
            <w:tcMar>
              <w:left w:w="28" w:type="dxa"/>
              <w:right w:w="28" w:type="dxa"/>
            </w:tcMar>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鄂尔多斯市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79.97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76.29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70.43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81.72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80.60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83.97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82.53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77.56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63</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海东市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75.69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68.64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73.69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70.06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78.69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85.95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83.14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87.09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84.30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78.14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75.97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64</w:t>
            </w:r>
          </w:p>
        </w:tc>
        <w:tc>
          <w:tcPr>
            <w:tcW w:w="993" w:type="dxa"/>
            <w:noWrap/>
            <w:vAlign w:val="center"/>
          </w:tcPr>
          <w:p w:rsidR="002D6C73" w:rsidRDefault="00FB6868">
            <w:pPr>
              <w:pStyle w:val="10"/>
              <w:spacing w:line="300" w:lineRule="exact"/>
              <w:rPr>
                <w:rFonts w:ascii="仿宋" w:eastAsia="仿宋" w:hAnsi="仿宋" w:cs="Times New Roman"/>
                <w:color w:val="1C1C1C"/>
                <w:sz w:val="24"/>
              </w:rPr>
            </w:pPr>
            <w:r>
              <w:rPr>
                <w:rFonts w:ascii="仿宋" w:eastAsia="仿宋" w:hAnsi="仿宋" w:hint="eastAsia"/>
                <w:sz w:val="24"/>
              </w:rPr>
              <w:t>石嘴山市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75.40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75.14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78.68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73.95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76.85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82.79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86.79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82.14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81.15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65</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东莞市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76.77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70.41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77.65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82.89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78.57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77.20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66</w:t>
            </w:r>
          </w:p>
        </w:tc>
        <w:tc>
          <w:tcPr>
            <w:tcW w:w="993" w:type="dxa"/>
            <w:noWrap/>
            <w:tcMar>
              <w:left w:w="0" w:type="dxa"/>
            </w:tcMar>
            <w:vAlign w:val="center"/>
          </w:tcPr>
          <w:p w:rsidR="002D6C73" w:rsidRDefault="00FB6868">
            <w:pPr>
              <w:pStyle w:val="10"/>
              <w:rPr>
                <w:rFonts w:ascii="仿宋" w:eastAsia="仿宋" w:hAnsi="仿宋" w:cs="Times New Roman"/>
                <w:color w:val="1C1C1C"/>
                <w:spacing w:val="-10"/>
                <w:sz w:val="24"/>
              </w:rPr>
            </w:pPr>
            <w:r>
              <w:rPr>
                <w:rFonts w:ascii="仿宋" w:eastAsia="仿宋" w:hAnsi="仿宋" w:hint="eastAsia"/>
                <w:sz w:val="24"/>
              </w:rPr>
              <w:t>南充市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74.62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79.52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78.12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81.81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87.01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78.85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79.01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76.72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67</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郑州市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82.16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73.24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75.90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80.35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84.71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82.22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78.20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68</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哈密市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79.97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74.70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74.10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74.99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79.82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82.35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85.64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74.77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69</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昆明市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81.34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74.34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75.32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77.11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77.38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76.29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83.76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84.54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78.20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79.00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70</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曲靖市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71.07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75.68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74.25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80.14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82.93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87.34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77.22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81.56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76.13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71</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吉林市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83.13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84.23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73.17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84.83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66.78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72.43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74.89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88.21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71.94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74.96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72</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南昌市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83.09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81.39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76.10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78.98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75.61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82.40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86.98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81.84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77.18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75.54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73</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南阳市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76.82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79.98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71.03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78.40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78.22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86.22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79.33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79.48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77.42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74</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长春市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82.22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74.79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70.69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78.83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83.45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85.96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81.81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78.74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75.89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75</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贵阳市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82.35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74.48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81.38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71.58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75.01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75.54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79.39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84.46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88.22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82.65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74.19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77.81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76</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遵义市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80.76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76.07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83.16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82.83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68.08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74.39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74.75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83.09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81.56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85.83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85.16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74.82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74.43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lastRenderedPageBreak/>
              <w:t>77</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长沙市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82.98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83.07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77.31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74.44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78.67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75.27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80.87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86.63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82.00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77.07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75.63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78</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重庆市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83.47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83.00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76.85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75.88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77.58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75.65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82.40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86.36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76.45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74.88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79</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阜阳市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82.81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83.28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75.33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83.50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67.69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72.32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74.24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82.78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88.04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80.44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72.66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74.58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80</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绵阳市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87.76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83.52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75.45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83.12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76.94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75.71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83.53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66.68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70.09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89.74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93.60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80.48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74.77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71.69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81</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儋州市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74.95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82.80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82.47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73.35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76.23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83.15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81.92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76.52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82</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合肥市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75.10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72.40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77.06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76.96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77.89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85.28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85.47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76.40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77.02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83</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大连市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84.44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82.17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79.52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76.75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75.89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77.25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74.14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81.25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85.20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76.81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75.78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84</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桂林市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76.37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76.04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76.71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78.78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76.78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83.00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84.76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77.71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76.81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85</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邯郸市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78.70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74.53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81.81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70.80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74.87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76.77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83.67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86.53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75.13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75.12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86</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汕头市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82.53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75.16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75.58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75.36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84.96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89.61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78.03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76.59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72.28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87</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运城市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78.67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72.56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77.61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76.51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77.93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83.65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81.70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77.65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76.29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88</w:t>
            </w:r>
          </w:p>
        </w:tc>
        <w:tc>
          <w:tcPr>
            <w:tcW w:w="993" w:type="dxa"/>
            <w:noWrap/>
            <w:vAlign w:val="center"/>
          </w:tcPr>
          <w:p w:rsidR="002D6C73" w:rsidRDefault="00FB6868">
            <w:pPr>
              <w:pStyle w:val="10"/>
              <w:spacing w:line="300" w:lineRule="exact"/>
              <w:rPr>
                <w:rFonts w:ascii="仿宋" w:eastAsia="仿宋" w:hAnsi="仿宋" w:cs="Times New Roman"/>
                <w:color w:val="1C1C1C"/>
                <w:sz w:val="24"/>
              </w:rPr>
            </w:pPr>
            <w:r>
              <w:rPr>
                <w:rFonts w:ascii="仿宋" w:eastAsia="仿宋" w:hAnsi="仿宋" w:hint="eastAsia"/>
                <w:sz w:val="24"/>
              </w:rPr>
              <w:t>保定市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82.17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80.18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76.84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77.56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74.52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79.00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78.81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74.98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79.33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83.08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76.58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75.95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89</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玉溪市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72.44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71.45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73.05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79.88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82.30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86.01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75.51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77.47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77.81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90</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乌鲁木齐市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84.85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75.06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74.03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81.38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66.64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73.95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74.40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76.57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83.44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86.47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83.82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72.90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91</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唐山市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78.68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75.48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72.90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76.12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77.78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83.33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82.61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74.88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72.84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92</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兰州市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81.69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75.09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78.44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75.57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76.17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74.72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84.93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77.22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77.25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76.39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lastRenderedPageBreak/>
              <w:t>93</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呼和浩特市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78.09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78.89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72.03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80.67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80.58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70.19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74.53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73.56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79.66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79.61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83.49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84.56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73.44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75.75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94</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宝鸡市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78.94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77.69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74.22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78.39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78.73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72.56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77.09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77.99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78.25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78.79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81.55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76.13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77.28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74.40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95</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三亚市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78.60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78.17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76.63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75.09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78.07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66.20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76.80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78.59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78.90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76.74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81.71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76.68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79.45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76.69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96</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松原市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79.03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77.92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77.76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80.96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70.94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81.92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65.45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70.35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74.90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82.00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82.72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81.22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73.96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74.27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97</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衡阳市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80.36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79.39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71.65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81.21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68.75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72.14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73.32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77.23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85.06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88.73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70.07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73.09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98</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海口市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80.05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80.17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76.47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79.10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75.72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76.43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77.05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69.41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75.88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77.88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72.02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80.84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85.33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76.87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75.39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74.68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99</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西安市</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79.71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80.55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76.30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76.98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74.81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77.35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76.32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72.39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75.99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77.43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72.83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76.83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83.11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81.06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75.13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74.43 </w:t>
            </w:r>
          </w:p>
        </w:tc>
      </w:tr>
      <w:tr w:rsidR="002D6C73">
        <w:trPr>
          <w:trHeight w:val="300"/>
          <w:jc w:val="center"/>
        </w:trPr>
        <w:tc>
          <w:tcPr>
            <w:tcW w:w="675" w:type="dxa"/>
            <w:noWrap/>
            <w:vAlign w:val="center"/>
          </w:tcPr>
          <w:p w:rsidR="002D6C73" w:rsidRDefault="00FB6868">
            <w:pPr>
              <w:pStyle w:val="10"/>
              <w:rPr>
                <w:rFonts w:ascii="仿宋" w:eastAsia="仿宋" w:hAnsi="仿宋"/>
                <w:color w:val="1C1C1C"/>
                <w:sz w:val="24"/>
              </w:rPr>
            </w:pPr>
            <w:r>
              <w:rPr>
                <w:rFonts w:ascii="仿宋" w:eastAsia="仿宋" w:hAnsi="仿宋" w:hint="eastAsia"/>
                <w:sz w:val="24"/>
              </w:rPr>
              <w:t>100</w:t>
            </w:r>
          </w:p>
        </w:tc>
        <w:tc>
          <w:tcPr>
            <w:tcW w:w="993" w:type="dxa"/>
            <w:noWrap/>
            <w:vAlign w:val="center"/>
          </w:tcPr>
          <w:p w:rsidR="002D6C73" w:rsidRDefault="00FB6868">
            <w:pPr>
              <w:pStyle w:val="10"/>
              <w:rPr>
                <w:rFonts w:ascii="仿宋" w:eastAsia="仿宋" w:hAnsi="仿宋" w:cs="Times New Roman"/>
                <w:color w:val="1C1C1C"/>
                <w:sz w:val="24"/>
              </w:rPr>
            </w:pPr>
            <w:proofErr w:type="gramStart"/>
            <w:r>
              <w:rPr>
                <w:rFonts w:ascii="仿宋" w:eastAsia="仿宋" w:hAnsi="仿宋" w:hint="eastAsia"/>
                <w:sz w:val="24"/>
              </w:rPr>
              <w:t>庆阳市</w:t>
            </w:r>
            <w:proofErr w:type="gramEnd"/>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76.56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75.75 </w:t>
            </w:r>
          </w:p>
        </w:tc>
        <w:tc>
          <w:tcPr>
            <w:tcW w:w="992"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76.25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79.82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67.85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81.42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82.62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68.60 </w:t>
            </w:r>
          </w:p>
        </w:tc>
        <w:tc>
          <w:tcPr>
            <w:tcW w:w="88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69.04 </w:t>
            </w:r>
          </w:p>
        </w:tc>
        <w:tc>
          <w:tcPr>
            <w:tcW w:w="82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79.20 </w:t>
            </w:r>
          </w:p>
        </w:tc>
        <w:tc>
          <w:tcPr>
            <w:tcW w:w="850"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81.11 </w:t>
            </w:r>
          </w:p>
        </w:tc>
        <w:tc>
          <w:tcPr>
            <w:tcW w:w="993"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80.28 </w:t>
            </w:r>
          </w:p>
        </w:tc>
        <w:tc>
          <w:tcPr>
            <w:tcW w:w="965"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83.59 </w:t>
            </w:r>
          </w:p>
        </w:tc>
        <w:tc>
          <w:tcPr>
            <w:tcW w:w="851"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76.19 </w:t>
            </w:r>
          </w:p>
        </w:tc>
        <w:tc>
          <w:tcPr>
            <w:tcW w:w="877"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78.99 </w:t>
            </w:r>
          </w:p>
        </w:tc>
        <w:tc>
          <w:tcPr>
            <w:tcW w:w="824" w:type="dxa"/>
            <w:noWrap/>
            <w:vAlign w:val="center"/>
          </w:tcPr>
          <w:p w:rsidR="002D6C73" w:rsidRDefault="00FB6868">
            <w:pPr>
              <w:pStyle w:val="10"/>
              <w:rPr>
                <w:rFonts w:ascii="仿宋" w:eastAsia="仿宋" w:hAnsi="仿宋" w:cs="Times New Roman"/>
                <w:color w:val="1C1C1C"/>
                <w:sz w:val="24"/>
              </w:rPr>
            </w:pPr>
            <w:r>
              <w:rPr>
                <w:rFonts w:ascii="仿宋" w:eastAsia="仿宋" w:hAnsi="仿宋" w:hint="eastAsia"/>
                <w:sz w:val="24"/>
              </w:rPr>
              <w:t xml:space="preserve">71.76 </w:t>
            </w:r>
          </w:p>
        </w:tc>
      </w:tr>
    </w:tbl>
    <w:p w:rsidR="002D6C73" w:rsidRDefault="002D6C73">
      <w:pPr>
        <w:spacing w:line="360" w:lineRule="auto"/>
        <w:jc w:val="both"/>
        <w:rPr>
          <w:color w:val="1C1C1C"/>
        </w:rPr>
        <w:sectPr w:rsidR="002D6C73">
          <w:pgSz w:w="16838" w:h="11906" w:orient="landscape"/>
          <w:pgMar w:top="1588" w:right="1531" w:bottom="1474" w:left="1531" w:header="851" w:footer="992" w:gutter="0"/>
          <w:pgNumType w:fmt="numberInDash"/>
          <w:cols w:space="720"/>
          <w:docGrid w:type="lines" w:linePitch="435"/>
        </w:sectPr>
      </w:pPr>
    </w:p>
    <w:p w:rsidR="002D6C73" w:rsidRDefault="00FB6868">
      <w:pPr>
        <w:pStyle w:val="2"/>
        <w:rPr>
          <w:rFonts w:ascii="黑体" w:eastAsia="黑体" w:hAnsi="黑体" w:cs="黑体"/>
          <w:b w:val="0"/>
          <w:bCs/>
          <w:i w:val="0"/>
          <w:iCs/>
          <w:sz w:val="32"/>
          <w:szCs w:val="32"/>
        </w:rPr>
      </w:pPr>
      <w:bookmarkStart w:id="61" w:name="_Toc62721771"/>
      <w:bookmarkStart w:id="62" w:name="_Toc25132"/>
      <w:r>
        <w:rPr>
          <w:rFonts w:ascii="黑体" w:eastAsia="黑体" w:hAnsi="黑体" w:cs="黑体" w:hint="eastAsia"/>
          <w:b w:val="0"/>
          <w:bCs/>
          <w:i w:val="0"/>
          <w:iCs/>
          <w:sz w:val="32"/>
          <w:szCs w:val="32"/>
        </w:rPr>
        <w:lastRenderedPageBreak/>
        <w:t>四、100个城市满意度得分历年对比情况</w:t>
      </w:r>
      <w:bookmarkEnd w:id="61"/>
      <w:bookmarkEnd w:id="62"/>
    </w:p>
    <w:p w:rsidR="002D6C73" w:rsidRDefault="00FB6868">
      <w:pPr>
        <w:pStyle w:val="3"/>
        <w:rPr>
          <w:rFonts w:ascii="仿宋" w:eastAsia="仿宋" w:hAnsi="仿宋" w:cs="仿宋"/>
          <w:sz w:val="32"/>
          <w:szCs w:val="32"/>
        </w:rPr>
      </w:pPr>
      <w:bookmarkStart w:id="63" w:name="_Toc62721772"/>
      <w:bookmarkStart w:id="64" w:name="_Toc32062"/>
      <w:r>
        <w:rPr>
          <w:rFonts w:ascii="仿宋" w:eastAsia="仿宋" w:hAnsi="仿宋" w:cs="仿宋" w:hint="eastAsia"/>
          <w:sz w:val="32"/>
          <w:szCs w:val="32"/>
        </w:rPr>
        <w:t>（一）2020-2021年城市满意度得分</w:t>
      </w:r>
      <w:bookmarkEnd w:id="63"/>
      <w:r>
        <w:rPr>
          <w:rFonts w:ascii="仿宋" w:eastAsia="仿宋" w:hAnsi="仿宋" w:cs="仿宋" w:hint="eastAsia"/>
          <w:sz w:val="32"/>
          <w:szCs w:val="32"/>
        </w:rPr>
        <w:t>对比</w:t>
      </w:r>
      <w:bookmarkEnd w:id="64"/>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2020-2021年，100个城市均连续参与调查，针对两个年度的100个城市消费者满意度得分变化分析如下：</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根据调查结果，100个城市中，64个城市满意度得分提高。其中，贵阳市得分提高最多，达9.47分。此外，还有8个城市提高5分以上，分别是：昆明市（+9.28分）、邯郸市（+7.51分）、遵义市（+6.67分）、衡阳市（+6.43分）、苏州市（+6.35分）、合肥市（+5.63分）、长春市（+5.34分）、汕头市（+5.33分）。</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36个城市满意度得分降低。其中，海口市得分降低最多，下降3.09分。此外，还有4个城市下降超2分，分别是：山南市（-2.02分）、淄博市（-2.14分）、芜湖市（-2.28分）、吴忠市（-2.43分）。</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经过跟踪调查和分析，消费者满意度得分的升降可能与多方面原因有关，例如多个省、市、区相关部门通过网站、</w:t>
      </w:r>
      <w:proofErr w:type="gramStart"/>
      <w:r>
        <w:rPr>
          <w:rFonts w:ascii="仿宋" w:eastAsia="仿宋" w:hAnsi="仿宋" w:cs="仿宋" w:hint="eastAsia"/>
          <w:color w:val="1C1C1C"/>
          <w:sz w:val="32"/>
          <w:szCs w:val="32"/>
        </w:rPr>
        <w:t>微信微博</w:t>
      </w:r>
      <w:proofErr w:type="gramEnd"/>
      <w:r>
        <w:rPr>
          <w:rFonts w:ascii="仿宋" w:eastAsia="仿宋" w:hAnsi="仿宋" w:cs="仿宋" w:hint="eastAsia"/>
          <w:color w:val="1C1C1C"/>
          <w:sz w:val="32"/>
          <w:szCs w:val="32"/>
        </w:rPr>
        <w:t>等渠道发布消费者满意</w:t>
      </w:r>
      <w:proofErr w:type="gramStart"/>
      <w:r>
        <w:rPr>
          <w:rFonts w:ascii="仿宋" w:eastAsia="仿宋" w:hAnsi="仿宋" w:cs="仿宋" w:hint="eastAsia"/>
          <w:color w:val="1C1C1C"/>
          <w:sz w:val="32"/>
          <w:szCs w:val="32"/>
        </w:rPr>
        <w:t>度相</w:t>
      </w:r>
      <w:proofErr w:type="gramEnd"/>
      <w:r>
        <w:rPr>
          <w:rFonts w:ascii="仿宋" w:eastAsia="仿宋" w:hAnsi="仿宋" w:cs="仿宋" w:hint="eastAsia"/>
          <w:color w:val="1C1C1C"/>
          <w:sz w:val="32"/>
          <w:szCs w:val="32"/>
        </w:rPr>
        <w:t>关工作、宣传信息，起到一定的正面作用；另一方面，因各城市消费市场</w:t>
      </w:r>
      <w:r w:rsidR="00340670">
        <w:rPr>
          <w:rFonts w:ascii="仿宋" w:eastAsia="仿宋" w:hAnsi="仿宋" w:cs="仿宋" w:hint="eastAsia"/>
          <w:color w:val="1C1C1C"/>
          <w:sz w:val="32"/>
          <w:szCs w:val="32"/>
        </w:rPr>
        <w:t>复苏</w:t>
      </w:r>
      <w:r>
        <w:rPr>
          <w:rFonts w:ascii="仿宋" w:eastAsia="仿宋" w:hAnsi="仿宋" w:cs="仿宋" w:hint="eastAsia"/>
          <w:color w:val="1C1C1C"/>
          <w:sz w:val="32"/>
          <w:szCs w:val="32"/>
        </w:rPr>
        <w:t>、</w:t>
      </w:r>
      <w:r w:rsidR="00340670">
        <w:rPr>
          <w:rFonts w:ascii="仿宋" w:eastAsia="仿宋" w:hAnsi="仿宋" w:cs="仿宋" w:hint="eastAsia"/>
          <w:color w:val="1C1C1C"/>
          <w:sz w:val="32"/>
          <w:szCs w:val="32"/>
        </w:rPr>
        <w:t>商品供应及</w:t>
      </w:r>
      <w:r>
        <w:rPr>
          <w:rFonts w:ascii="仿宋" w:eastAsia="仿宋" w:hAnsi="仿宋" w:cs="仿宋" w:hint="eastAsia"/>
          <w:color w:val="1C1C1C"/>
          <w:sz w:val="32"/>
          <w:szCs w:val="32"/>
        </w:rPr>
        <w:t>物价水平等各有不同，都可能直接影响到消费者的</w:t>
      </w:r>
      <w:r w:rsidR="00340670">
        <w:rPr>
          <w:rFonts w:ascii="仿宋" w:eastAsia="仿宋" w:hAnsi="仿宋" w:cs="仿宋" w:hint="eastAsia"/>
          <w:color w:val="1C1C1C"/>
          <w:sz w:val="32"/>
          <w:szCs w:val="32"/>
        </w:rPr>
        <w:t>评价反馈</w:t>
      </w:r>
      <w:r>
        <w:rPr>
          <w:rFonts w:ascii="仿宋" w:eastAsia="仿宋" w:hAnsi="仿宋" w:cs="仿宋" w:hint="eastAsia"/>
          <w:color w:val="1C1C1C"/>
          <w:sz w:val="32"/>
          <w:szCs w:val="32"/>
        </w:rPr>
        <w:t>，特别是受到疫情局部反复影响的部分城市如南京、西安、宁波、银川、沈阳、济南、吴忠、海口等地满意度分数相比2</w:t>
      </w:r>
      <w:r>
        <w:rPr>
          <w:rFonts w:ascii="仿宋" w:eastAsia="仿宋" w:hAnsi="仿宋" w:cs="仿宋"/>
          <w:color w:val="1C1C1C"/>
          <w:sz w:val="32"/>
          <w:szCs w:val="32"/>
        </w:rPr>
        <w:t>020</w:t>
      </w:r>
      <w:r>
        <w:rPr>
          <w:rFonts w:ascii="仿宋" w:eastAsia="仿宋" w:hAnsi="仿宋" w:cs="仿宋" w:hint="eastAsia"/>
          <w:color w:val="1C1C1C"/>
          <w:sz w:val="32"/>
          <w:szCs w:val="32"/>
        </w:rPr>
        <w:t>年有所波动。</w:t>
      </w:r>
    </w:p>
    <w:p w:rsidR="002D6C73" w:rsidRDefault="002D6C73">
      <w:pPr>
        <w:pStyle w:val="af9"/>
        <w:ind w:firstLine="640"/>
        <w:jc w:val="both"/>
        <w:rPr>
          <w:rFonts w:ascii="仿宋" w:eastAsia="仿宋" w:hAnsi="仿宋" w:cs="仿宋"/>
          <w:color w:val="1C1C1C"/>
          <w:sz w:val="32"/>
          <w:szCs w:val="32"/>
        </w:rPr>
        <w:sectPr w:rsidR="002D6C73">
          <w:pgSz w:w="11906" w:h="16838"/>
          <w:pgMar w:top="1531" w:right="1474" w:bottom="1531" w:left="1588" w:header="851" w:footer="992" w:gutter="0"/>
          <w:pgNumType w:fmt="numberInDash"/>
          <w:cols w:space="720"/>
          <w:docGrid w:type="linesAndChars" w:linePitch="312"/>
        </w:sectPr>
      </w:pPr>
    </w:p>
    <w:p w:rsidR="002D6C73" w:rsidRDefault="00FB6868">
      <w:pPr>
        <w:jc w:val="cente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3827145</wp:posOffset>
                </wp:positionH>
                <wp:positionV relativeFrom="paragraph">
                  <wp:posOffset>421005</wp:posOffset>
                </wp:positionV>
                <wp:extent cx="1719580" cy="48768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71958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rPr>
                            </w:pPr>
                            <w:r>
                              <w:rPr>
                                <w:rFonts w:ascii="黑体" w:eastAsia="黑体" w:hAnsi="黑体" w:cs="黑体" w:hint="eastAsia"/>
                              </w:rPr>
                              <w:t>城市得分提高区域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3" o:spid="_x0000_s1038" type="#_x0000_t202" style="position:absolute;left:0;text-align:left;margin-left:301.35pt;margin-top:33.15pt;width:135.4pt;height:38.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" filled="f" stroked="f" strokeweight=".5pt">
                <v:textbox>
                  <w:txbxContent>
                    <w:p w:rsidR="00FB6868" w:rsidRDefault="00FB6868">
                      <w:pPr>
                        <w:jc w:val="center"/>
                        <w:rPr>
                          <w:rFonts w:ascii="黑体" w:eastAsia="黑体" w:hAnsi="黑体" w:cs="黑体"/>
                        </w:rPr>
                      </w:pPr>
                      <w:r>
                        <w:rPr>
                          <w:rFonts w:ascii="黑体" w:eastAsia="黑体" w:hAnsi="黑体" w:cs="黑体" w:hint="eastAsia"/>
                        </w:rPr>
                        <w:t>城市得分提高区域</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5429250</wp:posOffset>
                </wp:positionH>
                <wp:positionV relativeFrom="paragraph">
                  <wp:posOffset>421005</wp:posOffset>
                </wp:positionV>
                <wp:extent cx="1720850" cy="48768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72085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rPr>
                            </w:pPr>
                            <w:r>
                              <w:rPr>
                                <w:rFonts w:ascii="黑体" w:eastAsia="黑体" w:hAnsi="黑体" w:cs="黑体" w:hint="eastAsia"/>
                              </w:rPr>
                              <w:t>城市得分降低区域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2" o:spid="_x0000_s1039" type="#_x0000_t202" style="position:absolute;left:0;text-align:left;margin-left:427.5pt;margin-top:33.15pt;width:135.5pt;height:38.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" filled="f" stroked="f" strokeweight=".5pt">
                <v:textbox>
                  <w:txbxContent>
                    <w:p w:rsidR="00FB6868" w:rsidRDefault="00FB6868">
                      <w:pPr>
                        <w:jc w:val="center"/>
                        <w:rPr>
                          <w:rFonts w:ascii="黑体" w:eastAsia="黑体" w:hAnsi="黑体" w:cs="黑体"/>
                        </w:rPr>
                      </w:pPr>
                      <w:r>
                        <w:rPr>
                          <w:rFonts w:ascii="黑体" w:eastAsia="黑体" w:hAnsi="黑体" w:cs="黑体" w:hint="eastAsia"/>
                        </w:rPr>
                        <w:t>城市得分降低区域</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5486400</wp:posOffset>
                </wp:positionH>
                <wp:positionV relativeFrom="paragraph">
                  <wp:posOffset>222885</wp:posOffset>
                </wp:positionV>
                <wp:extent cx="635" cy="3787140"/>
                <wp:effectExtent l="4445" t="0" r="13970" b="3810"/>
                <wp:wrapNone/>
                <wp:docPr id="1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87140"/>
                        </a:xfrm>
                        <a:prstGeom prst="line">
                          <a:avLst/>
                        </a:prstGeom>
                        <a:noFill/>
                        <a:ln w="6350">
                          <a:solidFill>
                            <a:srgbClr val="ED7D31"/>
                          </a:solidFill>
                          <a:miter lim="800000"/>
                        </a:ln>
                      </wps:spPr>
                      <wps:bodyPr/>
                    </wps:wsp>
                  </a:graphicData>
                </a:graphic>
              </wp:anchor>
            </w:drawing>
          </mc:Choice>
          <mc:Fallback xmlns:wpsCustomData="http://www.wps.cn/officeDocument/2013/wpsCustomData">
            <w:pict>
              <v:line id="直接连接符 50" o:spid="_x0000_s1026" o:spt="20" style="position:absolute;left:0pt;flip:y;margin-left:432pt;margin-top:17.55pt;height:298.2pt;width:0.05pt;z-index:251660288;mso-width-relative:page;mso-height-relative:page;" filled="f" stroked="t" coordsize="21600,21600" o:gfxdata="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l9T/NcAAAAKAQAADwAAAAAAAAABACAAAAAiAAAAZHJzL2Rvd25yZXYueG1s&#10;UEsBAhQAFAAAAAgAh07iQMTR3Bv5AQAAxQMAAA4AAAAAAAAAAQAgAAAAJgEAAGRycy9lMm9Eb2Mu&#10;eG1sUEsFBgAAAAAGAAYAWQEAAJEFAAAAAA==&#10;">
                <v:fill on="f" focussize="0,0"/>
                <v:stroke weight="0.5pt" color="#ED7D31" miterlimit="8" joinstyle="miter"/>
                <v:imagedata o:title=""/>
                <o:lock v:ext="edit" aspectratio="f"/>
              </v:line>
            </w:pict>
          </mc:Fallback>
        </mc:AlternateContent>
      </w:r>
      <w:r>
        <w:rPr>
          <w:noProof/>
        </w:rPr>
        <w:drawing>
          <wp:inline distT="0" distB="0" distL="114300" distR="114300">
            <wp:extent cx="8480425" cy="5013960"/>
            <wp:effectExtent l="0" t="0" r="15875" b="1524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D6C73" w:rsidRDefault="00FB6868">
      <w:pPr>
        <w:jc w:val="center"/>
        <w:rPr>
          <w:b/>
          <w:bCs/>
          <w:sz w:val="28"/>
          <w:szCs w:val="28"/>
        </w:rPr>
      </w:pPr>
      <w:r>
        <w:rPr>
          <w:rFonts w:ascii="黑体" w:eastAsia="黑体" w:hAnsi="黑体" w:hint="eastAsia"/>
          <w:color w:val="1C1C1C"/>
          <w:sz w:val="28"/>
          <w:szCs w:val="28"/>
        </w:rPr>
        <w:t>图14 2020-2021年100个城市满意度得分</w:t>
      </w:r>
    </w:p>
    <w:p w:rsidR="002D6C73" w:rsidRDefault="002D6C73">
      <w:pPr>
        <w:jc w:val="center"/>
        <w:rPr>
          <w:sz w:val="28"/>
          <w:szCs w:val="28"/>
        </w:rPr>
        <w:sectPr w:rsidR="002D6C73">
          <w:pgSz w:w="16838" w:h="11906" w:orient="landscape"/>
          <w:pgMar w:top="1588" w:right="1531" w:bottom="1474" w:left="1531" w:header="851" w:footer="992" w:gutter="0"/>
          <w:pgNumType w:fmt="numberInDash"/>
          <w:cols w:space="720"/>
          <w:docGrid w:type="linesAndChars" w:linePitch="312"/>
        </w:sectPr>
      </w:pPr>
    </w:p>
    <w:p w:rsidR="002D6C73" w:rsidRDefault="00FB6868">
      <w:pPr>
        <w:pStyle w:val="3"/>
        <w:rPr>
          <w:rFonts w:ascii="仿宋" w:eastAsia="仿宋" w:hAnsi="仿宋" w:cs="仿宋"/>
          <w:color w:val="1C1C1C"/>
          <w:sz w:val="32"/>
          <w:szCs w:val="32"/>
        </w:rPr>
      </w:pPr>
      <w:bookmarkStart w:id="65" w:name="_Toc22650"/>
      <w:r>
        <w:rPr>
          <w:rFonts w:ascii="仿宋" w:eastAsia="仿宋" w:hAnsi="仿宋" w:cs="仿宋" w:hint="eastAsia"/>
          <w:sz w:val="32"/>
          <w:szCs w:val="32"/>
        </w:rPr>
        <w:lastRenderedPageBreak/>
        <w:t>（二）2017-2021年城市满意度得分对比</w:t>
      </w:r>
      <w:bookmarkEnd w:id="65"/>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1.总体上看，2017-2021年，城市消费者满意度得分呈现上升趋势，东部地区始终引领消费者满意度提升，尤其是以长三角、珠三角区域为核心向外辐射，中西部地区持续加速追赶，部分西部地区表现抢眼。</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2</w:t>
      </w:r>
      <w:r>
        <w:rPr>
          <w:rFonts w:ascii="仿宋" w:eastAsia="仿宋" w:hAnsi="仿宋" w:cs="仿宋"/>
          <w:color w:val="1C1C1C"/>
          <w:sz w:val="32"/>
          <w:szCs w:val="32"/>
        </w:rPr>
        <w:t>017</w:t>
      </w:r>
      <w:r>
        <w:rPr>
          <w:rFonts w:ascii="仿宋" w:eastAsia="仿宋" w:hAnsi="仿宋" w:cs="仿宋" w:hint="eastAsia"/>
          <w:color w:val="1C1C1C"/>
          <w:sz w:val="32"/>
          <w:szCs w:val="32"/>
        </w:rPr>
        <w:t>年，大部分省份得分在6</w:t>
      </w:r>
      <w:r>
        <w:rPr>
          <w:rFonts w:ascii="仿宋" w:eastAsia="仿宋" w:hAnsi="仿宋" w:cs="仿宋"/>
          <w:color w:val="1C1C1C"/>
          <w:sz w:val="32"/>
          <w:szCs w:val="32"/>
        </w:rPr>
        <w:t>6</w:t>
      </w:r>
      <w:r>
        <w:rPr>
          <w:rFonts w:ascii="仿宋" w:eastAsia="仿宋" w:hAnsi="仿宋" w:cs="仿宋" w:hint="eastAsia"/>
          <w:color w:val="1C1C1C"/>
          <w:sz w:val="32"/>
          <w:szCs w:val="32"/>
        </w:rPr>
        <w:t>分到7</w:t>
      </w:r>
      <w:r>
        <w:rPr>
          <w:rFonts w:ascii="仿宋" w:eastAsia="仿宋" w:hAnsi="仿宋" w:cs="仿宋"/>
          <w:color w:val="1C1C1C"/>
          <w:sz w:val="32"/>
          <w:szCs w:val="32"/>
        </w:rPr>
        <w:t>5</w:t>
      </w:r>
      <w:r>
        <w:rPr>
          <w:rFonts w:ascii="仿宋" w:eastAsia="仿宋" w:hAnsi="仿宋" w:cs="仿宋" w:hint="eastAsia"/>
          <w:color w:val="1C1C1C"/>
          <w:sz w:val="32"/>
          <w:szCs w:val="32"/>
        </w:rPr>
        <w:t>分之间。上海市（7</w:t>
      </w:r>
      <w:r>
        <w:rPr>
          <w:rFonts w:ascii="仿宋" w:eastAsia="仿宋" w:hAnsi="仿宋" w:cs="仿宋"/>
          <w:color w:val="1C1C1C"/>
          <w:sz w:val="32"/>
          <w:szCs w:val="32"/>
        </w:rPr>
        <w:t>4.8</w:t>
      </w:r>
      <w:r>
        <w:rPr>
          <w:rFonts w:ascii="仿宋" w:eastAsia="仿宋" w:hAnsi="仿宋" w:cs="仿宋" w:hint="eastAsia"/>
          <w:color w:val="1C1C1C"/>
          <w:sz w:val="32"/>
          <w:szCs w:val="32"/>
        </w:rPr>
        <w:t>分）、江苏省（7</w:t>
      </w:r>
      <w:r>
        <w:rPr>
          <w:rFonts w:ascii="仿宋" w:eastAsia="仿宋" w:hAnsi="仿宋" w:cs="仿宋"/>
          <w:color w:val="1C1C1C"/>
          <w:sz w:val="32"/>
          <w:szCs w:val="32"/>
        </w:rPr>
        <w:t>3.2</w:t>
      </w:r>
      <w:r>
        <w:rPr>
          <w:rFonts w:ascii="仿宋" w:eastAsia="仿宋" w:hAnsi="仿宋" w:cs="仿宋" w:hint="eastAsia"/>
          <w:color w:val="1C1C1C"/>
          <w:sz w:val="32"/>
          <w:szCs w:val="32"/>
        </w:rPr>
        <w:t>分）、安徽省（7</w:t>
      </w:r>
      <w:r>
        <w:rPr>
          <w:rFonts w:ascii="仿宋" w:eastAsia="仿宋" w:hAnsi="仿宋" w:cs="仿宋"/>
          <w:color w:val="1C1C1C"/>
          <w:sz w:val="32"/>
          <w:szCs w:val="32"/>
        </w:rPr>
        <w:t>2.4</w:t>
      </w:r>
      <w:r>
        <w:rPr>
          <w:rFonts w:ascii="仿宋" w:eastAsia="仿宋" w:hAnsi="仿宋" w:cs="仿宋" w:hint="eastAsia"/>
          <w:color w:val="1C1C1C"/>
          <w:sz w:val="32"/>
          <w:szCs w:val="32"/>
        </w:rPr>
        <w:t>分）等省份得分在7</w:t>
      </w:r>
      <w:r>
        <w:rPr>
          <w:rFonts w:ascii="仿宋" w:eastAsia="仿宋" w:hAnsi="仿宋" w:cs="仿宋"/>
          <w:color w:val="1C1C1C"/>
          <w:sz w:val="32"/>
          <w:szCs w:val="32"/>
        </w:rPr>
        <w:t>0</w:t>
      </w:r>
      <w:r>
        <w:rPr>
          <w:rFonts w:ascii="仿宋" w:eastAsia="仿宋" w:hAnsi="仿宋" w:cs="仿宋" w:hint="eastAsia"/>
          <w:color w:val="1C1C1C"/>
          <w:sz w:val="32"/>
          <w:szCs w:val="32"/>
        </w:rPr>
        <w:t>分以上，吉林省（6</w:t>
      </w:r>
      <w:r>
        <w:rPr>
          <w:rFonts w:ascii="仿宋" w:eastAsia="仿宋" w:hAnsi="仿宋" w:cs="仿宋"/>
          <w:color w:val="1C1C1C"/>
          <w:sz w:val="32"/>
          <w:szCs w:val="32"/>
        </w:rPr>
        <w:t>8.2</w:t>
      </w:r>
      <w:r>
        <w:rPr>
          <w:rFonts w:ascii="仿宋" w:eastAsia="仿宋" w:hAnsi="仿宋" w:cs="仿宋" w:hint="eastAsia"/>
          <w:color w:val="1C1C1C"/>
          <w:sz w:val="32"/>
          <w:szCs w:val="32"/>
        </w:rPr>
        <w:t>分）、青海省（6</w:t>
      </w:r>
      <w:r>
        <w:rPr>
          <w:rFonts w:ascii="仿宋" w:eastAsia="仿宋" w:hAnsi="仿宋" w:cs="仿宋"/>
          <w:color w:val="1C1C1C"/>
          <w:sz w:val="32"/>
          <w:szCs w:val="32"/>
        </w:rPr>
        <w:t>9.4</w:t>
      </w:r>
      <w:r>
        <w:rPr>
          <w:rFonts w:ascii="仿宋" w:eastAsia="仿宋" w:hAnsi="仿宋" w:cs="仿宋" w:hint="eastAsia"/>
          <w:color w:val="1C1C1C"/>
          <w:sz w:val="32"/>
          <w:szCs w:val="32"/>
        </w:rPr>
        <w:t>分）、山西省（6</w:t>
      </w:r>
      <w:r>
        <w:rPr>
          <w:rFonts w:ascii="仿宋" w:eastAsia="仿宋" w:hAnsi="仿宋" w:cs="仿宋"/>
          <w:color w:val="1C1C1C"/>
          <w:sz w:val="32"/>
          <w:szCs w:val="32"/>
        </w:rPr>
        <w:t>8.4</w:t>
      </w:r>
      <w:r>
        <w:rPr>
          <w:rFonts w:ascii="仿宋" w:eastAsia="仿宋" w:hAnsi="仿宋" w:cs="仿宋" w:hint="eastAsia"/>
          <w:color w:val="1C1C1C"/>
          <w:sz w:val="32"/>
          <w:szCs w:val="32"/>
        </w:rPr>
        <w:t>分）等省份得分在7</w:t>
      </w:r>
      <w:r>
        <w:rPr>
          <w:rFonts w:ascii="仿宋" w:eastAsia="仿宋" w:hAnsi="仿宋" w:cs="仿宋"/>
          <w:color w:val="1C1C1C"/>
          <w:sz w:val="32"/>
          <w:szCs w:val="32"/>
        </w:rPr>
        <w:t>0</w:t>
      </w:r>
      <w:r>
        <w:rPr>
          <w:rFonts w:ascii="仿宋" w:eastAsia="仿宋" w:hAnsi="仿宋" w:cs="仿宋" w:hint="eastAsia"/>
          <w:color w:val="1C1C1C"/>
          <w:sz w:val="32"/>
          <w:szCs w:val="32"/>
        </w:rPr>
        <w:t>分以下。西藏自治区得分最低，为6</w:t>
      </w:r>
      <w:r>
        <w:rPr>
          <w:rFonts w:ascii="仿宋" w:eastAsia="仿宋" w:hAnsi="仿宋" w:cs="仿宋"/>
          <w:color w:val="1C1C1C"/>
          <w:sz w:val="32"/>
          <w:szCs w:val="32"/>
        </w:rPr>
        <w:t>0.9</w:t>
      </w:r>
      <w:r>
        <w:rPr>
          <w:rFonts w:ascii="仿宋" w:eastAsia="仿宋" w:hAnsi="仿宋" w:cs="仿宋" w:hint="eastAsia"/>
          <w:color w:val="1C1C1C"/>
          <w:sz w:val="32"/>
          <w:szCs w:val="32"/>
        </w:rPr>
        <w:t>分。</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2</w:t>
      </w:r>
      <w:r>
        <w:rPr>
          <w:rFonts w:ascii="仿宋" w:eastAsia="仿宋" w:hAnsi="仿宋" w:cs="仿宋"/>
          <w:color w:val="1C1C1C"/>
          <w:sz w:val="32"/>
          <w:szCs w:val="32"/>
        </w:rPr>
        <w:t>019</w:t>
      </w:r>
      <w:r>
        <w:rPr>
          <w:rFonts w:ascii="仿宋" w:eastAsia="仿宋" w:hAnsi="仿宋" w:cs="仿宋" w:hint="eastAsia"/>
          <w:color w:val="1C1C1C"/>
          <w:sz w:val="32"/>
          <w:szCs w:val="32"/>
        </w:rPr>
        <w:t>年，大部分省份得分7</w:t>
      </w:r>
      <w:r>
        <w:rPr>
          <w:rFonts w:ascii="仿宋" w:eastAsia="仿宋" w:hAnsi="仿宋" w:cs="仿宋"/>
          <w:color w:val="1C1C1C"/>
          <w:sz w:val="32"/>
          <w:szCs w:val="32"/>
        </w:rPr>
        <w:t>0</w:t>
      </w:r>
      <w:r>
        <w:rPr>
          <w:rFonts w:ascii="仿宋" w:eastAsia="仿宋" w:hAnsi="仿宋" w:cs="仿宋" w:hint="eastAsia"/>
          <w:color w:val="1C1C1C"/>
          <w:sz w:val="32"/>
          <w:szCs w:val="32"/>
        </w:rPr>
        <w:t>分到8</w:t>
      </w:r>
      <w:r>
        <w:rPr>
          <w:rFonts w:ascii="仿宋" w:eastAsia="仿宋" w:hAnsi="仿宋" w:cs="仿宋"/>
          <w:color w:val="1C1C1C"/>
          <w:sz w:val="32"/>
          <w:szCs w:val="32"/>
        </w:rPr>
        <w:t>2</w:t>
      </w:r>
      <w:r>
        <w:rPr>
          <w:rFonts w:ascii="仿宋" w:eastAsia="仿宋" w:hAnsi="仿宋" w:cs="仿宋" w:hint="eastAsia"/>
          <w:color w:val="1C1C1C"/>
          <w:sz w:val="32"/>
          <w:szCs w:val="32"/>
        </w:rPr>
        <w:t>分之间。上海市（8</w:t>
      </w:r>
      <w:r>
        <w:rPr>
          <w:rFonts w:ascii="仿宋" w:eastAsia="仿宋" w:hAnsi="仿宋" w:cs="仿宋"/>
          <w:color w:val="1C1C1C"/>
          <w:sz w:val="32"/>
          <w:szCs w:val="32"/>
        </w:rPr>
        <w:t>1.3</w:t>
      </w:r>
      <w:r>
        <w:rPr>
          <w:rFonts w:ascii="仿宋" w:eastAsia="仿宋" w:hAnsi="仿宋" w:cs="仿宋" w:hint="eastAsia"/>
          <w:color w:val="1C1C1C"/>
          <w:sz w:val="32"/>
          <w:szCs w:val="32"/>
        </w:rPr>
        <w:t>分）、山东省（7</w:t>
      </w:r>
      <w:r>
        <w:rPr>
          <w:rFonts w:ascii="仿宋" w:eastAsia="仿宋" w:hAnsi="仿宋" w:cs="仿宋"/>
          <w:color w:val="1C1C1C"/>
          <w:sz w:val="32"/>
          <w:szCs w:val="32"/>
        </w:rPr>
        <w:t>9.1</w:t>
      </w:r>
      <w:r>
        <w:rPr>
          <w:rFonts w:ascii="仿宋" w:eastAsia="仿宋" w:hAnsi="仿宋" w:cs="仿宋" w:hint="eastAsia"/>
          <w:color w:val="1C1C1C"/>
          <w:sz w:val="32"/>
          <w:szCs w:val="32"/>
        </w:rPr>
        <w:t>分）、辽宁省（7</w:t>
      </w:r>
      <w:r>
        <w:rPr>
          <w:rFonts w:ascii="仿宋" w:eastAsia="仿宋" w:hAnsi="仿宋" w:cs="仿宋"/>
          <w:color w:val="1C1C1C"/>
          <w:sz w:val="32"/>
          <w:szCs w:val="32"/>
        </w:rPr>
        <w:t>7.6</w:t>
      </w:r>
      <w:r>
        <w:rPr>
          <w:rFonts w:ascii="仿宋" w:eastAsia="仿宋" w:hAnsi="仿宋" w:cs="仿宋" w:hint="eastAsia"/>
          <w:color w:val="1C1C1C"/>
          <w:sz w:val="32"/>
          <w:szCs w:val="32"/>
        </w:rPr>
        <w:t>分）等省份得分在7</w:t>
      </w:r>
      <w:r>
        <w:rPr>
          <w:rFonts w:ascii="仿宋" w:eastAsia="仿宋" w:hAnsi="仿宋" w:cs="仿宋"/>
          <w:color w:val="1C1C1C"/>
          <w:sz w:val="32"/>
          <w:szCs w:val="32"/>
        </w:rPr>
        <w:t>5</w:t>
      </w:r>
      <w:r>
        <w:rPr>
          <w:rFonts w:ascii="仿宋" w:eastAsia="仿宋" w:hAnsi="仿宋" w:cs="仿宋" w:hint="eastAsia"/>
          <w:color w:val="1C1C1C"/>
          <w:sz w:val="32"/>
          <w:szCs w:val="32"/>
        </w:rPr>
        <w:t>分以上。贵州省（7</w:t>
      </w:r>
      <w:r>
        <w:rPr>
          <w:rFonts w:ascii="仿宋" w:eastAsia="仿宋" w:hAnsi="仿宋" w:cs="仿宋"/>
          <w:color w:val="1C1C1C"/>
          <w:sz w:val="32"/>
          <w:szCs w:val="32"/>
        </w:rPr>
        <w:t>1.2</w:t>
      </w:r>
      <w:r>
        <w:rPr>
          <w:rFonts w:ascii="仿宋" w:eastAsia="仿宋" w:hAnsi="仿宋" w:cs="仿宋" w:hint="eastAsia"/>
          <w:color w:val="1C1C1C"/>
          <w:sz w:val="32"/>
          <w:szCs w:val="32"/>
        </w:rPr>
        <w:t>分）、云南省（7</w:t>
      </w:r>
      <w:r>
        <w:rPr>
          <w:rFonts w:ascii="仿宋" w:eastAsia="仿宋" w:hAnsi="仿宋" w:cs="仿宋"/>
          <w:color w:val="1C1C1C"/>
          <w:sz w:val="32"/>
          <w:szCs w:val="32"/>
        </w:rPr>
        <w:t>0.8</w:t>
      </w:r>
      <w:r>
        <w:rPr>
          <w:rFonts w:ascii="仿宋" w:eastAsia="仿宋" w:hAnsi="仿宋" w:cs="仿宋" w:hint="eastAsia"/>
          <w:color w:val="1C1C1C"/>
          <w:sz w:val="32"/>
          <w:szCs w:val="32"/>
        </w:rPr>
        <w:t>分）、吉林省（7</w:t>
      </w:r>
      <w:r>
        <w:rPr>
          <w:rFonts w:ascii="仿宋" w:eastAsia="仿宋" w:hAnsi="仿宋" w:cs="仿宋"/>
          <w:color w:val="1C1C1C"/>
          <w:sz w:val="32"/>
          <w:szCs w:val="32"/>
        </w:rPr>
        <w:t>1.7</w:t>
      </w:r>
      <w:r>
        <w:rPr>
          <w:rFonts w:ascii="仿宋" w:eastAsia="仿宋" w:hAnsi="仿宋" w:cs="仿宋" w:hint="eastAsia"/>
          <w:color w:val="1C1C1C"/>
          <w:sz w:val="32"/>
          <w:szCs w:val="32"/>
        </w:rPr>
        <w:t>分）等省份得分在7</w:t>
      </w:r>
      <w:r>
        <w:rPr>
          <w:rFonts w:ascii="仿宋" w:eastAsia="仿宋" w:hAnsi="仿宋" w:cs="仿宋"/>
          <w:color w:val="1C1C1C"/>
          <w:sz w:val="32"/>
          <w:szCs w:val="32"/>
        </w:rPr>
        <w:t>5</w:t>
      </w:r>
      <w:r>
        <w:rPr>
          <w:rFonts w:ascii="仿宋" w:eastAsia="仿宋" w:hAnsi="仿宋" w:cs="仿宋" w:hint="eastAsia"/>
          <w:color w:val="1C1C1C"/>
          <w:sz w:val="32"/>
          <w:szCs w:val="32"/>
        </w:rPr>
        <w:t>分以下。</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color w:val="1C1C1C"/>
          <w:sz w:val="32"/>
          <w:szCs w:val="32"/>
        </w:rPr>
        <w:t>2021</w:t>
      </w:r>
      <w:r>
        <w:rPr>
          <w:rFonts w:ascii="仿宋" w:eastAsia="仿宋" w:hAnsi="仿宋" w:cs="仿宋" w:hint="eastAsia"/>
          <w:color w:val="1C1C1C"/>
          <w:sz w:val="32"/>
          <w:szCs w:val="32"/>
        </w:rPr>
        <w:t>年，大部分省份得分在7</w:t>
      </w:r>
      <w:r>
        <w:rPr>
          <w:rFonts w:ascii="仿宋" w:eastAsia="仿宋" w:hAnsi="仿宋" w:cs="仿宋"/>
          <w:color w:val="1C1C1C"/>
          <w:sz w:val="32"/>
          <w:szCs w:val="32"/>
        </w:rPr>
        <w:t>8</w:t>
      </w:r>
      <w:r>
        <w:rPr>
          <w:rFonts w:ascii="仿宋" w:eastAsia="仿宋" w:hAnsi="仿宋" w:cs="仿宋" w:hint="eastAsia"/>
          <w:color w:val="1C1C1C"/>
          <w:sz w:val="32"/>
          <w:szCs w:val="32"/>
        </w:rPr>
        <w:t>分到8</w:t>
      </w:r>
      <w:r>
        <w:rPr>
          <w:rFonts w:ascii="仿宋" w:eastAsia="仿宋" w:hAnsi="仿宋" w:cs="仿宋"/>
          <w:color w:val="1C1C1C"/>
          <w:sz w:val="32"/>
          <w:szCs w:val="32"/>
        </w:rPr>
        <w:t>5</w:t>
      </w:r>
      <w:r>
        <w:rPr>
          <w:rFonts w:ascii="仿宋" w:eastAsia="仿宋" w:hAnsi="仿宋" w:cs="仿宋" w:hint="eastAsia"/>
          <w:color w:val="1C1C1C"/>
          <w:sz w:val="32"/>
          <w:szCs w:val="32"/>
        </w:rPr>
        <w:t>分之间。湖北省（8</w:t>
      </w:r>
      <w:r>
        <w:rPr>
          <w:rFonts w:ascii="仿宋" w:eastAsia="仿宋" w:hAnsi="仿宋" w:cs="仿宋"/>
          <w:color w:val="1C1C1C"/>
          <w:sz w:val="32"/>
          <w:szCs w:val="32"/>
        </w:rPr>
        <w:t>1.1</w:t>
      </w:r>
      <w:r>
        <w:rPr>
          <w:rFonts w:ascii="仿宋" w:eastAsia="仿宋" w:hAnsi="仿宋" w:cs="仿宋" w:hint="eastAsia"/>
          <w:color w:val="1C1C1C"/>
          <w:sz w:val="32"/>
          <w:szCs w:val="32"/>
        </w:rPr>
        <w:t>分）、宁夏回族自治区（8</w:t>
      </w:r>
      <w:r>
        <w:rPr>
          <w:rFonts w:ascii="仿宋" w:eastAsia="仿宋" w:hAnsi="仿宋" w:cs="仿宋"/>
          <w:color w:val="1C1C1C"/>
          <w:sz w:val="32"/>
          <w:szCs w:val="32"/>
        </w:rPr>
        <w:t>0.3</w:t>
      </w:r>
      <w:r>
        <w:rPr>
          <w:rFonts w:ascii="仿宋" w:eastAsia="仿宋" w:hAnsi="仿宋" w:cs="仿宋" w:hint="eastAsia"/>
          <w:color w:val="1C1C1C"/>
          <w:sz w:val="32"/>
          <w:szCs w:val="32"/>
        </w:rPr>
        <w:t>分）、西藏自治区（8</w:t>
      </w:r>
      <w:r>
        <w:rPr>
          <w:rFonts w:ascii="仿宋" w:eastAsia="仿宋" w:hAnsi="仿宋" w:cs="仿宋"/>
          <w:color w:val="1C1C1C"/>
          <w:sz w:val="32"/>
          <w:szCs w:val="32"/>
        </w:rPr>
        <w:t>0.5</w:t>
      </w:r>
      <w:r>
        <w:rPr>
          <w:rFonts w:ascii="仿宋" w:eastAsia="仿宋" w:hAnsi="仿宋" w:cs="仿宋" w:hint="eastAsia"/>
          <w:color w:val="1C1C1C"/>
          <w:sz w:val="32"/>
          <w:szCs w:val="32"/>
        </w:rPr>
        <w:t>分）等省份得分在8</w:t>
      </w:r>
      <w:r>
        <w:rPr>
          <w:rFonts w:ascii="仿宋" w:eastAsia="仿宋" w:hAnsi="仿宋" w:cs="仿宋"/>
          <w:color w:val="1C1C1C"/>
          <w:sz w:val="32"/>
          <w:szCs w:val="32"/>
        </w:rPr>
        <w:t>0</w:t>
      </w:r>
      <w:r>
        <w:rPr>
          <w:rFonts w:ascii="仿宋" w:eastAsia="仿宋" w:hAnsi="仿宋" w:cs="仿宋" w:hint="eastAsia"/>
          <w:color w:val="1C1C1C"/>
          <w:sz w:val="32"/>
          <w:szCs w:val="32"/>
        </w:rPr>
        <w:t>分以上。陕西省（7</w:t>
      </w:r>
      <w:r>
        <w:rPr>
          <w:rFonts w:ascii="仿宋" w:eastAsia="仿宋" w:hAnsi="仿宋" w:cs="仿宋"/>
          <w:color w:val="1C1C1C"/>
          <w:sz w:val="32"/>
          <w:szCs w:val="32"/>
        </w:rPr>
        <w:t>8.0</w:t>
      </w:r>
      <w:r>
        <w:rPr>
          <w:rFonts w:ascii="仿宋" w:eastAsia="仿宋" w:hAnsi="仿宋" w:cs="仿宋" w:hint="eastAsia"/>
          <w:color w:val="1C1C1C"/>
          <w:sz w:val="32"/>
          <w:szCs w:val="32"/>
        </w:rPr>
        <w:t>分）、湖南省（7</w:t>
      </w:r>
      <w:r>
        <w:rPr>
          <w:rFonts w:ascii="仿宋" w:eastAsia="仿宋" w:hAnsi="仿宋" w:cs="仿宋"/>
          <w:color w:val="1C1C1C"/>
          <w:sz w:val="32"/>
          <w:szCs w:val="32"/>
        </w:rPr>
        <w:t>8.9</w:t>
      </w:r>
      <w:r>
        <w:rPr>
          <w:rFonts w:ascii="仿宋" w:eastAsia="仿宋" w:hAnsi="仿宋" w:cs="仿宋" w:hint="eastAsia"/>
          <w:color w:val="1C1C1C"/>
          <w:sz w:val="32"/>
          <w:szCs w:val="32"/>
        </w:rPr>
        <w:t>分）、云南省（7</w:t>
      </w:r>
      <w:r>
        <w:rPr>
          <w:rFonts w:ascii="仿宋" w:eastAsia="仿宋" w:hAnsi="仿宋" w:cs="仿宋"/>
          <w:color w:val="1C1C1C"/>
          <w:sz w:val="32"/>
          <w:szCs w:val="32"/>
        </w:rPr>
        <w:t>8.8</w:t>
      </w:r>
      <w:r>
        <w:rPr>
          <w:rFonts w:ascii="仿宋" w:eastAsia="仿宋" w:hAnsi="仿宋" w:cs="仿宋" w:hint="eastAsia"/>
          <w:color w:val="1C1C1C"/>
          <w:sz w:val="32"/>
          <w:szCs w:val="32"/>
        </w:rPr>
        <w:t>分）等省份得分在8</w:t>
      </w:r>
      <w:r>
        <w:rPr>
          <w:rFonts w:ascii="仿宋" w:eastAsia="仿宋" w:hAnsi="仿宋" w:cs="仿宋"/>
          <w:color w:val="1C1C1C"/>
          <w:sz w:val="32"/>
          <w:szCs w:val="32"/>
        </w:rPr>
        <w:t>0</w:t>
      </w:r>
      <w:r>
        <w:rPr>
          <w:rFonts w:ascii="仿宋" w:eastAsia="仿宋" w:hAnsi="仿宋" w:cs="仿宋" w:hint="eastAsia"/>
          <w:color w:val="1C1C1C"/>
          <w:sz w:val="32"/>
          <w:szCs w:val="32"/>
        </w:rPr>
        <w:t>分以下。</w:t>
      </w:r>
    </w:p>
    <w:p w:rsidR="002D6C73" w:rsidRDefault="00FB6868">
      <w:pPr>
        <w:pStyle w:val="af9"/>
        <w:spacing w:line="240" w:lineRule="auto"/>
        <w:ind w:firstLineChars="0" w:firstLine="0"/>
        <w:jc w:val="center"/>
        <w:rPr>
          <w:rFonts w:ascii="仿宋" w:eastAsia="仿宋" w:hAnsi="仿宋" w:cs="仿宋"/>
          <w:color w:val="1C1C1C"/>
          <w:sz w:val="32"/>
          <w:szCs w:val="32"/>
        </w:rPr>
      </w:pPr>
      <w:r>
        <w:rPr>
          <w:rFonts w:ascii="仿宋" w:eastAsia="仿宋" w:hAnsi="仿宋" w:cs="仿宋" w:hint="eastAsia"/>
          <w:noProof/>
          <w:color w:val="1C1C1C"/>
          <w:sz w:val="32"/>
          <w:szCs w:val="32"/>
        </w:rPr>
        <w:lastRenderedPageBreak/>
        <w:drawing>
          <wp:inline distT="0" distB="0" distL="114300" distR="114300">
            <wp:extent cx="3959860" cy="2715260"/>
            <wp:effectExtent l="0" t="0" r="2540" b="889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33"/>
                    <a:stretch>
                      <a:fillRect/>
                    </a:stretch>
                  </pic:blipFill>
                  <pic:spPr>
                    <a:xfrm>
                      <a:off x="0" y="0"/>
                      <a:ext cx="3959860" cy="2715260"/>
                    </a:xfrm>
                    <a:prstGeom prst="rect">
                      <a:avLst/>
                    </a:prstGeom>
                  </pic:spPr>
                </pic:pic>
              </a:graphicData>
            </a:graphic>
          </wp:inline>
        </w:drawing>
      </w:r>
    </w:p>
    <w:p w:rsidR="002D6C73" w:rsidRDefault="00FB6868">
      <w:pPr>
        <w:pStyle w:val="af9"/>
        <w:spacing w:line="240" w:lineRule="auto"/>
        <w:ind w:firstLineChars="0" w:firstLine="0"/>
        <w:jc w:val="center"/>
        <w:rPr>
          <w:rFonts w:ascii="仿宋" w:eastAsia="仿宋" w:hAnsi="仿宋" w:cs="仿宋"/>
          <w:color w:val="1C1C1C"/>
          <w:sz w:val="32"/>
          <w:szCs w:val="32"/>
        </w:rPr>
      </w:pPr>
      <w:r>
        <w:rPr>
          <w:rFonts w:ascii="仿宋" w:eastAsia="仿宋" w:hAnsi="仿宋" w:cs="仿宋" w:hint="eastAsia"/>
          <w:noProof/>
          <w:color w:val="1C1C1C"/>
          <w:sz w:val="32"/>
          <w:szCs w:val="32"/>
        </w:rPr>
        <w:drawing>
          <wp:inline distT="0" distB="0" distL="114300" distR="114300">
            <wp:extent cx="3959860" cy="2715260"/>
            <wp:effectExtent l="0" t="0" r="2540" b="889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34"/>
                    <a:stretch>
                      <a:fillRect/>
                    </a:stretch>
                  </pic:blipFill>
                  <pic:spPr>
                    <a:xfrm>
                      <a:off x="0" y="0"/>
                      <a:ext cx="3959860" cy="2715260"/>
                    </a:xfrm>
                    <a:prstGeom prst="rect">
                      <a:avLst/>
                    </a:prstGeom>
                  </pic:spPr>
                </pic:pic>
              </a:graphicData>
            </a:graphic>
          </wp:inline>
        </w:drawing>
      </w:r>
    </w:p>
    <w:p w:rsidR="002D6C73" w:rsidRDefault="00FB6868">
      <w:pPr>
        <w:pStyle w:val="af9"/>
        <w:spacing w:line="240" w:lineRule="auto"/>
        <w:ind w:firstLineChars="0" w:firstLine="0"/>
        <w:jc w:val="center"/>
        <w:rPr>
          <w:rFonts w:ascii="仿宋" w:eastAsia="仿宋" w:hAnsi="仿宋" w:cs="仿宋"/>
          <w:color w:val="1C1C1C"/>
          <w:sz w:val="32"/>
          <w:szCs w:val="32"/>
        </w:rPr>
      </w:pPr>
      <w:r>
        <w:rPr>
          <w:rFonts w:ascii="仿宋" w:eastAsia="仿宋" w:hAnsi="仿宋" w:cs="仿宋" w:hint="eastAsia"/>
          <w:noProof/>
          <w:color w:val="1C1C1C"/>
          <w:sz w:val="32"/>
          <w:szCs w:val="32"/>
        </w:rPr>
        <w:drawing>
          <wp:inline distT="0" distB="0" distL="114300" distR="114300">
            <wp:extent cx="3959860" cy="2715260"/>
            <wp:effectExtent l="0" t="0" r="2540" b="8890"/>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35"/>
                    <a:stretch>
                      <a:fillRect/>
                    </a:stretch>
                  </pic:blipFill>
                  <pic:spPr>
                    <a:xfrm>
                      <a:off x="0" y="0"/>
                      <a:ext cx="3959860" cy="2715260"/>
                    </a:xfrm>
                    <a:prstGeom prst="rect">
                      <a:avLst/>
                    </a:prstGeom>
                  </pic:spPr>
                </pic:pic>
              </a:graphicData>
            </a:graphic>
          </wp:inline>
        </w:drawing>
      </w:r>
    </w:p>
    <w:p w:rsidR="002D6C73" w:rsidRDefault="00FB6868">
      <w:pPr>
        <w:pStyle w:val="af9"/>
        <w:spacing w:line="240" w:lineRule="auto"/>
        <w:ind w:firstLineChars="0" w:firstLine="0"/>
        <w:jc w:val="center"/>
        <w:rPr>
          <w:rFonts w:ascii="仿宋" w:eastAsia="仿宋" w:hAnsi="仿宋" w:cs="仿宋"/>
          <w:color w:val="1C1C1C"/>
          <w:sz w:val="32"/>
          <w:szCs w:val="32"/>
        </w:rPr>
      </w:pPr>
      <w:r>
        <w:rPr>
          <w:rFonts w:ascii="黑体" w:eastAsia="黑体" w:hAnsi="黑体" w:hint="eastAsia"/>
          <w:color w:val="1C1C1C"/>
          <w:sz w:val="28"/>
          <w:szCs w:val="28"/>
        </w:rPr>
        <w:t>图15 2017、2019、2021年满意度得分分布地图</w:t>
      </w:r>
      <w:r>
        <w:rPr>
          <w:rFonts w:ascii="仿宋" w:eastAsia="仿宋" w:hAnsi="仿宋" w:cs="仿宋" w:hint="eastAsia"/>
          <w:color w:val="1C1C1C"/>
          <w:sz w:val="32"/>
          <w:szCs w:val="32"/>
        </w:rPr>
        <w:br w:type="page"/>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lastRenderedPageBreak/>
        <w:t>2.50个城市连续参与了2017-2021年五年的调查，针对这五年来的消费者满意度得分变化分析如下：</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根据调查结果，50个城市中，23个城市连续五年满意度得分上升，分别为（按照得分总体升幅从高到低排序，下同）：苏州市、杭州市、青岛市、北京市、太原市、泉州市、长春市、西宁市、武汉市、石家庄市、天津市、上海市、福州市、哈尔滨市、潍坊市、东莞市、郑州市、长沙市、大连市、深圳市、兰州市、重庆市、台州市。</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其他27个城市满意度得分虽有一定波动，但整体呈上升趋势，包括：拉萨市、南宁市、银川市、烟台市、南京市、昆明市、贵阳市、温州市、成都市、厦门市、临沂市、广州市、南昌市、金华市、济南市、徐州市、沈阳市、宁波市、唐山市、无锡市、海口市、佛山市、呼和浩特市、南通市、乌鲁木齐市、西安市、合肥市。</w:t>
      </w:r>
    </w:p>
    <w:p w:rsidR="002D6C73" w:rsidRDefault="002D6C73">
      <w:pPr>
        <w:pStyle w:val="af9"/>
        <w:ind w:firstLine="640"/>
        <w:jc w:val="both"/>
        <w:rPr>
          <w:rFonts w:ascii="仿宋" w:eastAsia="仿宋" w:hAnsi="仿宋" w:cs="仿宋"/>
          <w:color w:val="1C1C1C"/>
          <w:sz w:val="32"/>
          <w:szCs w:val="32"/>
        </w:rPr>
        <w:sectPr w:rsidR="002D6C73">
          <w:pgSz w:w="11906" w:h="16838"/>
          <w:pgMar w:top="1531" w:right="1474" w:bottom="1531" w:left="1588" w:header="851" w:footer="992" w:gutter="0"/>
          <w:pgNumType w:fmt="numberInDash"/>
          <w:cols w:space="720"/>
          <w:docGrid w:type="linesAndChars" w:linePitch="312"/>
        </w:sectPr>
      </w:pPr>
    </w:p>
    <w:p w:rsidR="002D6C73" w:rsidRDefault="002D6C73">
      <w:pPr>
        <w:pStyle w:val="af9"/>
        <w:ind w:firstLine="640"/>
        <w:jc w:val="both"/>
        <w:rPr>
          <w:rFonts w:ascii="仿宋" w:eastAsia="仿宋" w:hAnsi="仿宋" w:cs="仿宋"/>
          <w:color w:val="1C1C1C"/>
          <w:sz w:val="32"/>
          <w:szCs w:val="32"/>
        </w:rPr>
      </w:pPr>
    </w:p>
    <w:p w:rsidR="002D6C73" w:rsidRDefault="00FB6868">
      <w:r>
        <w:rPr>
          <w:noProof/>
        </w:rPr>
        <mc:AlternateContent>
          <mc:Choice Requires="wps">
            <w:drawing>
              <wp:anchor distT="0" distB="0" distL="114300" distR="114300" simplePos="0" relativeHeight="251664384" behindDoc="0" locked="0" layoutInCell="1" allowOverlap="1">
                <wp:simplePos x="0" y="0"/>
                <wp:positionH relativeFrom="column">
                  <wp:posOffset>3924300</wp:posOffset>
                </wp:positionH>
                <wp:positionV relativeFrom="paragraph">
                  <wp:posOffset>249555</wp:posOffset>
                </wp:positionV>
                <wp:extent cx="1720850" cy="48768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72085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rPr>
                            </w:pPr>
                            <w:r>
                              <w:rPr>
                                <w:rFonts w:ascii="黑体" w:eastAsia="黑体" w:hAnsi="黑体" w:cs="黑体" w:hint="eastAsia"/>
                              </w:rPr>
                              <w:t>波动上升区域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6" o:spid="_x0000_s1040" type="#_x0000_t202" style="position:absolute;margin-left:309pt;margin-top:19.65pt;width:135.5pt;height:38.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" filled="f" stroked="f" strokeweight=".5pt">
                <v:textbox>
                  <w:txbxContent>
                    <w:p w:rsidR="00FB6868" w:rsidRDefault="00FB6868">
                      <w:pPr>
                        <w:jc w:val="center"/>
                        <w:rPr>
                          <w:rFonts w:ascii="黑体" w:eastAsia="黑体" w:hAnsi="黑体" w:cs="黑体"/>
                        </w:rPr>
                      </w:pPr>
                      <w:r>
                        <w:rPr>
                          <w:rFonts w:ascii="黑体" w:eastAsia="黑体" w:hAnsi="黑体" w:cs="黑体" w:hint="eastAsia"/>
                        </w:rPr>
                        <w:t>波动上升区域</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2312670</wp:posOffset>
                </wp:positionH>
                <wp:positionV relativeFrom="paragraph">
                  <wp:posOffset>249555</wp:posOffset>
                </wp:positionV>
                <wp:extent cx="1719580" cy="48768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71958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rPr>
                            </w:pPr>
                            <w:r>
                              <w:rPr>
                                <w:rFonts w:ascii="黑体" w:eastAsia="黑体" w:hAnsi="黑体" w:cs="黑体" w:hint="eastAsia"/>
                              </w:rPr>
                              <w:t>持续上升区域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7" o:spid="_x0000_s1041" type="#_x0000_t202" style="position:absolute;margin-left:182.1pt;margin-top:19.65pt;width:135.4pt;height:38.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" filled="f" stroked="f" strokeweight=".5pt">
                <v:textbox>
                  <w:txbxContent>
                    <w:p w:rsidR="00FB6868" w:rsidRDefault="00FB6868">
                      <w:pPr>
                        <w:jc w:val="center"/>
                        <w:rPr>
                          <w:rFonts w:ascii="黑体" w:eastAsia="黑体" w:hAnsi="黑体" w:cs="黑体"/>
                        </w:rPr>
                      </w:pPr>
                      <w:r>
                        <w:rPr>
                          <w:rFonts w:ascii="黑体" w:eastAsia="黑体" w:hAnsi="黑体" w:cs="黑体" w:hint="eastAsia"/>
                        </w:rPr>
                        <w:t>持续上升区域</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3972560</wp:posOffset>
                </wp:positionH>
                <wp:positionV relativeFrom="paragraph">
                  <wp:posOffset>146050</wp:posOffset>
                </wp:positionV>
                <wp:extent cx="635" cy="3844925"/>
                <wp:effectExtent l="4445" t="0" r="13970" b="3175"/>
                <wp:wrapNone/>
                <wp:docPr id="78" name="直接连接符 78"/>
                <wp:cNvGraphicFramePr/>
                <a:graphic xmlns:a="http://schemas.openxmlformats.org/drawingml/2006/main">
                  <a:graphicData uri="http://schemas.microsoft.com/office/word/2010/wordprocessingShape">
                    <wps:wsp>
                      <wps:cNvCnPr/>
                      <wps:spPr>
                        <a:xfrm>
                          <a:off x="0" y="0"/>
                          <a:ext cx="635" cy="3844925"/>
                        </a:xfrm>
                        <a:prstGeom prst="line">
                          <a:avLst/>
                        </a:prstGeom>
                        <a:ln>
                          <a:solidFill>
                            <a:srgbClr val="F729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12.8pt;margin-top:11.5pt;height:302.75pt;width:0.05pt;z-index:251663360;mso-width-relative:page;mso-height-relative:page;" filled="f" stroked="t" coordsize="21600,21600" o:gfxdata="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j+CGdkAAAAKAQAADwAAAAAAAAABACAAAAAiAAAAZHJzL2Rvd25yZXYueG1sUEsBAhQAFAAAAAgA&#10;h07iQBnZSEfrAQAAtQMAAA4AAAAAAAAAAQAgAAAAKAEAAGRycy9lMm9Eb2MueG1sUEsFBgAAAAAG&#10;AAYAWQEAAIUFAAAAAA==&#10;">
                <v:fill on="f" focussize="0,0"/>
                <v:stroke weight="0.5pt" color="#F72942 [3204]" miterlimit="8" joinstyle="miter"/>
                <v:imagedata o:title=""/>
                <o:lock v:ext="edit" aspectratio="f"/>
              </v:line>
            </w:pict>
          </mc:Fallback>
        </mc:AlternateContent>
      </w:r>
      <w:r>
        <w:rPr>
          <w:noProof/>
        </w:rPr>
        <w:drawing>
          <wp:inline distT="0" distB="0" distL="114300" distR="114300">
            <wp:extent cx="8480425" cy="4710430"/>
            <wp:effectExtent l="0" t="0" r="15875" b="1397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D6C73" w:rsidRDefault="00FB6868">
      <w:pPr>
        <w:jc w:val="center"/>
        <w:rPr>
          <w:sz w:val="28"/>
          <w:szCs w:val="28"/>
        </w:rPr>
      </w:pPr>
      <w:r>
        <w:rPr>
          <w:rFonts w:ascii="黑体" w:eastAsia="黑体" w:hAnsi="黑体" w:hint="eastAsia"/>
          <w:color w:val="1C1C1C"/>
          <w:sz w:val="28"/>
          <w:szCs w:val="28"/>
        </w:rPr>
        <w:t>图16 2017-2021年50个连续调查城市满意度得分</w:t>
      </w:r>
    </w:p>
    <w:p w:rsidR="002D6C73" w:rsidRDefault="002D6C73">
      <w:pPr>
        <w:jc w:val="center"/>
        <w:rPr>
          <w:sz w:val="28"/>
          <w:szCs w:val="28"/>
        </w:rPr>
        <w:sectPr w:rsidR="002D6C73">
          <w:pgSz w:w="16838" w:h="11906" w:orient="landscape"/>
          <w:pgMar w:top="1588" w:right="1531" w:bottom="1474" w:left="1531" w:header="851" w:footer="992" w:gutter="0"/>
          <w:pgNumType w:fmt="numberInDash"/>
          <w:cols w:space="720"/>
          <w:docGrid w:type="linesAndChars" w:linePitch="312"/>
        </w:sectPr>
      </w:pPr>
    </w:p>
    <w:p w:rsidR="002D6C73" w:rsidRDefault="00FB6868">
      <w:pPr>
        <w:pStyle w:val="af9"/>
        <w:ind w:firstLine="640"/>
        <w:jc w:val="both"/>
        <w:rPr>
          <w:rFonts w:ascii="仿宋" w:eastAsia="仿宋" w:hAnsi="仿宋" w:cs="仿宋"/>
          <w:color w:val="1C1C1C"/>
          <w:sz w:val="32"/>
          <w:szCs w:val="32"/>
        </w:rPr>
      </w:pPr>
      <w:bookmarkStart w:id="66" w:name="_Toc62721775"/>
      <w:r>
        <w:rPr>
          <w:rFonts w:ascii="仿宋" w:eastAsia="仿宋" w:hAnsi="仿宋" w:cs="仿宋" w:hint="eastAsia"/>
          <w:color w:val="1C1C1C"/>
          <w:sz w:val="32"/>
          <w:szCs w:val="32"/>
        </w:rPr>
        <w:lastRenderedPageBreak/>
        <w:t>3.70个城市连续参与了2018-2021年四年的调查，针对这四年来的消费者满意度得分变化分析如下：</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根据调查结果，70个城市中，36个城市连续四年满意度得分上升，除上述连续五年参与</w:t>
      </w:r>
      <w:proofErr w:type="gramStart"/>
      <w:r>
        <w:rPr>
          <w:rFonts w:ascii="仿宋" w:eastAsia="仿宋" w:hAnsi="仿宋" w:cs="仿宋" w:hint="eastAsia"/>
          <w:color w:val="1C1C1C"/>
          <w:sz w:val="32"/>
          <w:szCs w:val="32"/>
        </w:rPr>
        <w:t>测评且</w:t>
      </w:r>
      <w:proofErr w:type="gramEnd"/>
      <w:r>
        <w:rPr>
          <w:rFonts w:ascii="仿宋" w:eastAsia="仿宋" w:hAnsi="仿宋" w:cs="仿宋" w:hint="eastAsia"/>
          <w:color w:val="1C1C1C"/>
          <w:sz w:val="32"/>
          <w:szCs w:val="32"/>
        </w:rPr>
        <w:t>得分上升的23个城市外，分别为：烟台市、岳阳市、哈密市、襄阳市、无锡市、海东市、大庆市、三亚市、合肥市、宝鸡市、绵阳市、曲靖市、运城市。</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其他34个城市满意度得分虽有一定波动，但整体呈上升趋势，包括：拉萨市、天水市、南宁市、南京市、海口市、日喀则市、南昌市、银川市、洛阳市、吴忠市、柳州市、佛山市、芜湖市、厦门市、赣州市、宁波市、成都市、沈阳市、昆明市、温州市、徐州市、金华市、贵阳市、临沂市、包头市、济南市、西安市、广州市、吉林市、乌鲁木齐市、南通市、遵义市、呼和浩特市、唐山市。</w:t>
      </w:r>
    </w:p>
    <w:p w:rsidR="002D6C73" w:rsidRDefault="002D6C73">
      <w:pPr>
        <w:pStyle w:val="af9"/>
        <w:ind w:firstLine="640"/>
        <w:jc w:val="both"/>
        <w:rPr>
          <w:rFonts w:ascii="仿宋" w:eastAsia="仿宋" w:hAnsi="仿宋" w:cs="仿宋"/>
          <w:color w:val="1C1C1C"/>
          <w:sz w:val="32"/>
          <w:szCs w:val="32"/>
        </w:rPr>
      </w:pPr>
    </w:p>
    <w:p w:rsidR="002D6C73" w:rsidRDefault="002D6C73">
      <w:pPr>
        <w:pStyle w:val="af9"/>
        <w:ind w:firstLine="640"/>
        <w:jc w:val="both"/>
        <w:rPr>
          <w:rFonts w:ascii="仿宋" w:eastAsia="仿宋" w:hAnsi="仿宋" w:cs="仿宋"/>
          <w:color w:val="1C1C1C"/>
          <w:sz w:val="32"/>
          <w:szCs w:val="32"/>
        </w:rPr>
      </w:pPr>
    </w:p>
    <w:p w:rsidR="002D6C73" w:rsidRDefault="002D6C73">
      <w:pPr>
        <w:pStyle w:val="af9"/>
        <w:ind w:firstLine="640"/>
        <w:jc w:val="both"/>
        <w:rPr>
          <w:rFonts w:ascii="仿宋" w:eastAsia="仿宋" w:hAnsi="仿宋" w:cs="仿宋"/>
          <w:color w:val="1C1C1C"/>
          <w:sz w:val="32"/>
          <w:szCs w:val="32"/>
        </w:rPr>
        <w:sectPr w:rsidR="002D6C73">
          <w:pgSz w:w="11906" w:h="16838"/>
          <w:pgMar w:top="1531" w:right="1474" w:bottom="1531" w:left="1588" w:header="851" w:footer="992" w:gutter="0"/>
          <w:pgNumType w:fmt="numberInDash"/>
          <w:cols w:space="720"/>
          <w:docGrid w:type="linesAndChars" w:linePitch="312"/>
        </w:sectPr>
      </w:pPr>
    </w:p>
    <w:p w:rsidR="002D6C73" w:rsidRDefault="002D6C73">
      <w:pPr>
        <w:pStyle w:val="af9"/>
        <w:ind w:firstLine="640"/>
        <w:jc w:val="both"/>
        <w:rPr>
          <w:rFonts w:ascii="仿宋" w:eastAsia="仿宋" w:hAnsi="仿宋" w:cs="仿宋"/>
          <w:color w:val="1C1C1C"/>
          <w:sz w:val="32"/>
          <w:szCs w:val="32"/>
        </w:rPr>
      </w:pPr>
    </w:p>
    <w:p w:rsidR="002D6C73" w:rsidRDefault="00FB6868">
      <w:r>
        <w:rPr>
          <w:noProof/>
        </w:rPr>
        <mc:AlternateContent>
          <mc:Choice Requires="wps">
            <w:drawing>
              <wp:anchor distT="0" distB="0" distL="114300" distR="114300" simplePos="0" relativeHeight="251667456" behindDoc="0" locked="0" layoutInCell="1" allowOverlap="1">
                <wp:simplePos x="0" y="0"/>
                <wp:positionH relativeFrom="column">
                  <wp:posOffset>4343400</wp:posOffset>
                </wp:positionH>
                <wp:positionV relativeFrom="paragraph">
                  <wp:posOffset>249555</wp:posOffset>
                </wp:positionV>
                <wp:extent cx="1720850" cy="48768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72085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rPr>
                            </w:pPr>
                            <w:r>
                              <w:rPr>
                                <w:rFonts w:ascii="黑体" w:eastAsia="黑体" w:hAnsi="黑体" w:cs="黑体" w:hint="eastAsia"/>
                              </w:rPr>
                              <w:t>波动上升区域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2" o:spid="_x0000_s1042" type="#_x0000_t202" style="position:absolute;margin-left:342pt;margin-top:19.65pt;width:135.5pt;height:38.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" filled="f" stroked="f" strokeweight=".5pt">
                <v:textbox>
                  <w:txbxContent>
                    <w:p w:rsidR="00FB6868" w:rsidRDefault="00FB6868">
                      <w:pPr>
                        <w:jc w:val="center"/>
                        <w:rPr>
                          <w:rFonts w:ascii="黑体" w:eastAsia="黑体" w:hAnsi="黑体" w:cs="黑体"/>
                        </w:rPr>
                      </w:pPr>
                      <w:r>
                        <w:rPr>
                          <w:rFonts w:ascii="黑体" w:eastAsia="黑体" w:hAnsi="黑体" w:cs="黑体" w:hint="eastAsia"/>
                        </w:rPr>
                        <w:t>波动上升区域</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2731770</wp:posOffset>
                </wp:positionH>
                <wp:positionV relativeFrom="paragraph">
                  <wp:posOffset>249555</wp:posOffset>
                </wp:positionV>
                <wp:extent cx="1719580" cy="48768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71958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rPr>
                            </w:pPr>
                            <w:r>
                              <w:rPr>
                                <w:rFonts w:ascii="黑体" w:eastAsia="黑体" w:hAnsi="黑体" w:cs="黑体" w:hint="eastAsia"/>
                              </w:rPr>
                              <w:t>持续上升区域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0" o:spid="_x0000_s1043" type="#_x0000_t202" style="position:absolute;margin-left:215.1pt;margin-top:19.65pt;width:135.4pt;height:38.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" filled="f" stroked="f" strokeweight=".5pt">
                <v:textbox>
                  <w:txbxContent>
                    <w:p w:rsidR="00FB6868" w:rsidRDefault="00FB6868">
                      <w:pPr>
                        <w:jc w:val="center"/>
                        <w:rPr>
                          <w:rFonts w:ascii="黑体" w:eastAsia="黑体" w:hAnsi="黑体" w:cs="黑体"/>
                        </w:rPr>
                      </w:pPr>
                      <w:r>
                        <w:rPr>
                          <w:rFonts w:ascii="黑体" w:eastAsia="黑体" w:hAnsi="黑体" w:cs="黑体" w:hint="eastAsia"/>
                        </w:rPr>
                        <w:t>持续上升区域</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4391660</wp:posOffset>
                </wp:positionH>
                <wp:positionV relativeFrom="paragraph">
                  <wp:posOffset>155575</wp:posOffset>
                </wp:positionV>
                <wp:extent cx="635" cy="3844925"/>
                <wp:effectExtent l="4445" t="0" r="13970" b="3175"/>
                <wp:wrapNone/>
                <wp:docPr id="81" name="直接连接符 81"/>
                <wp:cNvGraphicFramePr/>
                <a:graphic xmlns:a="http://schemas.openxmlformats.org/drawingml/2006/main">
                  <a:graphicData uri="http://schemas.microsoft.com/office/word/2010/wordprocessingShape">
                    <wps:wsp>
                      <wps:cNvCnPr/>
                      <wps:spPr>
                        <a:xfrm>
                          <a:off x="0" y="0"/>
                          <a:ext cx="635" cy="3844925"/>
                        </a:xfrm>
                        <a:prstGeom prst="line">
                          <a:avLst/>
                        </a:prstGeom>
                        <a:ln>
                          <a:solidFill>
                            <a:srgbClr val="F729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45.8pt;margin-top:12.25pt;height:302.75pt;width:0.05pt;z-index:251666432;mso-width-relative:page;mso-height-relative:page;" filled="f" stroked="t" coordsize="21600,21600" o:gfxdata="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CC9lNkAAAAKAQAADwAAAAAAAAABACAAAAAiAAAAZHJzL2Rvd25yZXYueG1sUEsBAhQAFAAAAAgA&#10;h07iQF/Z/bjrAQAAtQMAAA4AAAAAAAAAAQAgAAAAKAEAAGRycy9lMm9Eb2MueG1sUEsFBgAAAAAG&#10;AAYAWQEAAIUFAAAAAA==&#10;">
                <v:fill on="f" focussize="0,0"/>
                <v:stroke weight="0.5pt" color="#F72942 [3204]" miterlimit="8" joinstyle="miter"/>
                <v:imagedata o:title=""/>
                <o:lock v:ext="edit" aspectratio="f"/>
              </v:line>
            </w:pict>
          </mc:Fallback>
        </mc:AlternateContent>
      </w:r>
      <w:r>
        <w:rPr>
          <w:noProof/>
        </w:rPr>
        <w:drawing>
          <wp:inline distT="0" distB="0" distL="114300" distR="114300">
            <wp:extent cx="8480425" cy="4710430"/>
            <wp:effectExtent l="0" t="0" r="15875" b="13970"/>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D6C73" w:rsidRDefault="00FB6868">
      <w:pPr>
        <w:jc w:val="center"/>
        <w:rPr>
          <w:sz w:val="28"/>
          <w:szCs w:val="28"/>
        </w:rPr>
      </w:pPr>
      <w:r>
        <w:rPr>
          <w:rFonts w:ascii="黑体" w:eastAsia="黑体" w:hAnsi="黑体" w:hint="eastAsia"/>
          <w:color w:val="1C1C1C"/>
          <w:sz w:val="28"/>
          <w:szCs w:val="28"/>
        </w:rPr>
        <w:t>图17 2018-2021年70个连续调查城市满意度得分</w:t>
      </w:r>
    </w:p>
    <w:p w:rsidR="002D6C73" w:rsidRDefault="002D6C73">
      <w:pPr>
        <w:jc w:val="center"/>
        <w:rPr>
          <w:sz w:val="28"/>
          <w:szCs w:val="28"/>
        </w:rPr>
        <w:sectPr w:rsidR="002D6C73">
          <w:pgSz w:w="16838" w:h="11906" w:orient="landscape"/>
          <w:pgMar w:top="1588" w:right="1531" w:bottom="1474" w:left="1531" w:header="851" w:footer="992" w:gutter="0"/>
          <w:pgNumType w:fmt="numberInDash"/>
          <w:cols w:space="720"/>
          <w:docGrid w:type="linesAndChars" w:linePitch="312"/>
        </w:sectPr>
      </w:pP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lastRenderedPageBreak/>
        <w:t>4.100个城市连续参与了2019-2021年三年的调查，针对这三年来的消费者满意度得分变化分析如下：</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根据调查结果，100个城市中，56个城市连续三年满意度得分上升，除上述连续四年参与</w:t>
      </w:r>
      <w:proofErr w:type="gramStart"/>
      <w:r>
        <w:rPr>
          <w:rFonts w:ascii="仿宋" w:eastAsia="仿宋" w:hAnsi="仿宋" w:cs="仿宋" w:hint="eastAsia"/>
          <w:color w:val="1C1C1C"/>
          <w:sz w:val="32"/>
          <w:szCs w:val="32"/>
        </w:rPr>
        <w:t>测评且</w:t>
      </w:r>
      <w:proofErr w:type="gramEnd"/>
      <w:r>
        <w:rPr>
          <w:rFonts w:ascii="仿宋" w:eastAsia="仿宋" w:hAnsi="仿宋" w:cs="仿宋" w:hint="eastAsia"/>
          <w:color w:val="1C1C1C"/>
          <w:sz w:val="32"/>
          <w:szCs w:val="32"/>
        </w:rPr>
        <w:t>得分上升的36个城市外，分别为：贵阳市、吉林市、宜昌市、佛山市、衡阳市、保定市、邯郸市、南充市、上饶市、大同市、玉溪市、庆阳市、桂林市、盐城市、毕节市、齐齐哈尔市、儋州市、南阳市、常州市、鄂尔多斯市。</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8个城市满意度得分虽有一定波动，但整体呈上升趋势，包括：昆明市、遵义市、汕头市、广州市、松原市、唐山市、徐州市、呼和浩特市。36个城市满意度得分先升后降，包括：洛阳市、南昌市、拉萨市、宁波市、南京市、鞍山市、济宁市、天水市、海口市、海西蒙古族藏族自治州、南通市、柳州市、渭南市、成都市、包头市、山南市、济南市、绍兴市、日喀则市、温州市、南宁市、银川市、金华市、赣州市、石嘴山市、临沂市、嘉兴市、阜阳市、厦门市、沈阳市、芜湖市、西安市、吴忠市、淄博市、克拉玛依市、乌鲁木齐市。</w:t>
      </w:r>
    </w:p>
    <w:p w:rsidR="002D6C73" w:rsidRDefault="002D6C73">
      <w:pPr>
        <w:pStyle w:val="af9"/>
        <w:ind w:firstLine="640"/>
        <w:jc w:val="both"/>
        <w:rPr>
          <w:rFonts w:ascii="仿宋" w:eastAsia="仿宋" w:hAnsi="仿宋" w:cs="仿宋"/>
          <w:color w:val="1C1C1C"/>
          <w:sz w:val="32"/>
          <w:szCs w:val="32"/>
        </w:rPr>
      </w:pPr>
    </w:p>
    <w:p w:rsidR="002D6C73" w:rsidRDefault="002D6C73">
      <w:pPr>
        <w:pStyle w:val="af9"/>
        <w:ind w:firstLine="640"/>
        <w:jc w:val="both"/>
        <w:rPr>
          <w:rFonts w:ascii="仿宋" w:eastAsia="仿宋" w:hAnsi="仿宋" w:cs="仿宋"/>
          <w:color w:val="1C1C1C"/>
          <w:sz w:val="32"/>
          <w:szCs w:val="32"/>
        </w:rPr>
      </w:pPr>
    </w:p>
    <w:p w:rsidR="002D6C73" w:rsidRDefault="002D6C73">
      <w:pPr>
        <w:pStyle w:val="af9"/>
        <w:ind w:firstLine="640"/>
        <w:jc w:val="both"/>
        <w:rPr>
          <w:rFonts w:ascii="仿宋" w:eastAsia="仿宋" w:hAnsi="仿宋" w:cs="仿宋"/>
          <w:color w:val="1C1C1C"/>
          <w:sz w:val="32"/>
          <w:szCs w:val="32"/>
        </w:rPr>
        <w:sectPr w:rsidR="002D6C73">
          <w:pgSz w:w="11906" w:h="16838"/>
          <w:pgMar w:top="1531" w:right="1474" w:bottom="1531" w:left="1588" w:header="851" w:footer="992" w:gutter="0"/>
          <w:pgNumType w:fmt="numberInDash"/>
          <w:cols w:space="720"/>
          <w:docGrid w:type="linesAndChars" w:linePitch="312"/>
        </w:sectPr>
      </w:pPr>
    </w:p>
    <w:p w:rsidR="002D6C73" w:rsidRDefault="002D6C73"/>
    <w:p w:rsidR="002D6C73" w:rsidRDefault="00FB6868">
      <w:r>
        <w:rPr>
          <w:noProof/>
        </w:rPr>
        <mc:AlternateContent>
          <mc:Choice Requires="wps">
            <w:drawing>
              <wp:anchor distT="0" distB="0" distL="114300" distR="114300" simplePos="0" relativeHeight="251671552" behindDoc="0" locked="0" layoutInCell="1" allowOverlap="1">
                <wp:simplePos x="0" y="0"/>
                <wp:positionH relativeFrom="column">
                  <wp:posOffset>5684520</wp:posOffset>
                </wp:positionH>
                <wp:positionV relativeFrom="paragraph">
                  <wp:posOffset>259080</wp:posOffset>
                </wp:positionV>
                <wp:extent cx="1719580" cy="48768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71958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rPr>
                            </w:pPr>
                            <w:r>
                              <w:rPr>
                                <w:rFonts w:ascii="黑体" w:eastAsia="黑体" w:hAnsi="黑体" w:cs="黑体" w:hint="eastAsia"/>
                              </w:rPr>
                              <w:t>先升后降区域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44" type="#_x0000_t202" style="position:absolute;margin-left:447.6pt;margin-top:20.4pt;width:135.4pt;height:38.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" filled="f" stroked="f" strokeweight=".5pt">
                <v:textbox>
                  <w:txbxContent>
                    <w:p w:rsidR="00FB6868" w:rsidRDefault="00FB6868">
                      <w:pPr>
                        <w:jc w:val="center"/>
                        <w:rPr>
                          <w:rFonts w:ascii="黑体" w:eastAsia="黑体" w:hAnsi="黑体" w:cs="黑体"/>
                        </w:rPr>
                      </w:pPr>
                      <w:r>
                        <w:rPr>
                          <w:rFonts w:ascii="黑体" w:eastAsia="黑体" w:hAnsi="黑体" w:cs="黑体" w:hint="eastAsia"/>
                        </w:rPr>
                        <w:t>先升后降区域</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4572000</wp:posOffset>
                </wp:positionH>
                <wp:positionV relativeFrom="paragraph">
                  <wp:posOffset>259080</wp:posOffset>
                </wp:positionV>
                <wp:extent cx="854075" cy="4876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854075"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rPr>
                            </w:pPr>
                            <w:r>
                              <w:rPr>
                                <w:rFonts w:ascii="黑体" w:eastAsia="黑体" w:hAnsi="黑体" w:cs="黑体" w:hint="eastAsia"/>
                              </w:rPr>
                              <w:t>波动上升区域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45" type="#_x0000_t202" style="position:absolute;margin-left:5in;margin-top:20.4pt;width:67.25pt;height:38.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" filled="f" stroked="f" strokeweight=".5pt">
                <v:textbox>
                  <w:txbxContent>
                    <w:p w:rsidR="00FB6868" w:rsidRDefault="00FB6868">
                      <w:pPr>
                        <w:jc w:val="center"/>
                        <w:rPr>
                          <w:rFonts w:ascii="黑体" w:eastAsia="黑体" w:hAnsi="黑体" w:cs="黑体"/>
                        </w:rPr>
                      </w:pPr>
                      <w:r>
                        <w:rPr>
                          <w:rFonts w:ascii="黑体" w:eastAsia="黑体" w:hAnsi="黑体" w:cs="黑体" w:hint="eastAsia"/>
                        </w:rPr>
                        <w:t>波动上升区域</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5315585</wp:posOffset>
                </wp:positionH>
                <wp:positionV relativeFrom="paragraph">
                  <wp:posOffset>146050</wp:posOffset>
                </wp:positionV>
                <wp:extent cx="635" cy="3535045"/>
                <wp:effectExtent l="4445" t="0" r="13970" b="8255"/>
                <wp:wrapNone/>
                <wp:docPr id="13" name="直接连接符 13"/>
                <wp:cNvGraphicFramePr/>
                <a:graphic xmlns:a="http://schemas.openxmlformats.org/drawingml/2006/main">
                  <a:graphicData uri="http://schemas.microsoft.com/office/word/2010/wordprocessingShape">
                    <wps:wsp>
                      <wps:cNvCnPr/>
                      <wps:spPr>
                        <a:xfrm>
                          <a:off x="0" y="0"/>
                          <a:ext cx="635" cy="3535045"/>
                        </a:xfrm>
                        <a:prstGeom prst="line">
                          <a:avLst/>
                        </a:prstGeom>
                        <a:ln>
                          <a:solidFill>
                            <a:srgbClr val="F729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18.55pt;margin-top:11.5pt;height:278.35pt;width:0.05pt;z-index:251673600;mso-width-relative:page;mso-height-relative:page;" filled="f" stroked="t" coordsize="21600,21600" o:gfxdata="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6fY4doAAAAKAQAADwAAAAAAAAABACAAAAAiAAAAZHJzL2Rvd25yZXYueG1sUEsBAhQAFAAAAAgA&#10;h07iQEnp0bjqAQAAtQMAAA4AAAAAAAAAAQAgAAAAKQEAAGRycy9lMm9Eb2MueG1sUEsFBgAAAAAG&#10;AAYAWQEAAIUFAAAAAA==&#10;">
                <v:fill on="f" focussize="0,0"/>
                <v:stroke weight="0.5pt" color="#F72942 [3204]" miterlimit="8" joinstyle="miter"/>
                <v:imagedata o:title=""/>
                <o:lock v:ext="edit" aspectratio="f"/>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4677410</wp:posOffset>
                </wp:positionH>
                <wp:positionV relativeFrom="paragraph">
                  <wp:posOffset>146050</wp:posOffset>
                </wp:positionV>
                <wp:extent cx="635" cy="3535045"/>
                <wp:effectExtent l="4445" t="0" r="13970" b="8255"/>
                <wp:wrapNone/>
                <wp:docPr id="14" name="直接连接符 14"/>
                <wp:cNvGraphicFramePr/>
                <a:graphic xmlns:a="http://schemas.openxmlformats.org/drawingml/2006/main">
                  <a:graphicData uri="http://schemas.microsoft.com/office/word/2010/wordprocessingShape">
                    <wps:wsp>
                      <wps:cNvCnPr/>
                      <wps:spPr>
                        <a:xfrm>
                          <a:off x="0" y="0"/>
                          <a:ext cx="635" cy="3535045"/>
                        </a:xfrm>
                        <a:prstGeom prst="line">
                          <a:avLst/>
                        </a:prstGeom>
                        <a:ln>
                          <a:solidFill>
                            <a:srgbClr val="F729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68.3pt;margin-top:11.5pt;height:278.35pt;width:0.05pt;z-index:251672576;mso-width-relative:page;mso-height-relative:page;" filled="f" stroked="t" coordsize="21600,21600" o:gfxdata="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h&#10;Axf/2QAAAAoBAAAPAAAAAAAAAAEAIAAAACIAAABkcnMvZG93bnJldi54bWxQSwECFAAUAAAACACH&#10;TuJAawfd5+oBAAC1AwAADgAAAAAAAAABACAAAAAoAQAAZHJzL2Uyb0RvYy54bWxQSwUGAAAAAAYA&#10;BgBZAQAAhAUAAAAA&#10;">
                <v:fill on="f" focussize="0,0"/>
                <v:stroke weight="0.5pt" color="#F72942 [3204]" miterlimit="8" joinstyle="miter"/>
                <v:imagedata o:title=""/>
                <o:lock v:ext="edit" aspectratio="f"/>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2455545</wp:posOffset>
                </wp:positionH>
                <wp:positionV relativeFrom="paragraph">
                  <wp:posOffset>259080</wp:posOffset>
                </wp:positionV>
                <wp:extent cx="1719580" cy="4876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71958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6868" w:rsidRDefault="00FB6868">
                            <w:pPr>
                              <w:jc w:val="center"/>
                              <w:rPr>
                                <w:rFonts w:ascii="黑体" w:eastAsia="黑体" w:hAnsi="黑体" w:cs="黑体"/>
                              </w:rPr>
                            </w:pPr>
                            <w:r>
                              <w:rPr>
                                <w:rFonts w:ascii="黑体" w:eastAsia="黑体" w:hAnsi="黑体" w:cs="黑体" w:hint="eastAsia"/>
                              </w:rPr>
                              <w:t>持续上升区域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46" type="#_x0000_t202" style="position:absolute;margin-left:193.35pt;margin-top:20.4pt;width:135.4pt;height:38.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" filled="f" stroked="f" strokeweight=".5pt">
                <v:textbox>
                  <w:txbxContent>
                    <w:p w:rsidR="00FB6868" w:rsidRDefault="00FB6868">
                      <w:pPr>
                        <w:jc w:val="center"/>
                        <w:rPr>
                          <w:rFonts w:ascii="黑体" w:eastAsia="黑体" w:hAnsi="黑体" w:cs="黑体"/>
                        </w:rPr>
                      </w:pPr>
                      <w:r>
                        <w:rPr>
                          <w:rFonts w:ascii="黑体" w:eastAsia="黑体" w:hAnsi="黑体" w:cs="黑体" w:hint="eastAsia"/>
                        </w:rPr>
                        <w:t>持续上升区域</w:t>
                      </w:r>
                    </w:p>
                  </w:txbxContent>
                </v:textbox>
              </v:shape>
            </w:pict>
          </mc:Fallback>
        </mc:AlternateContent>
      </w:r>
      <w:r>
        <w:rPr>
          <w:noProof/>
        </w:rPr>
        <w:drawing>
          <wp:inline distT="0" distB="0" distL="114300" distR="114300">
            <wp:extent cx="8480425" cy="4710430"/>
            <wp:effectExtent l="0" t="0" r="15875" b="13970"/>
            <wp:docPr id="88" name="图表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D6C73" w:rsidRDefault="00FB6868">
      <w:pPr>
        <w:jc w:val="center"/>
        <w:rPr>
          <w:sz w:val="28"/>
          <w:szCs w:val="28"/>
        </w:rPr>
      </w:pPr>
      <w:r>
        <w:rPr>
          <w:rFonts w:ascii="黑体" w:eastAsia="黑体" w:hAnsi="黑体" w:hint="eastAsia"/>
          <w:color w:val="1C1C1C"/>
          <w:sz w:val="28"/>
          <w:szCs w:val="28"/>
        </w:rPr>
        <w:t>图18 2019-2021年100个连续调查城市满意度得分</w:t>
      </w:r>
    </w:p>
    <w:p w:rsidR="002D6C73" w:rsidRDefault="002D6C73">
      <w:pPr>
        <w:jc w:val="center"/>
        <w:rPr>
          <w:sz w:val="28"/>
          <w:szCs w:val="28"/>
        </w:rPr>
        <w:sectPr w:rsidR="002D6C73">
          <w:pgSz w:w="16838" w:h="11906" w:orient="landscape"/>
          <w:pgMar w:top="1588" w:right="1531" w:bottom="1474" w:left="1531" w:header="851" w:footer="992" w:gutter="0"/>
          <w:pgNumType w:fmt="numberInDash"/>
          <w:cols w:space="720"/>
          <w:docGrid w:type="linesAndChars" w:linePitch="312"/>
        </w:sectPr>
      </w:pPr>
    </w:p>
    <w:p w:rsidR="002D6C73" w:rsidRDefault="00FB6868">
      <w:pPr>
        <w:pStyle w:val="2"/>
        <w:rPr>
          <w:rFonts w:ascii="黑体" w:eastAsia="黑体" w:hAnsi="黑体" w:cs="黑体"/>
          <w:b w:val="0"/>
          <w:bCs/>
          <w:i w:val="0"/>
          <w:iCs/>
          <w:sz w:val="32"/>
          <w:szCs w:val="32"/>
        </w:rPr>
      </w:pPr>
      <w:bookmarkStart w:id="67" w:name="_Toc31196"/>
      <w:r>
        <w:rPr>
          <w:rFonts w:ascii="黑体" w:eastAsia="黑体" w:hAnsi="黑体" w:cs="黑体" w:hint="eastAsia"/>
          <w:b w:val="0"/>
          <w:bCs/>
          <w:i w:val="0"/>
          <w:iCs/>
          <w:sz w:val="32"/>
          <w:szCs w:val="32"/>
        </w:rPr>
        <w:lastRenderedPageBreak/>
        <w:t>五、100个城市消费信心情况对比</w:t>
      </w:r>
      <w:bookmarkEnd w:id="66"/>
      <w:bookmarkEnd w:id="67"/>
      <w:r>
        <w:rPr>
          <w:rFonts w:ascii="黑体" w:eastAsia="黑体" w:hAnsi="黑体" w:cs="黑体" w:hint="eastAsia"/>
          <w:b w:val="0"/>
          <w:bCs/>
          <w:i w:val="0"/>
          <w:iCs/>
          <w:sz w:val="32"/>
          <w:szCs w:val="32"/>
        </w:rPr>
        <w:t xml:space="preserve"> </w:t>
      </w:r>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为了具体掌握消费者在未来一年的消费信心及预期情况，本次调查从“对于经济形势的预期”、“对于日常消费支出的预期”及“总体消费信心打分”三个角度对各城市消费者信心加以调查。（只做数据计算和分析呈现，未纳入满意</w:t>
      </w:r>
      <w:proofErr w:type="gramStart"/>
      <w:r>
        <w:rPr>
          <w:rFonts w:ascii="仿宋" w:eastAsia="仿宋" w:hAnsi="仿宋" w:cs="仿宋" w:hint="eastAsia"/>
          <w:color w:val="1C1C1C"/>
          <w:sz w:val="32"/>
          <w:szCs w:val="32"/>
        </w:rPr>
        <w:t>度综合</w:t>
      </w:r>
      <w:proofErr w:type="gramEnd"/>
      <w:r>
        <w:rPr>
          <w:rFonts w:ascii="仿宋" w:eastAsia="仿宋" w:hAnsi="仿宋" w:cs="仿宋" w:hint="eastAsia"/>
          <w:color w:val="1C1C1C"/>
          <w:sz w:val="32"/>
          <w:szCs w:val="32"/>
        </w:rPr>
        <w:t>算分）</w:t>
      </w:r>
    </w:p>
    <w:p w:rsidR="002D6C73" w:rsidRDefault="00FB6868">
      <w:pPr>
        <w:pStyle w:val="3"/>
        <w:rPr>
          <w:rFonts w:ascii="仿宋" w:eastAsia="仿宋" w:hAnsi="仿宋" w:cs="仿宋"/>
          <w:sz w:val="32"/>
          <w:szCs w:val="32"/>
        </w:rPr>
      </w:pPr>
      <w:bookmarkStart w:id="68" w:name="_Toc4901"/>
      <w:bookmarkStart w:id="69" w:name="_Toc62721776"/>
      <w:r>
        <w:rPr>
          <w:rFonts w:ascii="仿宋" w:eastAsia="仿宋" w:hAnsi="仿宋" w:cs="仿宋" w:hint="eastAsia"/>
          <w:sz w:val="32"/>
          <w:szCs w:val="32"/>
        </w:rPr>
        <w:t>（一）消费者对于未来一年经济形势的预期</w:t>
      </w:r>
      <w:bookmarkEnd w:id="68"/>
      <w:bookmarkEnd w:id="69"/>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调查结果显示，43.2%的消费者对未来一年经济形势的预期持“比较乐观”态度，27.6%的消费者持“非常乐观”态度，总体占比超过七成，但比2020年时略低6.4个百分点。</w:t>
      </w:r>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color w:val="1C1C1C"/>
          <w:sz w:val="32"/>
          <w:szCs w:val="32"/>
        </w:rPr>
        <w:t>18.1%的受访消费者表示预期“一般”，比2020年增加约11.1个百分点。</w:t>
      </w:r>
      <w:r>
        <w:rPr>
          <w:rFonts w:ascii="仿宋" w:eastAsia="仿宋" w:hAnsi="仿宋" w:cs="仿宋" w:hint="eastAsia"/>
          <w:color w:val="1C1C1C"/>
          <w:sz w:val="32"/>
          <w:szCs w:val="32"/>
        </w:rPr>
        <w:t>合计10.1%的消费者表示可能“不太乐观”或“非常不乐观”，较2020年减少4.9个百分点。消费者对未来一年经济形势的预期总体稳健。</w:t>
      </w:r>
    </w:p>
    <w:p w:rsidR="002D6C73" w:rsidRDefault="00FB6868">
      <w:pPr>
        <w:jc w:val="center"/>
        <w:rPr>
          <w:rFonts w:ascii="仿宋" w:eastAsia="仿宋" w:hAnsi="仿宋" w:cs="仿宋"/>
          <w:color w:val="1C1C1C"/>
          <w:sz w:val="32"/>
          <w:szCs w:val="32"/>
        </w:rPr>
      </w:pPr>
      <w:r>
        <w:rPr>
          <w:rFonts w:ascii="仿宋" w:eastAsia="仿宋" w:hAnsi="仿宋" w:cs="仿宋" w:hint="eastAsia"/>
          <w:noProof/>
          <w:color w:val="1C1C1C"/>
          <w:sz w:val="32"/>
          <w:szCs w:val="32"/>
        </w:rPr>
        <w:drawing>
          <wp:inline distT="0" distB="0" distL="114300" distR="114300">
            <wp:extent cx="4727575" cy="2981325"/>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图19 消费者对于未来一年经济形势的预期</w:t>
      </w:r>
    </w:p>
    <w:p w:rsidR="002D6C73" w:rsidRDefault="002D6C73">
      <w:pPr>
        <w:jc w:val="center"/>
        <w:rPr>
          <w:rFonts w:ascii="黑体" w:eastAsia="黑体" w:hAnsi="黑体" w:cs="黑体"/>
          <w:color w:val="1C1C1C"/>
          <w:sz w:val="28"/>
          <w:szCs w:val="28"/>
        </w:rPr>
      </w:pPr>
    </w:p>
    <w:p w:rsidR="002D6C73" w:rsidRDefault="00FB6868">
      <w:pPr>
        <w:pStyle w:val="3"/>
        <w:rPr>
          <w:rFonts w:ascii="仿宋" w:eastAsia="仿宋" w:hAnsi="仿宋" w:cs="仿宋"/>
          <w:sz w:val="32"/>
          <w:szCs w:val="32"/>
        </w:rPr>
      </w:pPr>
      <w:bookmarkStart w:id="70" w:name="_Toc19183"/>
      <w:bookmarkStart w:id="71" w:name="_Toc62721777"/>
      <w:r>
        <w:rPr>
          <w:rFonts w:ascii="仿宋" w:eastAsia="仿宋" w:hAnsi="仿宋" w:cs="仿宋" w:hint="eastAsia"/>
          <w:sz w:val="32"/>
          <w:szCs w:val="32"/>
        </w:rPr>
        <w:t>（二）消费者对于未来一年的支出计划</w:t>
      </w:r>
      <w:bookmarkEnd w:id="70"/>
      <w:bookmarkEnd w:id="71"/>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当问及未来一年是否计划增加在日常消费方面的支出时，44.4%的消费者表示计划支出“与今年持平”，37.0%的消费者计划“增加支出”，14.3%的消费者计划“减少支出”。与2020年相比，计划“增加支出”和“与今年持平”的消费者分别增多2.8和2.2个百分点，计划“减少支出”的消费者减少7.7个百分点。</w:t>
      </w:r>
    </w:p>
    <w:p w:rsidR="002D6C73" w:rsidRDefault="00FB6868">
      <w:pPr>
        <w:ind w:firstLineChars="200" w:firstLine="640"/>
        <w:jc w:val="both"/>
        <w:rPr>
          <w:rFonts w:ascii="仿宋" w:eastAsia="仿宋" w:hAnsi="仿宋" w:cs="仿宋"/>
          <w:color w:val="1C1C1C"/>
          <w:sz w:val="32"/>
          <w:szCs w:val="32"/>
        </w:rPr>
      </w:pPr>
      <w:r>
        <w:rPr>
          <w:rFonts w:ascii="仿宋" w:eastAsia="仿宋" w:hAnsi="仿宋" w:cs="仿宋" w:hint="eastAsia"/>
          <w:color w:val="1C1C1C"/>
          <w:sz w:val="32"/>
          <w:szCs w:val="32"/>
        </w:rPr>
        <w:t>总体来看，消费者未来一年的消费支出计划较为稳定。</w:t>
      </w:r>
    </w:p>
    <w:p w:rsidR="002D6C73" w:rsidRDefault="00FB6868">
      <w:pPr>
        <w:jc w:val="center"/>
        <w:rPr>
          <w:rFonts w:ascii="仿宋" w:eastAsia="仿宋" w:hAnsi="仿宋" w:cs="仿宋"/>
          <w:color w:val="1C1C1C"/>
          <w:sz w:val="32"/>
          <w:szCs w:val="32"/>
        </w:rPr>
      </w:pPr>
      <w:r>
        <w:rPr>
          <w:rFonts w:ascii="仿宋" w:eastAsia="仿宋" w:hAnsi="仿宋" w:cs="仿宋" w:hint="eastAsia"/>
          <w:noProof/>
          <w:color w:val="1C1C1C"/>
          <w:sz w:val="32"/>
          <w:szCs w:val="32"/>
        </w:rPr>
        <w:drawing>
          <wp:inline distT="0" distB="0" distL="114300" distR="114300">
            <wp:extent cx="4727575" cy="2476500"/>
            <wp:effectExtent l="0" t="0" r="15875"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图20 未来一年是否计划增加在日常消费方面的支出</w:t>
      </w:r>
    </w:p>
    <w:p w:rsidR="002D6C73" w:rsidRDefault="00FB6868">
      <w:pPr>
        <w:pStyle w:val="3"/>
        <w:rPr>
          <w:rFonts w:ascii="仿宋" w:eastAsia="仿宋" w:hAnsi="仿宋" w:cs="仿宋"/>
          <w:sz w:val="32"/>
          <w:szCs w:val="32"/>
        </w:rPr>
      </w:pPr>
      <w:bookmarkStart w:id="72" w:name="_Toc25810"/>
      <w:bookmarkStart w:id="73" w:name="_Toc62721778"/>
      <w:r>
        <w:rPr>
          <w:rFonts w:ascii="仿宋" w:eastAsia="仿宋" w:hAnsi="仿宋" w:cs="仿宋" w:hint="eastAsia"/>
          <w:sz w:val="32"/>
          <w:szCs w:val="32"/>
        </w:rPr>
        <w:t>（三）消费者对于未来一年的消费信心</w:t>
      </w:r>
      <w:bookmarkEnd w:id="72"/>
      <w:bookmarkEnd w:id="73"/>
    </w:p>
    <w:p w:rsidR="002D6C73" w:rsidRDefault="00FB6868">
      <w:pPr>
        <w:ind w:firstLineChars="200" w:firstLine="640"/>
        <w:jc w:val="both"/>
        <w:rPr>
          <w:rFonts w:ascii="方正小标宋简体" w:eastAsia="方正小标宋简体" w:hAnsi="华文中宋" w:cs="华文中宋"/>
          <w:b/>
          <w:bCs/>
          <w:sz w:val="28"/>
          <w:szCs w:val="28"/>
        </w:rPr>
      </w:pPr>
      <w:r>
        <w:rPr>
          <w:rFonts w:ascii="仿宋" w:eastAsia="仿宋" w:hAnsi="仿宋" w:cs="仿宋" w:hint="eastAsia"/>
          <w:sz w:val="32"/>
          <w:szCs w:val="32"/>
        </w:rPr>
        <w:t>从信心预期来看，百分制下全国100个城市消费者信心得分为82.87分，相比于2021年的信心得分提高了4.11分。参照2021年度消费者满意度得分标准进行衡量，得分及增长趋势基本保持一致，尽管经济发展预期有所波动，但消费者仍呈现出较强的消费信心。</w:t>
      </w:r>
      <w:r>
        <w:rPr>
          <w:rFonts w:ascii="方正小标宋简体" w:eastAsia="方正小标宋简体" w:hAnsi="华文中宋" w:cs="华文中宋"/>
          <w:b/>
          <w:bCs/>
          <w:sz w:val="28"/>
          <w:szCs w:val="28"/>
        </w:rPr>
        <w:br w:type="page"/>
      </w:r>
    </w:p>
    <w:p w:rsidR="002D6C73" w:rsidRDefault="002D6C73">
      <w:pPr>
        <w:spacing w:line="400" w:lineRule="exact"/>
        <w:rPr>
          <w:rFonts w:ascii="方正小标宋简体" w:eastAsia="方正小标宋简体" w:hAnsi="华文中宋" w:cs="华文中宋"/>
          <w:b/>
          <w:bCs/>
          <w:sz w:val="28"/>
          <w:szCs w:val="28"/>
        </w:rPr>
      </w:pPr>
    </w:p>
    <w:p w:rsidR="002D6C73" w:rsidRDefault="00FB6868">
      <w:pPr>
        <w:pStyle w:val="1"/>
        <w:spacing w:beforeLines="100" w:before="312" w:afterLines="100" w:after="312"/>
        <w:jc w:val="center"/>
        <w:rPr>
          <w:rFonts w:ascii="方正小标宋简体" w:eastAsia="方正小标宋简体" w:hAnsi="华文中宋" w:cs="华文中宋"/>
          <w:b w:val="0"/>
          <w:bCs/>
          <w:sz w:val="40"/>
          <w:szCs w:val="28"/>
        </w:rPr>
      </w:pPr>
      <w:bookmarkStart w:id="74" w:name="_Toc62721779"/>
      <w:bookmarkStart w:id="75" w:name="_Toc11993"/>
      <w:r>
        <w:rPr>
          <w:rFonts w:ascii="方正小标宋简体" w:eastAsia="方正小标宋简体" w:hAnsi="华文中宋" w:cs="华文中宋" w:hint="eastAsia"/>
          <w:b w:val="0"/>
          <w:bCs/>
          <w:sz w:val="40"/>
          <w:szCs w:val="28"/>
        </w:rPr>
        <w:t>第五部分  关于提高消费者满意度的建议</w:t>
      </w:r>
      <w:bookmarkEnd w:id="74"/>
      <w:bookmarkEnd w:id="75"/>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加强消费者权益保护、营造安全放心消费环境是发挥消费对经济发展基础性作用的必要保障，更是贯彻落实以人民为中心发展思想，不断提高人民群众获得感、幸福感、安全感的必然要求。《“十四五”市场监管现代化规划》明确指出，要“有效防范市场运行风险，维护市场安全，保障人民群众放心消费”。</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从2021年1</w:t>
      </w:r>
      <w:r>
        <w:rPr>
          <w:rFonts w:ascii="仿宋" w:eastAsia="仿宋" w:hAnsi="仿宋" w:cs="仿宋"/>
          <w:color w:val="1C1C1C"/>
          <w:sz w:val="32"/>
          <w:szCs w:val="32"/>
        </w:rPr>
        <w:t>00</w:t>
      </w:r>
      <w:r>
        <w:rPr>
          <w:rFonts w:ascii="仿宋" w:eastAsia="仿宋" w:hAnsi="仿宋" w:cs="仿宋" w:hint="eastAsia"/>
          <w:color w:val="1C1C1C"/>
          <w:sz w:val="32"/>
          <w:szCs w:val="32"/>
        </w:rPr>
        <w:t>个城市消费者满意度测评结果来看，消费者满意度稳步提升，特别是消费维权相关工作受到消费者认可；各城市得分表现也呈现出相对的稳定性。回顾5年来的消费环境建设进程和满意度测评情况，百城市满意度得分最低限绝对值持续拉高，消费信心总体保持平稳。随着消费者需求的不断升级，还需持续优化各方面工作，切实提升消费者满意度。为充分发挥消费者满意度测评工作效能，结合连续五年满意度测评结果，中国消费者协会提出如下意见建议：</w:t>
      </w:r>
      <w:bookmarkStart w:id="76" w:name="_Toc62721780"/>
    </w:p>
    <w:p w:rsidR="002D6C73" w:rsidRDefault="00FB6868">
      <w:pPr>
        <w:pStyle w:val="2"/>
        <w:ind w:firstLineChars="200" w:firstLine="640"/>
        <w:rPr>
          <w:rFonts w:ascii="黑体" w:eastAsia="黑体" w:hAnsi="黑体" w:cs="黑体"/>
          <w:b w:val="0"/>
          <w:bCs/>
          <w:i w:val="0"/>
          <w:iCs/>
          <w:sz w:val="32"/>
          <w:szCs w:val="32"/>
        </w:rPr>
      </w:pPr>
      <w:bookmarkStart w:id="77" w:name="_Toc14181"/>
      <w:r>
        <w:rPr>
          <w:rFonts w:ascii="黑体" w:eastAsia="黑体" w:hAnsi="黑体" w:cs="黑体" w:hint="eastAsia"/>
          <w:b w:val="0"/>
          <w:bCs/>
          <w:i w:val="0"/>
          <w:iCs/>
          <w:sz w:val="32"/>
          <w:szCs w:val="32"/>
        </w:rPr>
        <w:t>一、持续优化消费供给，深入激发消费潜力</w:t>
      </w:r>
      <w:bookmarkEnd w:id="77"/>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过去一年来，国内疫情防控逐步常态化，国内消费活力得到一定释放。据国家统计局数据，2021年全国社会消费品零售总额达</w:t>
      </w:r>
      <w:r>
        <w:rPr>
          <w:rFonts w:ascii="仿宋" w:eastAsia="仿宋" w:hAnsi="仿宋" w:cs="仿宋"/>
          <w:color w:val="1C1C1C"/>
          <w:sz w:val="32"/>
          <w:szCs w:val="32"/>
        </w:rPr>
        <w:t>440823</w:t>
      </w:r>
      <w:r>
        <w:rPr>
          <w:rFonts w:ascii="仿宋" w:eastAsia="仿宋" w:hAnsi="仿宋" w:cs="仿宋" w:hint="eastAsia"/>
          <w:color w:val="1C1C1C"/>
          <w:sz w:val="32"/>
          <w:szCs w:val="32"/>
        </w:rPr>
        <w:t>亿元，较2020年增长12.5%，较2019年增长7.1%，体现出国内消费规模显著回升，但增速延续前些年的逐步放缓态势，仍待进一步激发消费潜力。同时，根据消费者满意度调查结果，只有供给创新性成为消费供给的显著短板，反映出当前消费</w:t>
      </w:r>
      <w:r>
        <w:rPr>
          <w:rFonts w:ascii="仿宋" w:eastAsia="仿宋" w:hAnsi="仿宋" w:cs="仿宋" w:hint="eastAsia"/>
          <w:color w:val="1C1C1C"/>
          <w:sz w:val="32"/>
          <w:szCs w:val="32"/>
        </w:rPr>
        <w:lastRenderedPageBreak/>
        <w:t>需求正在快速升级，消费供给与消费需求不能有效匹配。</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持续优化消费供给要充分认识、科学把握供需促进、消费增长、满意度提升中“稳”与“进”、“快”与“慢”等辩证关系，统筹消费供给和消费需求、潜力增长和预期差异之间的关系。</w:t>
      </w:r>
      <w:r>
        <w:rPr>
          <w:rFonts w:ascii="仿宋" w:eastAsia="仿宋" w:hAnsi="仿宋" w:cs="仿宋" w:hint="eastAsia"/>
          <w:b/>
          <w:color w:val="1C1C1C"/>
          <w:sz w:val="32"/>
          <w:szCs w:val="32"/>
        </w:rPr>
        <w:t>一方面</w:t>
      </w:r>
      <w:r>
        <w:rPr>
          <w:rFonts w:ascii="仿宋" w:eastAsia="仿宋" w:hAnsi="仿宋" w:cs="仿宋" w:hint="eastAsia"/>
          <w:color w:val="1C1C1C"/>
          <w:sz w:val="32"/>
          <w:szCs w:val="32"/>
        </w:rPr>
        <w:t>，充分激发供给侧活力，包括通过加强政策支持、改进服务及提高效率等优化营商环境，降低供给主体制度性成本，以及引导供给主体参与到产业链条的多个环节当中，多维度提升产品服务体系，打造独特性和关键性优势，坚持稳字当头、稳中求进，降低经营风险；</w:t>
      </w:r>
      <w:r>
        <w:rPr>
          <w:rFonts w:ascii="仿宋" w:eastAsia="仿宋" w:hAnsi="仿宋" w:cs="仿宋" w:hint="eastAsia"/>
          <w:b/>
          <w:color w:val="1C1C1C"/>
          <w:sz w:val="32"/>
          <w:szCs w:val="32"/>
        </w:rPr>
        <w:t>另一方面</w:t>
      </w:r>
      <w:r>
        <w:rPr>
          <w:rFonts w:ascii="仿宋" w:eastAsia="仿宋" w:hAnsi="仿宋" w:cs="仿宋" w:hint="eastAsia"/>
          <w:color w:val="1C1C1C"/>
          <w:sz w:val="32"/>
          <w:szCs w:val="32"/>
        </w:rPr>
        <w:t>，着力提升供给创新性，在确保现有消费稳定性、丰富性、多样性的前提下，以充分了解消费需求、消费升级的现实状况形势为基础，把握供给创新方向，依托新技术新应用探索发展新业态、新模式下的新型消费，补齐消费供给短板，推动消费提质扩容，推动可持续消费。</w:t>
      </w:r>
    </w:p>
    <w:p w:rsidR="002D6C73" w:rsidRDefault="00FB6868">
      <w:pPr>
        <w:pStyle w:val="2"/>
        <w:ind w:firstLineChars="200" w:firstLine="640"/>
        <w:rPr>
          <w:rFonts w:ascii="黑体" w:eastAsia="黑体" w:hAnsi="黑体" w:cs="黑体"/>
          <w:b w:val="0"/>
          <w:bCs/>
          <w:i w:val="0"/>
          <w:iCs/>
          <w:sz w:val="32"/>
          <w:szCs w:val="32"/>
        </w:rPr>
      </w:pPr>
      <w:bookmarkStart w:id="78" w:name="_Toc8397"/>
      <w:r>
        <w:rPr>
          <w:rFonts w:ascii="黑体" w:eastAsia="黑体" w:hAnsi="黑体" w:cs="黑体" w:hint="eastAsia"/>
          <w:b w:val="0"/>
          <w:bCs/>
          <w:i w:val="0"/>
          <w:iCs/>
          <w:sz w:val="32"/>
          <w:szCs w:val="32"/>
        </w:rPr>
        <w:t>二、全面改善消费环境，大力提升消费信心</w:t>
      </w:r>
      <w:bookmarkEnd w:id="78"/>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近年来，各级相关部门始终着力营造安全放心的消费环境，取得良好成效，百城市消费者消费环境满意度从2017年的72.9分提高到目前的80.5分，消费信心得分较去年同期提升4.1分，目前达82.9分。同时，消费领域虚假宣传、支付风险、信息泄露等环境问题仍有发生，消费者的公平交易权、安全权、监督权等还得不到充分实现，在很大程度上影响着消费者满意度和消费信心，制约着消费的进一步扩容。消费者满意度调查显示，消费环境方面，消费者对于自主选择权、知情权等评价较高，对于信</w:t>
      </w:r>
      <w:r>
        <w:rPr>
          <w:rFonts w:ascii="仿宋" w:eastAsia="仿宋" w:hAnsi="仿宋" w:cs="仿宋" w:hint="eastAsia"/>
          <w:color w:val="1C1C1C"/>
          <w:sz w:val="32"/>
          <w:szCs w:val="32"/>
        </w:rPr>
        <w:lastRenderedPageBreak/>
        <w:t>息真实、交易安全等评价显著偏低，亟需补齐短板，全面改善消费环境。</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建议如下：</w:t>
      </w:r>
      <w:r>
        <w:rPr>
          <w:rFonts w:ascii="仿宋" w:eastAsia="仿宋" w:hAnsi="仿宋" w:cs="仿宋" w:hint="eastAsia"/>
          <w:b/>
          <w:color w:val="1C1C1C"/>
          <w:sz w:val="32"/>
          <w:szCs w:val="32"/>
        </w:rPr>
        <w:t>一是</w:t>
      </w:r>
      <w:r>
        <w:rPr>
          <w:rFonts w:ascii="仿宋" w:eastAsia="仿宋" w:hAnsi="仿宋" w:cs="仿宋" w:hint="eastAsia"/>
          <w:color w:val="1C1C1C"/>
          <w:sz w:val="32"/>
          <w:szCs w:val="32"/>
        </w:rPr>
        <w:t>构建更加公平互信的消费环境，严厉打击虚假宣传、消费欺诈等违法违规行为，建立健全消费领域信用评价监管机制和风险评估机制，让交易信息更加真实可信、让交易过程更加公平可靠、让交易结果更加安全可感。</w:t>
      </w:r>
      <w:r>
        <w:rPr>
          <w:rFonts w:ascii="仿宋" w:eastAsia="仿宋" w:hAnsi="仿宋" w:cs="仿宋" w:hint="eastAsia"/>
          <w:b/>
          <w:color w:val="1C1C1C"/>
          <w:sz w:val="32"/>
          <w:szCs w:val="32"/>
        </w:rPr>
        <w:t>二是</w:t>
      </w:r>
      <w:r>
        <w:rPr>
          <w:rFonts w:ascii="仿宋" w:eastAsia="仿宋" w:hAnsi="仿宋" w:cs="仿宋" w:hint="eastAsia"/>
          <w:color w:val="1C1C1C"/>
          <w:sz w:val="32"/>
          <w:szCs w:val="32"/>
        </w:rPr>
        <w:t>切实保障消费安全，坚持问题导向，围绕交易安全、个人信息保护等重点难点问题，做好消费舆情监测分析，建立健全高效便捷的应急反应机制，不断推进消费规则完善，构建安全的消费环境。</w:t>
      </w:r>
      <w:r>
        <w:rPr>
          <w:rFonts w:ascii="仿宋" w:eastAsia="仿宋" w:hAnsi="仿宋" w:cs="仿宋" w:hint="eastAsia"/>
          <w:b/>
          <w:color w:val="1C1C1C"/>
          <w:sz w:val="32"/>
          <w:szCs w:val="32"/>
        </w:rPr>
        <w:t>三是</w:t>
      </w:r>
      <w:r>
        <w:rPr>
          <w:rFonts w:ascii="仿宋" w:eastAsia="仿宋" w:hAnsi="仿宋" w:cs="仿宋" w:hint="eastAsia"/>
          <w:color w:val="1C1C1C"/>
          <w:sz w:val="32"/>
          <w:szCs w:val="32"/>
        </w:rPr>
        <w:t>着力提高城乡居民消费能力与消费信心，在新冠疫情持续影响下，稳生产、</w:t>
      </w:r>
      <w:proofErr w:type="gramStart"/>
      <w:r>
        <w:rPr>
          <w:rFonts w:ascii="仿宋" w:eastAsia="仿宋" w:hAnsi="仿宋" w:cs="仿宋" w:hint="eastAsia"/>
          <w:color w:val="1C1C1C"/>
          <w:sz w:val="32"/>
          <w:szCs w:val="32"/>
        </w:rPr>
        <w:t>稳就业</w:t>
      </w:r>
      <w:proofErr w:type="gramEnd"/>
      <w:r>
        <w:rPr>
          <w:rFonts w:ascii="仿宋" w:eastAsia="仿宋" w:hAnsi="仿宋" w:cs="仿宋" w:hint="eastAsia"/>
          <w:color w:val="1C1C1C"/>
          <w:sz w:val="32"/>
          <w:szCs w:val="32"/>
        </w:rPr>
        <w:t>是稳定消费的必然要求，提高居民收入、构建居民收入占更大比例的国民收入分配格局，既是共同富裕的必然要求，也是提高消费能力的必要条件。</w:t>
      </w:r>
      <w:r>
        <w:rPr>
          <w:rFonts w:ascii="仿宋" w:eastAsia="仿宋" w:hAnsi="仿宋" w:cs="仿宋" w:hint="eastAsia"/>
          <w:b/>
          <w:color w:val="1C1C1C"/>
          <w:sz w:val="32"/>
          <w:szCs w:val="32"/>
        </w:rPr>
        <w:t>此外</w:t>
      </w:r>
      <w:r>
        <w:rPr>
          <w:rFonts w:ascii="仿宋" w:eastAsia="仿宋" w:hAnsi="仿宋" w:cs="仿宋" w:hint="eastAsia"/>
          <w:color w:val="1C1C1C"/>
          <w:sz w:val="32"/>
          <w:szCs w:val="32"/>
        </w:rPr>
        <w:t>，要充分保障人民基本生活与消费，提升全社会理性消费认知、消费决策，提升消费素养，有效降低租房买房、教育、就医等一次性大额消费对居民消费的挤出效应，扩充大众消费支出的选择区间。</w:t>
      </w:r>
    </w:p>
    <w:p w:rsidR="002D6C73" w:rsidRDefault="00FB6868">
      <w:pPr>
        <w:pStyle w:val="2"/>
        <w:ind w:firstLineChars="200" w:firstLine="640"/>
        <w:rPr>
          <w:rFonts w:ascii="黑体" w:eastAsia="黑体" w:hAnsi="黑体" w:cs="黑体"/>
          <w:b w:val="0"/>
          <w:bCs/>
          <w:i w:val="0"/>
          <w:iCs/>
          <w:sz w:val="32"/>
          <w:szCs w:val="32"/>
        </w:rPr>
      </w:pPr>
      <w:bookmarkStart w:id="79" w:name="_Toc30366"/>
      <w:r>
        <w:rPr>
          <w:rFonts w:ascii="黑体" w:eastAsia="黑体" w:hAnsi="黑体" w:cs="黑体" w:hint="eastAsia"/>
          <w:b w:val="0"/>
          <w:bCs/>
          <w:i w:val="0"/>
          <w:iCs/>
          <w:sz w:val="32"/>
          <w:szCs w:val="32"/>
        </w:rPr>
        <w:t>三、加速</w:t>
      </w:r>
      <w:proofErr w:type="gramStart"/>
      <w:r>
        <w:rPr>
          <w:rFonts w:ascii="黑体" w:eastAsia="黑体" w:hAnsi="黑体" w:cs="黑体" w:hint="eastAsia"/>
          <w:b w:val="0"/>
          <w:bCs/>
          <w:i w:val="0"/>
          <w:iCs/>
          <w:sz w:val="32"/>
          <w:szCs w:val="32"/>
        </w:rPr>
        <w:t>完善维</w:t>
      </w:r>
      <w:proofErr w:type="gramEnd"/>
      <w:r>
        <w:rPr>
          <w:rFonts w:ascii="黑体" w:eastAsia="黑体" w:hAnsi="黑体" w:cs="黑体" w:hint="eastAsia"/>
          <w:b w:val="0"/>
          <w:bCs/>
          <w:i w:val="0"/>
          <w:iCs/>
          <w:sz w:val="32"/>
          <w:szCs w:val="32"/>
        </w:rPr>
        <w:t>权体系，切实强化权益保护</w:t>
      </w:r>
      <w:bookmarkEnd w:id="79"/>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近年来，随着消费需求快速升级以及新</w:t>
      </w:r>
      <w:proofErr w:type="gramStart"/>
      <w:r>
        <w:rPr>
          <w:rFonts w:ascii="仿宋" w:eastAsia="仿宋" w:hAnsi="仿宋" w:cs="仿宋" w:hint="eastAsia"/>
          <w:color w:val="1C1C1C"/>
          <w:sz w:val="32"/>
          <w:szCs w:val="32"/>
        </w:rPr>
        <w:t>业态新模式</w:t>
      </w:r>
      <w:proofErr w:type="gramEnd"/>
      <w:r>
        <w:rPr>
          <w:rFonts w:ascii="仿宋" w:eastAsia="仿宋" w:hAnsi="仿宋" w:cs="仿宋" w:hint="eastAsia"/>
          <w:color w:val="1C1C1C"/>
          <w:sz w:val="32"/>
          <w:szCs w:val="32"/>
        </w:rPr>
        <w:t>不断涌现，消费者权益保护问题越发受到社会各界高度关注，《“十四五”市场监管现代化规划》明确将“强化消费者权益保护”列为重点任务之一。完善的维权体系是保障消费者权益、提升消费者满意度的必要基础，2021年消费者满意度测评结果也表明，消费维权</w:t>
      </w:r>
      <w:r>
        <w:rPr>
          <w:rFonts w:ascii="仿宋" w:eastAsia="仿宋" w:hAnsi="仿宋" w:cs="仿宋" w:hint="eastAsia"/>
          <w:color w:val="1C1C1C"/>
          <w:sz w:val="32"/>
          <w:szCs w:val="32"/>
        </w:rPr>
        <w:lastRenderedPageBreak/>
        <w:t>得分的进步能够显著有力地提升消费者整体满意度得分水平。但面对消费者维权意识和行动的增强增多，面对市场矛盾和消费中的新情况、新问题，现有的维权体系和维权力量仍然存在一定的不完备、不适应，需要加大力度、加紧速度推动完善。</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建议可以从三个层面着手：</w:t>
      </w:r>
      <w:r>
        <w:rPr>
          <w:rFonts w:ascii="仿宋" w:eastAsia="仿宋" w:hAnsi="仿宋" w:cs="仿宋" w:hint="eastAsia"/>
          <w:b/>
          <w:color w:val="1C1C1C"/>
          <w:sz w:val="32"/>
          <w:szCs w:val="32"/>
        </w:rPr>
        <w:t>首先</w:t>
      </w:r>
      <w:r>
        <w:rPr>
          <w:rFonts w:ascii="仿宋" w:eastAsia="仿宋" w:hAnsi="仿宋" w:cs="仿宋" w:hint="eastAsia"/>
          <w:color w:val="1C1C1C"/>
          <w:sz w:val="32"/>
          <w:szCs w:val="32"/>
        </w:rPr>
        <w:t>，要持续扩大维</w:t>
      </w:r>
      <w:proofErr w:type="gramStart"/>
      <w:r>
        <w:rPr>
          <w:rFonts w:ascii="仿宋" w:eastAsia="仿宋" w:hAnsi="仿宋" w:cs="仿宋" w:hint="eastAsia"/>
          <w:color w:val="1C1C1C"/>
          <w:sz w:val="32"/>
          <w:szCs w:val="32"/>
        </w:rPr>
        <w:t>权渠道</w:t>
      </w:r>
      <w:proofErr w:type="gramEnd"/>
      <w:r>
        <w:rPr>
          <w:rFonts w:ascii="仿宋" w:eastAsia="仿宋" w:hAnsi="仿宋" w:cs="仿宋" w:hint="eastAsia"/>
          <w:color w:val="1C1C1C"/>
          <w:sz w:val="32"/>
          <w:szCs w:val="32"/>
        </w:rPr>
        <w:t>建设和维权救济支持，通过广泛深入的教育引导和维权宣传，让广大消费者知道何为维权和为何维权，让消费者对社会维权体系、维权效能能够充分感知和正确认识，甚至主动成为共建维权体系的重要参与者。</w:t>
      </w:r>
      <w:r>
        <w:rPr>
          <w:rFonts w:ascii="仿宋" w:eastAsia="仿宋" w:hAnsi="仿宋" w:cs="仿宋" w:hint="eastAsia"/>
          <w:b/>
          <w:color w:val="1C1C1C"/>
          <w:sz w:val="32"/>
          <w:szCs w:val="32"/>
        </w:rPr>
        <w:t>其次</w:t>
      </w:r>
      <w:r>
        <w:rPr>
          <w:rFonts w:ascii="仿宋" w:eastAsia="仿宋" w:hAnsi="仿宋" w:cs="仿宋" w:hint="eastAsia"/>
          <w:color w:val="1C1C1C"/>
          <w:sz w:val="32"/>
          <w:szCs w:val="32"/>
        </w:rPr>
        <w:t>，应持续加强新业态、新模式、新问题研究和预判，针对直播带货、社</w:t>
      </w:r>
      <w:proofErr w:type="gramStart"/>
      <w:r>
        <w:rPr>
          <w:rFonts w:ascii="仿宋" w:eastAsia="仿宋" w:hAnsi="仿宋" w:cs="仿宋" w:hint="eastAsia"/>
          <w:color w:val="1C1C1C"/>
          <w:sz w:val="32"/>
          <w:szCs w:val="32"/>
        </w:rPr>
        <w:t>交电商</w:t>
      </w:r>
      <w:proofErr w:type="gramEnd"/>
      <w:r>
        <w:rPr>
          <w:rFonts w:ascii="仿宋" w:eastAsia="仿宋" w:hAnsi="仿宋" w:cs="仿宋" w:hint="eastAsia"/>
          <w:color w:val="1C1C1C"/>
          <w:sz w:val="32"/>
          <w:szCs w:val="32"/>
        </w:rPr>
        <w:t>和炒作营销等热点难点，了解消费逻辑、风险问题和维权态势，明确相关消费业态中各方主体的责任和义务，特别是建立健全更加适应新业态的维</w:t>
      </w:r>
      <w:proofErr w:type="gramStart"/>
      <w:r>
        <w:rPr>
          <w:rFonts w:ascii="仿宋" w:eastAsia="仿宋" w:hAnsi="仿宋" w:cs="仿宋" w:hint="eastAsia"/>
          <w:color w:val="1C1C1C"/>
          <w:sz w:val="32"/>
          <w:szCs w:val="32"/>
        </w:rPr>
        <w:t>权渠</w:t>
      </w:r>
      <w:proofErr w:type="gramEnd"/>
      <w:r>
        <w:rPr>
          <w:rFonts w:ascii="仿宋" w:eastAsia="仿宋" w:hAnsi="仿宋" w:cs="仿宋" w:hint="eastAsia"/>
          <w:color w:val="1C1C1C"/>
          <w:sz w:val="32"/>
          <w:szCs w:val="32"/>
        </w:rPr>
        <w:t>道和有效服务，保障消费安全、促进消费公平。</w:t>
      </w:r>
      <w:r>
        <w:rPr>
          <w:rFonts w:ascii="仿宋" w:eastAsia="仿宋" w:hAnsi="仿宋" w:cs="仿宋" w:hint="eastAsia"/>
          <w:b/>
          <w:color w:val="1C1C1C"/>
          <w:sz w:val="32"/>
          <w:szCs w:val="32"/>
        </w:rPr>
        <w:t>最后</w:t>
      </w:r>
      <w:r>
        <w:rPr>
          <w:rFonts w:ascii="仿宋" w:eastAsia="仿宋" w:hAnsi="仿宋" w:cs="仿宋" w:hint="eastAsia"/>
          <w:color w:val="1C1C1C"/>
          <w:sz w:val="32"/>
          <w:szCs w:val="32"/>
        </w:rPr>
        <w:t>，应不断加大维权工作力度，加强维权力量供给，持续推进多层次、多维度、多部门消费者权益保护对话与合作，不断扩大消费维</w:t>
      </w:r>
      <w:proofErr w:type="gramStart"/>
      <w:r>
        <w:rPr>
          <w:rFonts w:ascii="仿宋" w:eastAsia="仿宋" w:hAnsi="仿宋" w:cs="仿宋" w:hint="eastAsia"/>
          <w:color w:val="1C1C1C"/>
          <w:sz w:val="32"/>
          <w:szCs w:val="32"/>
        </w:rPr>
        <w:t>权事件</w:t>
      </w:r>
      <w:proofErr w:type="gramEnd"/>
      <w:r>
        <w:rPr>
          <w:rFonts w:ascii="仿宋" w:eastAsia="仿宋" w:hAnsi="仿宋" w:cs="仿宋" w:hint="eastAsia"/>
          <w:color w:val="1C1C1C"/>
          <w:sz w:val="32"/>
          <w:szCs w:val="32"/>
        </w:rPr>
        <w:t>处理覆盖面，提升消费者维权行动跟进效率和处理成功率，为守护安全、畅通消费筑牢维权保障基础。</w:t>
      </w:r>
    </w:p>
    <w:p w:rsidR="002D6C73" w:rsidRDefault="00FB6868">
      <w:pPr>
        <w:pStyle w:val="2"/>
        <w:ind w:firstLineChars="200" w:firstLine="640"/>
        <w:rPr>
          <w:rFonts w:ascii="黑体" w:eastAsia="黑体" w:hAnsi="黑体" w:cs="黑体"/>
          <w:b w:val="0"/>
          <w:bCs/>
          <w:i w:val="0"/>
          <w:iCs/>
          <w:sz w:val="32"/>
          <w:szCs w:val="32"/>
        </w:rPr>
      </w:pPr>
      <w:bookmarkStart w:id="80" w:name="_Toc11647"/>
      <w:r>
        <w:rPr>
          <w:rFonts w:ascii="黑体" w:eastAsia="黑体" w:hAnsi="黑体" w:cs="黑体" w:hint="eastAsia"/>
          <w:b w:val="0"/>
          <w:bCs/>
          <w:i w:val="0"/>
          <w:iCs/>
          <w:sz w:val="32"/>
          <w:szCs w:val="32"/>
        </w:rPr>
        <w:t>四、着力强化消费监管，不断提高监管效能</w:t>
      </w:r>
      <w:bookmarkEnd w:id="80"/>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健康的消费市场是消费持续提质扩容的有效保障，消费市场各环节的平稳运转都需要经营者、消费者和有关监管部门的共同努力和有效交互。经营者应当具备充分的主体责任意识，消费者抱持理性健康的消费观念，都可以对优化消费市场起到积极作用，</w:t>
      </w:r>
      <w:r>
        <w:rPr>
          <w:rFonts w:ascii="仿宋" w:eastAsia="仿宋" w:hAnsi="仿宋" w:cs="仿宋" w:hint="eastAsia"/>
          <w:color w:val="1C1C1C"/>
          <w:sz w:val="32"/>
          <w:szCs w:val="32"/>
        </w:rPr>
        <w:lastRenderedPageBreak/>
        <w:t>但这种作用具有较强的主观性。这就要求监管部门建立现代化、全面性的监管体系，运用有力的监管手段，提高监管效能，从而为各类参与者提供健康发展的消费市场，持续释放消费作为经济发展引擎的重要作用。</w:t>
      </w:r>
    </w:p>
    <w:p w:rsidR="002D6C73" w:rsidRDefault="00FB6868">
      <w:pPr>
        <w:pStyle w:val="af9"/>
        <w:ind w:firstLine="640"/>
        <w:jc w:val="both"/>
        <w:rPr>
          <w:rFonts w:ascii="仿宋" w:eastAsia="仿宋" w:hAnsi="仿宋" w:cs="仿宋"/>
          <w:sz w:val="32"/>
          <w:szCs w:val="32"/>
        </w:rPr>
      </w:pPr>
      <w:r>
        <w:rPr>
          <w:rFonts w:ascii="仿宋" w:eastAsia="仿宋" w:hAnsi="仿宋" w:cs="仿宋" w:hint="eastAsia"/>
          <w:color w:val="1C1C1C"/>
          <w:sz w:val="32"/>
          <w:szCs w:val="32"/>
        </w:rPr>
        <w:t>建议如下：</w:t>
      </w:r>
      <w:r>
        <w:rPr>
          <w:rFonts w:ascii="仿宋" w:eastAsia="仿宋" w:hAnsi="仿宋" w:cs="仿宋" w:hint="eastAsia"/>
          <w:b/>
          <w:color w:val="1C1C1C"/>
          <w:sz w:val="32"/>
          <w:szCs w:val="32"/>
        </w:rPr>
        <w:t>一是</w:t>
      </w:r>
      <w:r>
        <w:rPr>
          <w:rFonts w:ascii="仿宋" w:eastAsia="仿宋" w:hAnsi="仿宋" w:cs="仿宋" w:hint="eastAsia"/>
          <w:color w:val="1C1C1C"/>
          <w:sz w:val="32"/>
          <w:szCs w:val="32"/>
        </w:rPr>
        <w:t>加速完善监管执法机制建设，消费市场入口</w:t>
      </w:r>
      <w:proofErr w:type="gramStart"/>
      <w:r>
        <w:rPr>
          <w:rFonts w:ascii="仿宋" w:eastAsia="仿宋" w:hAnsi="仿宋" w:cs="仿宋" w:hint="eastAsia"/>
          <w:color w:val="1C1C1C"/>
          <w:sz w:val="32"/>
          <w:szCs w:val="32"/>
        </w:rPr>
        <w:t>侧健全</w:t>
      </w:r>
      <w:proofErr w:type="gramEnd"/>
      <w:r>
        <w:rPr>
          <w:rFonts w:ascii="仿宋" w:eastAsia="仿宋" w:hAnsi="仿宋" w:cs="仿宋" w:hint="eastAsia"/>
          <w:color w:val="1C1C1C"/>
          <w:sz w:val="32"/>
          <w:szCs w:val="32"/>
        </w:rPr>
        <w:t>公平竞争审查机制，重点关注不公平交易、不正当竞争甚至垄断现象，出口侧强化质量水平监管执法，明确质量标准与惩戒措施，健全专项整治行动机制；</w:t>
      </w:r>
      <w:r>
        <w:rPr>
          <w:rFonts w:ascii="仿宋" w:eastAsia="仿宋" w:hAnsi="仿宋" w:cs="仿宋" w:hint="eastAsia"/>
          <w:b/>
          <w:color w:val="1C1C1C"/>
          <w:sz w:val="32"/>
          <w:szCs w:val="32"/>
        </w:rPr>
        <w:t>二是</w:t>
      </w:r>
      <w:r>
        <w:rPr>
          <w:rFonts w:ascii="仿宋" w:eastAsia="仿宋" w:hAnsi="仿宋" w:cs="仿宋" w:hint="eastAsia"/>
          <w:color w:val="1C1C1C"/>
          <w:sz w:val="32"/>
          <w:szCs w:val="32"/>
        </w:rPr>
        <w:t>进一步发挥部门协作机制效力，在厘清各相关部门职责边界的基础上，推进实施部门间数据共享，</w:t>
      </w:r>
      <w:r>
        <w:rPr>
          <w:rFonts w:ascii="仿宋" w:eastAsia="仿宋" w:hAnsi="仿宋" w:cs="仿宋" w:hint="eastAsia"/>
          <w:sz w:val="32"/>
          <w:szCs w:val="32"/>
        </w:rPr>
        <w:t>加强重点事项通报与协同管理，实现有效的衔接联动；</w:t>
      </w:r>
      <w:r>
        <w:rPr>
          <w:rFonts w:ascii="仿宋" w:eastAsia="仿宋" w:hAnsi="仿宋" w:cs="仿宋" w:hint="eastAsia"/>
          <w:b/>
          <w:sz w:val="32"/>
          <w:szCs w:val="32"/>
        </w:rPr>
        <w:t>三是</w:t>
      </w:r>
      <w:r>
        <w:rPr>
          <w:rFonts w:ascii="仿宋" w:eastAsia="仿宋" w:hAnsi="仿宋" w:cs="仿宋" w:hint="eastAsia"/>
          <w:sz w:val="32"/>
          <w:szCs w:val="32"/>
        </w:rPr>
        <w:t>注重技术助力监管，数字经济的蓬勃发展已对监管提出新的要求，必须引进专业化人才，综合运用云计算、大数据、人工智能等技术手段，建立健全技术监管平台，实现智能化高效化的现代监管。</w:t>
      </w:r>
    </w:p>
    <w:p w:rsidR="002D6C73" w:rsidRDefault="00FB6868">
      <w:pPr>
        <w:pStyle w:val="2"/>
        <w:ind w:firstLineChars="200" w:firstLine="640"/>
        <w:rPr>
          <w:rFonts w:ascii="黑体" w:eastAsia="黑体" w:hAnsi="黑体" w:cs="黑体"/>
          <w:b w:val="0"/>
          <w:bCs/>
          <w:i w:val="0"/>
          <w:iCs/>
          <w:sz w:val="32"/>
          <w:szCs w:val="32"/>
        </w:rPr>
      </w:pPr>
      <w:bookmarkStart w:id="81" w:name="_Toc21643"/>
      <w:r>
        <w:rPr>
          <w:rFonts w:ascii="黑体" w:eastAsia="黑体" w:hAnsi="黑体" w:cs="黑体" w:hint="eastAsia"/>
          <w:b w:val="0"/>
          <w:bCs/>
          <w:i w:val="0"/>
          <w:iCs/>
          <w:sz w:val="32"/>
          <w:szCs w:val="32"/>
        </w:rPr>
        <w:t>五、注重加强区域互通，充分畅通市场循环</w:t>
      </w:r>
      <w:bookmarkEnd w:id="81"/>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十四五”开局之年，在以国内大循环为主体、国内国际双循环相互促进的新发展格局背景下，促进城市发展和更新，维护和完善国内统一市场愈加重要。统一市场意味着产业政策协调、要素自由流动、资源高效配置、区域间经济循环畅通，更加有利于激发消费市场的整体活力，全面促进消费，发挥消费的基础性作用。从消费者满意度的视角，可以看到不同区域呈现出较大差异，既反映出满意度较低区域的消费者对于更高质量消费的期待，</w:t>
      </w:r>
      <w:r>
        <w:rPr>
          <w:rFonts w:ascii="仿宋" w:eastAsia="仿宋" w:hAnsi="仿宋" w:cs="仿宋" w:hint="eastAsia"/>
          <w:color w:val="1C1C1C"/>
          <w:sz w:val="32"/>
          <w:szCs w:val="32"/>
        </w:rPr>
        <w:lastRenderedPageBreak/>
        <w:t>也表明区域间开放共享不足，还需引起重视。</w:t>
      </w:r>
    </w:p>
    <w:p w:rsidR="002D6C73" w:rsidRDefault="00FB6868">
      <w:pPr>
        <w:pStyle w:val="af9"/>
        <w:ind w:firstLine="640"/>
        <w:jc w:val="both"/>
        <w:rPr>
          <w:rFonts w:ascii="仿宋" w:eastAsia="仿宋" w:hAnsi="仿宋" w:cs="仿宋"/>
          <w:color w:val="1C1C1C"/>
          <w:kern w:val="0"/>
          <w:sz w:val="32"/>
          <w:szCs w:val="32"/>
        </w:rPr>
      </w:pPr>
      <w:r>
        <w:rPr>
          <w:rFonts w:ascii="仿宋" w:eastAsia="仿宋" w:hAnsi="仿宋" w:cs="仿宋" w:hint="eastAsia"/>
          <w:color w:val="1C1C1C"/>
          <w:kern w:val="0"/>
          <w:sz w:val="32"/>
          <w:szCs w:val="32"/>
        </w:rPr>
        <w:t>为此建议：</w:t>
      </w:r>
      <w:r>
        <w:rPr>
          <w:rFonts w:ascii="仿宋" w:eastAsia="仿宋" w:hAnsi="仿宋" w:cs="仿宋" w:hint="eastAsia"/>
          <w:b/>
          <w:color w:val="1C1C1C"/>
          <w:kern w:val="0"/>
          <w:sz w:val="32"/>
          <w:szCs w:val="32"/>
        </w:rPr>
        <w:t>一是</w:t>
      </w:r>
      <w:r>
        <w:rPr>
          <w:rFonts w:ascii="仿宋" w:eastAsia="仿宋" w:hAnsi="仿宋" w:cs="仿宋" w:hint="eastAsia"/>
          <w:color w:val="1C1C1C"/>
          <w:kern w:val="0"/>
          <w:sz w:val="32"/>
          <w:szCs w:val="32"/>
        </w:rPr>
        <w:t>推动构建区域协同和一体化政策体系，统筹考虑消费市场需求，促进地区和行业涉企政策、标准、规则协调统一，保障各类消费市场主体平等使用资源要素、公开公平公正参与竞争；</w:t>
      </w:r>
      <w:r>
        <w:rPr>
          <w:rFonts w:ascii="仿宋" w:eastAsia="仿宋" w:hAnsi="仿宋" w:cs="仿宋" w:hint="eastAsia"/>
          <w:b/>
          <w:color w:val="1C1C1C"/>
          <w:kern w:val="0"/>
          <w:sz w:val="32"/>
          <w:szCs w:val="32"/>
        </w:rPr>
        <w:t>二是</w:t>
      </w:r>
      <w:r>
        <w:rPr>
          <w:rFonts w:ascii="仿宋" w:eastAsia="仿宋" w:hAnsi="仿宋" w:cs="仿宋" w:hint="eastAsia"/>
          <w:color w:val="1C1C1C"/>
          <w:kern w:val="0"/>
          <w:sz w:val="32"/>
          <w:szCs w:val="32"/>
        </w:rPr>
        <w:t>加强消费供给的区域间循环，坚决落实公平竞争政策，破除地方保护和限制性负担，鼓励跨区域商贸活动和创新经营行为，鼓励开展跨区域合作试点，助力要素资源的高效流动与分配；</w:t>
      </w:r>
      <w:r>
        <w:rPr>
          <w:rFonts w:ascii="仿宋" w:eastAsia="仿宋" w:hAnsi="仿宋" w:cs="仿宋" w:hint="eastAsia"/>
          <w:b/>
          <w:color w:val="1C1C1C"/>
          <w:kern w:val="0"/>
          <w:sz w:val="32"/>
          <w:szCs w:val="32"/>
        </w:rPr>
        <w:t>三是</w:t>
      </w:r>
      <w:r>
        <w:rPr>
          <w:rFonts w:ascii="仿宋" w:eastAsia="仿宋" w:hAnsi="仿宋" w:cs="仿宋" w:hint="eastAsia"/>
          <w:color w:val="1C1C1C"/>
          <w:kern w:val="0"/>
          <w:sz w:val="32"/>
          <w:szCs w:val="32"/>
        </w:rPr>
        <w:t>加强消费者满意度在不同区域、领域的经验互通，将提升消费者满意度的理念和实践持续贯穿于城市规划和建设发展的进程中，打造城市消费特色亮点，切实提升消费者满意度，充分激发消费动能。</w:t>
      </w:r>
    </w:p>
    <w:bookmarkEnd w:id="76"/>
    <w:p w:rsidR="002D6C73" w:rsidRDefault="00FB6868">
      <w:pPr>
        <w:rPr>
          <w:rFonts w:ascii="仿宋" w:eastAsia="仿宋" w:hAnsi="仿宋" w:cs="仿宋"/>
          <w:sz w:val="32"/>
          <w:szCs w:val="32"/>
        </w:rPr>
      </w:pPr>
      <w:r>
        <w:rPr>
          <w:rFonts w:ascii="仿宋" w:eastAsia="仿宋" w:hAnsi="仿宋" w:cs="仿宋"/>
          <w:sz w:val="32"/>
          <w:szCs w:val="32"/>
        </w:rPr>
        <w:br w:type="page"/>
      </w:r>
    </w:p>
    <w:p w:rsidR="002D6C73" w:rsidRDefault="00FB6868">
      <w:pPr>
        <w:pStyle w:val="1"/>
        <w:jc w:val="center"/>
        <w:rPr>
          <w:rFonts w:ascii="方正小标宋简体" w:eastAsia="方正小标宋简体" w:hAnsi="华文中宋" w:cs="华文中宋"/>
          <w:b w:val="0"/>
          <w:bCs/>
          <w:sz w:val="40"/>
          <w:szCs w:val="28"/>
        </w:rPr>
      </w:pPr>
      <w:bookmarkStart w:id="82" w:name="_Toc24137"/>
      <w:bookmarkStart w:id="83" w:name="_Toc62721786"/>
      <w:bookmarkStart w:id="84" w:name="_Toc33719420"/>
      <w:bookmarkStart w:id="85" w:name="_Toc1147522"/>
      <w:r>
        <w:rPr>
          <w:rFonts w:ascii="方正小标宋简体" w:eastAsia="方正小标宋简体" w:hAnsi="华文中宋" w:cs="华文中宋" w:hint="eastAsia"/>
          <w:b w:val="0"/>
          <w:bCs/>
          <w:sz w:val="40"/>
          <w:szCs w:val="28"/>
        </w:rPr>
        <w:lastRenderedPageBreak/>
        <w:t>附  录</w:t>
      </w:r>
      <w:bookmarkEnd w:id="82"/>
      <w:bookmarkEnd w:id="83"/>
      <w:bookmarkEnd w:id="84"/>
    </w:p>
    <w:p w:rsidR="002D6C73" w:rsidRDefault="00FB6868">
      <w:pPr>
        <w:pStyle w:val="2"/>
        <w:jc w:val="center"/>
        <w:rPr>
          <w:rFonts w:ascii="黑体" w:eastAsia="黑体" w:hAnsi="黑体" w:cs="黑体"/>
          <w:b w:val="0"/>
          <w:bCs/>
          <w:i w:val="0"/>
          <w:iCs/>
          <w:sz w:val="32"/>
          <w:szCs w:val="28"/>
        </w:rPr>
      </w:pPr>
      <w:bookmarkStart w:id="86" w:name="_Toc62721787"/>
      <w:bookmarkStart w:id="87" w:name="_Toc33719421"/>
      <w:bookmarkStart w:id="88" w:name="_Toc24222"/>
      <w:r>
        <w:rPr>
          <w:rFonts w:ascii="黑体" w:eastAsia="黑体" w:hAnsi="黑体" w:cs="黑体" w:hint="eastAsia"/>
          <w:b w:val="0"/>
          <w:bCs/>
          <w:i w:val="0"/>
          <w:iCs/>
          <w:sz w:val="32"/>
          <w:szCs w:val="28"/>
        </w:rPr>
        <w:t>附录1  100个城市常住人口及社会消费品零售总额</w:t>
      </w:r>
      <w:bookmarkEnd w:id="85"/>
      <w:bookmarkEnd w:id="86"/>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2316"/>
        <w:gridCol w:w="1546"/>
        <w:gridCol w:w="1915"/>
        <w:gridCol w:w="2502"/>
      </w:tblGrid>
      <w:tr w:rsidR="002D6C73">
        <w:trPr>
          <w:trHeight w:val="870"/>
          <w:tblHeader/>
        </w:trPr>
        <w:tc>
          <w:tcPr>
            <w:tcW w:w="764" w:type="dxa"/>
            <w:shd w:val="clear" w:color="auto" w:fill="4472C4" w:themeFill="accent5"/>
            <w:noWrap/>
            <w:vAlign w:val="center"/>
          </w:tcPr>
          <w:p w:rsidR="002D6C73" w:rsidRDefault="00FB6868">
            <w:pPr>
              <w:jc w:val="center"/>
              <w:rPr>
                <w:rFonts w:ascii="黑体" w:eastAsia="黑体" w:hAnsi="黑体" w:cs="黑体"/>
                <w:bCs/>
                <w:color w:val="1C1C1C"/>
              </w:rPr>
            </w:pPr>
            <w:r>
              <w:rPr>
                <w:rFonts w:ascii="黑体" w:eastAsia="黑体" w:hAnsi="黑体" w:cs="黑体" w:hint="eastAsia"/>
                <w:bCs/>
                <w:color w:val="1C1C1C"/>
              </w:rPr>
              <w:t>序号</w:t>
            </w:r>
          </w:p>
        </w:tc>
        <w:tc>
          <w:tcPr>
            <w:tcW w:w="2316" w:type="dxa"/>
            <w:shd w:val="clear" w:color="auto" w:fill="4472C4" w:themeFill="accent5"/>
            <w:noWrap/>
            <w:vAlign w:val="center"/>
          </w:tcPr>
          <w:p w:rsidR="002D6C73" w:rsidRDefault="00FB6868">
            <w:pPr>
              <w:jc w:val="center"/>
              <w:rPr>
                <w:rFonts w:ascii="黑体" w:eastAsia="黑体" w:hAnsi="黑体" w:cs="黑体"/>
                <w:bCs/>
                <w:color w:val="1C1C1C"/>
              </w:rPr>
            </w:pPr>
            <w:r>
              <w:rPr>
                <w:rFonts w:ascii="黑体" w:eastAsia="黑体" w:hAnsi="黑体" w:cs="黑体" w:hint="eastAsia"/>
                <w:bCs/>
                <w:color w:val="1C1C1C"/>
              </w:rPr>
              <w:t>省份</w:t>
            </w:r>
          </w:p>
        </w:tc>
        <w:tc>
          <w:tcPr>
            <w:tcW w:w="1546" w:type="dxa"/>
            <w:shd w:val="clear" w:color="auto" w:fill="4472C4" w:themeFill="accent5"/>
            <w:noWrap/>
            <w:vAlign w:val="center"/>
          </w:tcPr>
          <w:p w:rsidR="002D6C73" w:rsidRDefault="00FB6868">
            <w:pPr>
              <w:jc w:val="center"/>
              <w:rPr>
                <w:rFonts w:ascii="黑体" w:eastAsia="黑体" w:hAnsi="黑体" w:cs="黑体"/>
                <w:bCs/>
                <w:color w:val="1C1C1C"/>
              </w:rPr>
            </w:pPr>
            <w:r>
              <w:rPr>
                <w:rFonts w:ascii="黑体" w:eastAsia="黑体" w:hAnsi="黑体" w:cs="黑体" w:hint="eastAsia"/>
                <w:bCs/>
                <w:color w:val="1C1C1C"/>
              </w:rPr>
              <w:t>城市</w:t>
            </w:r>
          </w:p>
        </w:tc>
        <w:tc>
          <w:tcPr>
            <w:tcW w:w="1915" w:type="dxa"/>
            <w:shd w:val="clear" w:color="auto" w:fill="4472C4" w:themeFill="accent5"/>
            <w:vAlign w:val="center"/>
          </w:tcPr>
          <w:p w:rsidR="002D6C73" w:rsidRDefault="00FB6868">
            <w:pPr>
              <w:jc w:val="center"/>
              <w:rPr>
                <w:rFonts w:ascii="黑体" w:eastAsia="黑体" w:hAnsi="黑体" w:cs="黑体"/>
                <w:bCs/>
                <w:color w:val="1C1C1C"/>
              </w:rPr>
            </w:pPr>
            <w:r>
              <w:rPr>
                <w:rFonts w:ascii="黑体" w:eastAsia="黑体" w:hAnsi="黑体" w:cs="黑体" w:hint="eastAsia"/>
                <w:bCs/>
                <w:color w:val="1C1C1C"/>
              </w:rPr>
              <w:t>常住人口（万人）</w:t>
            </w:r>
          </w:p>
        </w:tc>
        <w:tc>
          <w:tcPr>
            <w:tcW w:w="2502" w:type="dxa"/>
            <w:shd w:val="clear" w:color="auto" w:fill="4472C4" w:themeFill="accent5"/>
            <w:vAlign w:val="center"/>
          </w:tcPr>
          <w:p w:rsidR="002D6C73" w:rsidRDefault="00FB6868">
            <w:pPr>
              <w:jc w:val="center"/>
              <w:rPr>
                <w:rFonts w:ascii="黑体" w:eastAsia="黑体" w:hAnsi="黑体" w:cs="黑体"/>
                <w:bCs/>
                <w:color w:val="1C1C1C"/>
              </w:rPr>
            </w:pPr>
            <w:r>
              <w:rPr>
                <w:rFonts w:ascii="黑体" w:eastAsia="黑体" w:hAnsi="黑体" w:cs="黑体" w:hint="eastAsia"/>
                <w:bCs/>
                <w:color w:val="1C1C1C"/>
              </w:rPr>
              <w:t>社会消费品零售总额(亿元)</w:t>
            </w:r>
          </w:p>
        </w:tc>
      </w:tr>
      <w:tr w:rsidR="002D6C73">
        <w:trPr>
          <w:trHeight w:val="300"/>
        </w:trPr>
        <w:tc>
          <w:tcPr>
            <w:tcW w:w="764" w:type="dxa"/>
            <w:noWrap/>
            <w:vAlign w:val="center"/>
          </w:tcPr>
          <w:p w:rsidR="002D6C73" w:rsidRDefault="00FB6868">
            <w:pPr>
              <w:jc w:val="center"/>
              <w:rPr>
                <w:color w:val="1C1C1C"/>
              </w:rPr>
            </w:pPr>
            <w:r>
              <w:rPr>
                <w:rFonts w:hint="eastAsia"/>
                <w:color w:val="1C1C1C"/>
              </w:rPr>
              <w:t>1</w:t>
            </w:r>
          </w:p>
        </w:tc>
        <w:tc>
          <w:tcPr>
            <w:tcW w:w="2316" w:type="dxa"/>
            <w:noWrap/>
            <w:vAlign w:val="center"/>
          </w:tcPr>
          <w:p w:rsidR="002D6C73" w:rsidRDefault="00FB6868">
            <w:pPr>
              <w:jc w:val="center"/>
              <w:rPr>
                <w:color w:val="1C1C1C"/>
              </w:rPr>
            </w:pPr>
            <w:r>
              <w:rPr>
                <w:rFonts w:hint="eastAsia"/>
                <w:color w:val="1C1C1C"/>
              </w:rPr>
              <w:t>北京市</w:t>
            </w:r>
          </w:p>
        </w:tc>
        <w:tc>
          <w:tcPr>
            <w:tcW w:w="1546" w:type="dxa"/>
            <w:noWrap/>
            <w:vAlign w:val="center"/>
          </w:tcPr>
          <w:p w:rsidR="002D6C73" w:rsidRDefault="00FB6868">
            <w:pPr>
              <w:jc w:val="center"/>
              <w:rPr>
                <w:color w:val="1C1C1C"/>
              </w:rPr>
            </w:pPr>
            <w:r>
              <w:rPr>
                <w:rFonts w:hint="eastAsia"/>
                <w:color w:val="1C1C1C"/>
              </w:rPr>
              <w:t>北京市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2189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14867.7 </w:t>
            </w:r>
          </w:p>
        </w:tc>
      </w:tr>
      <w:tr w:rsidR="002D6C73">
        <w:trPr>
          <w:trHeight w:val="300"/>
        </w:trPr>
        <w:tc>
          <w:tcPr>
            <w:tcW w:w="764" w:type="dxa"/>
            <w:noWrap/>
            <w:vAlign w:val="center"/>
          </w:tcPr>
          <w:p w:rsidR="002D6C73" w:rsidRDefault="00FB6868">
            <w:pPr>
              <w:jc w:val="center"/>
              <w:rPr>
                <w:color w:val="1C1C1C"/>
              </w:rPr>
            </w:pPr>
            <w:r>
              <w:rPr>
                <w:rFonts w:hint="eastAsia"/>
                <w:color w:val="1C1C1C"/>
              </w:rPr>
              <w:t>2</w:t>
            </w:r>
          </w:p>
        </w:tc>
        <w:tc>
          <w:tcPr>
            <w:tcW w:w="2316" w:type="dxa"/>
            <w:noWrap/>
            <w:vAlign w:val="center"/>
          </w:tcPr>
          <w:p w:rsidR="002D6C73" w:rsidRDefault="00FB6868">
            <w:pPr>
              <w:jc w:val="center"/>
              <w:rPr>
                <w:color w:val="1C1C1C"/>
              </w:rPr>
            </w:pPr>
            <w:r>
              <w:rPr>
                <w:rFonts w:hint="eastAsia"/>
                <w:color w:val="1C1C1C"/>
              </w:rPr>
              <w:t>天津市</w:t>
            </w:r>
          </w:p>
        </w:tc>
        <w:tc>
          <w:tcPr>
            <w:tcW w:w="1546" w:type="dxa"/>
            <w:noWrap/>
            <w:vAlign w:val="center"/>
          </w:tcPr>
          <w:p w:rsidR="002D6C73" w:rsidRDefault="00FB6868">
            <w:pPr>
              <w:jc w:val="center"/>
              <w:rPr>
                <w:color w:val="1C1C1C"/>
              </w:rPr>
            </w:pPr>
            <w:r>
              <w:rPr>
                <w:rFonts w:hint="eastAsia"/>
                <w:color w:val="1C1C1C"/>
              </w:rPr>
              <w:t>天津市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1387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3582.9 </w:t>
            </w:r>
          </w:p>
        </w:tc>
      </w:tr>
      <w:tr w:rsidR="002D6C73">
        <w:trPr>
          <w:trHeight w:val="300"/>
        </w:trPr>
        <w:tc>
          <w:tcPr>
            <w:tcW w:w="764" w:type="dxa"/>
            <w:noWrap/>
            <w:vAlign w:val="center"/>
          </w:tcPr>
          <w:p w:rsidR="002D6C73" w:rsidRDefault="00FB6868">
            <w:pPr>
              <w:jc w:val="center"/>
              <w:rPr>
                <w:color w:val="1C1C1C"/>
              </w:rPr>
            </w:pPr>
            <w:r>
              <w:rPr>
                <w:rFonts w:hint="eastAsia"/>
                <w:color w:val="1C1C1C"/>
              </w:rPr>
              <w:t>3</w:t>
            </w:r>
          </w:p>
        </w:tc>
        <w:tc>
          <w:tcPr>
            <w:tcW w:w="2316" w:type="dxa"/>
            <w:noWrap/>
            <w:vAlign w:val="center"/>
          </w:tcPr>
          <w:p w:rsidR="002D6C73" w:rsidRDefault="00FB6868">
            <w:pPr>
              <w:jc w:val="center"/>
              <w:rPr>
                <w:color w:val="1C1C1C"/>
              </w:rPr>
            </w:pPr>
            <w:r>
              <w:rPr>
                <w:rFonts w:hint="eastAsia"/>
                <w:color w:val="1C1C1C"/>
              </w:rPr>
              <w:t>河北省</w:t>
            </w:r>
          </w:p>
        </w:tc>
        <w:tc>
          <w:tcPr>
            <w:tcW w:w="1546" w:type="dxa"/>
            <w:noWrap/>
            <w:vAlign w:val="center"/>
          </w:tcPr>
          <w:p w:rsidR="002D6C73" w:rsidRDefault="00FB6868">
            <w:pPr>
              <w:jc w:val="center"/>
              <w:rPr>
                <w:color w:val="1C1C1C"/>
              </w:rPr>
            </w:pPr>
            <w:r>
              <w:rPr>
                <w:rFonts w:hint="eastAsia"/>
                <w:color w:val="1C1C1C"/>
              </w:rPr>
              <w:t>石家庄市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1064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2382.7 </w:t>
            </w:r>
          </w:p>
        </w:tc>
      </w:tr>
      <w:tr w:rsidR="002D6C73">
        <w:trPr>
          <w:trHeight w:val="300"/>
        </w:trPr>
        <w:tc>
          <w:tcPr>
            <w:tcW w:w="764" w:type="dxa"/>
            <w:noWrap/>
            <w:vAlign w:val="center"/>
          </w:tcPr>
          <w:p w:rsidR="002D6C73" w:rsidRDefault="00FB6868">
            <w:pPr>
              <w:jc w:val="center"/>
              <w:rPr>
                <w:color w:val="1C1C1C"/>
              </w:rPr>
            </w:pPr>
            <w:r>
              <w:rPr>
                <w:rFonts w:hint="eastAsia"/>
                <w:color w:val="1C1C1C"/>
              </w:rPr>
              <w:t>4</w:t>
            </w:r>
          </w:p>
        </w:tc>
        <w:tc>
          <w:tcPr>
            <w:tcW w:w="2316" w:type="dxa"/>
            <w:noWrap/>
            <w:vAlign w:val="center"/>
          </w:tcPr>
          <w:p w:rsidR="002D6C73" w:rsidRDefault="00FB6868">
            <w:pPr>
              <w:jc w:val="center"/>
              <w:rPr>
                <w:color w:val="1C1C1C"/>
              </w:rPr>
            </w:pPr>
            <w:r>
              <w:rPr>
                <w:rFonts w:hint="eastAsia"/>
                <w:color w:val="1C1C1C"/>
              </w:rPr>
              <w:t>河北省</w:t>
            </w:r>
          </w:p>
        </w:tc>
        <w:tc>
          <w:tcPr>
            <w:tcW w:w="1546" w:type="dxa"/>
            <w:noWrap/>
            <w:vAlign w:val="center"/>
          </w:tcPr>
          <w:p w:rsidR="002D6C73" w:rsidRDefault="00FB6868">
            <w:pPr>
              <w:jc w:val="center"/>
              <w:rPr>
                <w:color w:val="1C1C1C"/>
              </w:rPr>
            </w:pPr>
            <w:r>
              <w:rPr>
                <w:rFonts w:hint="eastAsia"/>
                <w:color w:val="1C1C1C"/>
              </w:rPr>
              <w:t>唐山市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772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2027.6 </w:t>
            </w:r>
          </w:p>
        </w:tc>
      </w:tr>
      <w:tr w:rsidR="002D6C73">
        <w:trPr>
          <w:trHeight w:val="300"/>
        </w:trPr>
        <w:tc>
          <w:tcPr>
            <w:tcW w:w="764" w:type="dxa"/>
            <w:noWrap/>
            <w:vAlign w:val="center"/>
          </w:tcPr>
          <w:p w:rsidR="002D6C73" w:rsidRDefault="00FB6868">
            <w:pPr>
              <w:jc w:val="center"/>
              <w:rPr>
                <w:color w:val="1C1C1C"/>
              </w:rPr>
            </w:pPr>
            <w:r>
              <w:rPr>
                <w:rFonts w:hint="eastAsia"/>
                <w:color w:val="1C1C1C"/>
              </w:rPr>
              <w:t>5</w:t>
            </w:r>
          </w:p>
        </w:tc>
        <w:tc>
          <w:tcPr>
            <w:tcW w:w="2316" w:type="dxa"/>
            <w:noWrap/>
            <w:vAlign w:val="center"/>
          </w:tcPr>
          <w:p w:rsidR="002D6C73" w:rsidRDefault="00FB6868">
            <w:pPr>
              <w:jc w:val="center"/>
              <w:rPr>
                <w:color w:val="1C1C1C"/>
              </w:rPr>
            </w:pPr>
            <w:r>
              <w:rPr>
                <w:rFonts w:hint="eastAsia"/>
                <w:color w:val="1C1C1C"/>
              </w:rPr>
              <w:t>河北省</w:t>
            </w:r>
          </w:p>
        </w:tc>
        <w:tc>
          <w:tcPr>
            <w:tcW w:w="1546" w:type="dxa"/>
            <w:noWrap/>
            <w:vAlign w:val="center"/>
          </w:tcPr>
          <w:p w:rsidR="002D6C73" w:rsidRDefault="00FB6868">
            <w:pPr>
              <w:jc w:val="center"/>
              <w:rPr>
                <w:color w:val="1C1C1C"/>
              </w:rPr>
            </w:pPr>
            <w:r>
              <w:rPr>
                <w:rFonts w:hint="eastAsia"/>
                <w:color w:val="1C1C1C"/>
              </w:rPr>
              <w:t>邯郸市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941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1200.9 </w:t>
            </w:r>
          </w:p>
        </w:tc>
      </w:tr>
      <w:tr w:rsidR="002D6C73">
        <w:trPr>
          <w:trHeight w:val="300"/>
        </w:trPr>
        <w:tc>
          <w:tcPr>
            <w:tcW w:w="764" w:type="dxa"/>
            <w:noWrap/>
            <w:vAlign w:val="center"/>
          </w:tcPr>
          <w:p w:rsidR="002D6C73" w:rsidRDefault="00FB6868">
            <w:pPr>
              <w:jc w:val="center"/>
              <w:rPr>
                <w:color w:val="1C1C1C"/>
              </w:rPr>
            </w:pPr>
            <w:r>
              <w:rPr>
                <w:rFonts w:hint="eastAsia"/>
                <w:color w:val="1C1C1C"/>
              </w:rPr>
              <w:t>6</w:t>
            </w:r>
          </w:p>
        </w:tc>
        <w:tc>
          <w:tcPr>
            <w:tcW w:w="2316" w:type="dxa"/>
            <w:noWrap/>
            <w:vAlign w:val="center"/>
          </w:tcPr>
          <w:p w:rsidR="002D6C73" w:rsidRDefault="00FB6868">
            <w:pPr>
              <w:jc w:val="center"/>
              <w:rPr>
                <w:color w:val="1C1C1C"/>
              </w:rPr>
            </w:pPr>
            <w:r>
              <w:rPr>
                <w:rFonts w:hint="eastAsia"/>
                <w:color w:val="1C1C1C"/>
              </w:rPr>
              <w:t>河北省</w:t>
            </w:r>
          </w:p>
        </w:tc>
        <w:tc>
          <w:tcPr>
            <w:tcW w:w="1546" w:type="dxa"/>
            <w:noWrap/>
            <w:vAlign w:val="center"/>
          </w:tcPr>
          <w:p w:rsidR="002D6C73" w:rsidRDefault="00FB6868">
            <w:pPr>
              <w:jc w:val="center"/>
              <w:rPr>
                <w:color w:val="1C1C1C"/>
              </w:rPr>
            </w:pPr>
            <w:r>
              <w:rPr>
                <w:rFonts w:hint="eastAsia"/>
                <w:color w:val="1C1C1C"/>
              </w:rPr>
              <w:t>保定市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924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1361.7 </w:t>
            </w:r>
          </w:p>
        </w:tc>
      </w:tr>
      <w:tr w:rsidR="002D6C73">
        <w:trPr>
          <w:trHeight w:val="300"/>
        </w:trPr>
        <w:tc>
          <w:tcPr>
            <w:tcW w:w="764" w:type="dxa"/>
            <w:noWrap/>
            <w:vAlign w:val="center"/>
          </w:tcPr>
          <w:p w:rsidR="002D6C73" w:rsidRDefault="00FB6868">
            <w:pPr>
              <w:jc w:val="center"/>
              <w:rPr>
                <w:color w:val="1C1C1C"/>
              </w:rPr>
            </w:pPr>
            <w:r>
              <w:rPr>
                <w:rFonts w:hint="eastAsia"/>
                <w:color w:val="1C1C1C"/>
              </w:rPr>
              <w:t>7</w:t>
            </w:r>
          </w:p>
        </w:tc>
        <w:tc>
          <w:tcPr>
            <w:tcW w:w="2316" w:type="dxa"/>
            <w:noWrap/>
            <w:vAlign w:val="center"/>
          </w:tcPr>
          <w:p w:rsidR="002D6C73" w:rsidRDefault="00FB6868">
            <w:pPr>
              <w:jc w:val="center"/>
              <w:rPr>
                <w:color w:val="1C1C1C"/>
              </w:rPr>
            </w:pPr>
            <w:r>
              <w:rPr>
                <w:rFonts w:hint="eastAsia"/>
                <w:color w:val="1C1C1C"/>
              </w:rPr>
              <w:t>山西省</w:t>
            </w:r>
          </w:p>
        </w:tc>
        <w:tc>
          <w:tcPr>
            <w:tcW w:w="1546" w:type="dxa"/>
            <w:noWrap/>
            <w:vAlign w:val="center"/>
          </w:tcPr>
          <w:p w:rsidR="002D6C73" w:rsidRDefault="00FB6868">
            <w:pPr>
              <w:jc w:val="center"/>
              <w:rPr>
                <w:color w:val="1C1C1C"/>
              </w:rPr>
            </w:pPr>
            <w:r>
              <w:rPr>
                <w:rFonts w:hint="eastAsia"/>
                <w:color w:val="1C1C1C"/>
              </w:rPr>
              <w:t>太原市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530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1655.1 </w:t>
            </w:r>
          </w:p>
        </w:tc>
      </w:tr>
      <w:tr w:rsidR="002D6C73">
        <w:trPr>
          <w:trHeight w:val="300"/>
        </w:trPr>
        <w:tc>
          <w:tcPr>
            <w:tcW w:w="764" w:type="dxa"/>
            <w:noWrap/>
            <w:vAlign w:val="center"/>
          </w:tcPr>
          <w:p w:rsidR="002D6C73" w:rsidRDefault="00FB6868">
            <w:pPr>
              <w:jc w:val="center"/>
              <w:rPr>
                <w:color w:val="1C1C1C"/>
              </w:rPr>
            </w:pPr>
            <w:r>
              <w:rPr>
                <w:rFonts w:hint="eastAsia"/>
                <w:color w:val="1C1C1C"/>
              </w:rPr>
              <w:t>8</w:t>
            </w:r>
          </w:p>
        </w:tc>
        <w:tc>
          <w:tcPr>
            <w:tcW w:w="2316" w:type="dxa"/>
            <w:noWrap/>
            <w:vAlign w:val="center"/>
          </w:tcPr>
          <w:p w:rsidR="002D6C73" w:rsidRDefault="00FB6868">
            <w:pPr>
              <w:jc w:val="center"/>
              <w:rPr>
                <w:color w:val="1C1C1C"/>
              </w:rPr>
            </w:pPr>
            <w:r>
              <w:rPr>
                <w:rFonts w:hint="eastAsia"/>
                <w:color w:val="1C1C1C"/>
              </w:rPr>
              <w:t>山西省</w:t>
            </w:r>
          </w:p>
        </w:tc>
        <w:tc>
          <w:tcPr>
            <w:tcW w:w="1546" w:type="dxa"/>
            <w:noWrap/>
            <w:vAlign w:val="center"/>
          </w:tcPr>
          <w:p w:rsidR="002D6C73" w:rsidRDefault="00FB6868">
            <w:pPr>
              <w:jc w:val="center"/>
              <w:rPr>
                <w:color w:val="1C1C1C"/>
              </w:rPr>
            </w:pPr>
            <w:r>
              <w:rPr>
                <w:rFonts w:hint="eastAsia"/>
                <w:color w:val="1C1C1C"/>
              </w:rPr>
              <w:t>大同市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311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655.4 </w:t>
            </w:r>
          </w:p>
        </w:tc>
      </w:tr>
      <w:tr w:rsidR="002D6C73">
        <w:trPr>
          <w:trHeight w:val="300"/>
        </w:trPr>
        <w:tc>
          <w:tcPr>
            <w:tcW w:w="764" w:type="dxa"/>
            <w:noWrap/>
            <w:vAlign w:val="center"/>
          </w:tcPr>
          <w:p w:rsidR="002D6C73" w:rsidRDefault="00FB6868">
            <w:pPr>
              <w:jc w:val="center"/>
              <w:rPr>
                <w:color w:val="1C1C1C"/>
              </w:rPr>
            </w:pPr>
            <w:r>
              <w:rPr>
                <w:rFonts w:hint="eastAsia"/>
                <w:color w:val="1C1C1C"/>
              </w:rPr>
              <w:t>9</w:t>
            </w:r>
          </w:p>
        </w:tc>
        <w:tc>
          <w:tcPr>
            <w:tcW w:w="2316" w:type="dxa"/>
            <w:noWrap/>
            <w:vAlign w:val="center"/>
          </w:tcPr>
          <w:p w:rsidR="002D6C73" w:rsidRDefault="00FB6868">
            <w:pPr>
              <w:jc w:val="center"/>
              <w:rPr>
                <w:color w:val="1C1C1C"/>
              </w:rPr>
            </w:pPr>
            <w:r>
              <w:rPr>
                <w:rFonts w:hint="eastAsia"/>
                <w:color w:val="1C1C1C"/>
              </w:rPr>
              <w:t>山西省</w:t>
            </w:r>
          </w:p>
        </w:tc>
        <w:tc>
          <w:tcPr>
            <w:tcW w:w="1546" w:type="dxa"/>
            <w:noWrap/>
            <w:vAlign w:val="center"/>
          </w:tcPr>
          <w:p w:rsidR="002D6C73" w:rsidRDefault="00FB6868">
            <w:pPr>
              <w:jc w:val="center"/>
              <w:rPr>
                <w:color w:val="1C1C1C"/>
              </w:rPr>
            </w:pPr>
            <w:r>
              <w:rPr>
                <w:rFonts w:hint="eastAsia"/>
                <w:color w:val="1C1C1C"/>
              </w:rPr>
              <w:t>运城市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477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710.8 </w:t>
            </w:r>
          </w:p>
        </w:tc>
      </w:tr>
      <w:tr w:rsidR="002D6C73">
        <w:trPr>
          <w:trHeight w:val="300"/>
        </w:trPr>
        <w:tc>
          <w:tcPr>
            <w:tcW w:w="764" w:type="dxa"/>
            <w:noWrap/>
            <w:vAlign w:val="center"/>
          </w:tcPr>
          <w:p w:rsidR="002D6C73" w:rsidRDefault="00FB6868">
            <w:pPr>
              <w:jc w:val="center"/>
              <w:rPr>
                <w:color w:val="1C1C1C"/>
              </w:rPr>
            </w:pPr>
            <w:r>
              <w:rPr>
                <w:rFonts w:hint="eastAsia"/>
                <w:color w:val="1C1C1C"/>
              </w:rPr>
              <w:t>10</w:t>
            </w:r>
          </w:p>
        </w:tc>
        <w:tc>
          <w:tcPr>
            <w:tcW w:w="2316" w:type="dxa"/>
            <w:noWrap/>
            <w:vAlign w:val="center"/>
          </w:tcPr>
          <w:p w:rsidR="002D6C73" w:rsidRDefault="00FB6868">
            <w:pPr>
              <w:jc w:val="center"/>
              <w:rPr>
                <w:color w:val="1C1C1C"/>
              </w:rPr>
            </w:pPr>
            <w:r>
              <w:rPr>
                <w:rFonts w:hint="eastAsia"/>
                <w:color w:val="1C1C1C"/>
              </w:rPr>
              <w:t>内蒙古自治区</w:t>
            </w:r>
          </w:p>
        </w:tc>
        <w:tc>
          <w:tcPr>
            <w:tcW w:w="1546" w:type="dxa"/>
            <w:noWrap/>
            <w:vAlign w:val="center"/>
          </w:tcPr>
          <w:p w:rsidR="002D6C73" w:rsidRDefault="00FB6868">
            <w:pPr>
              <w:jc w:val="center"/>
              <w:rPr>
                <w:color w:val="1C1C1C"/>
              </w:rPr>
            </w:pPr>
            <w:r>
              <w:rPr>
                <w:rFonts w:hint="eastAsia"/>
                <w:color w:val="1C1C1C"/>
              </w:rPr>
              <w:t>呼和浩特市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345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1032.9 </w:t>
            </w:r>
          </w:p>
        </w:tc>
      </w:tr>
      <w:tr w:rsidR="002D6C73">
        <w:trPr>
          <w:trHeight w:val="300"/>
        </w:trPr>
        <w:tc>
          <w:tcPr>
            <w:tcW w:w="764" w:type="dxa"/>
            <w:noWrap/>
            <w:vAlign w:val="center"/>
          </w:tcPr>
          <w:p w:rsidR="002D6C73" w:rsidRDefault="00FB6868">
            <w:pPr>
              <w:jc w:val="center"/>
              <w:rPr>
                <w:color w:val="1C1C1C"/>
              </w:rPr>
            </w:pPr>
            <w:r>
              <w:rPr>
                <w:rFonts w:hint="eastAsia"/>
                <w:color w:val="1C1C1C"/>
              </w:rPr>
              <w:t>11</w:t>
            </w:r>
          </w:p>
        </w:tc>
        <w:tc>
          <w:tcPr>
            <w:tcW w:w="2316" w:type="dxa"/>
            <w:noWrap/>
            <w:vAlign w:val="center"/>
          </w:tcPr>
          <w:p w:rsidR="002D6C73" w:rsidRDefault="00FB6868">
            <w:pPr>
              <w:jc w:val="center"/>
              <w:rPr>
                <w:color w:val="1C1C1C"/>
              </w:rPr>
            </w:pPr>
            <w:r>
              <w:rPr>
                <w:rFonts w:hint="eastAsia"/>
                <w:color w:val="1C1C1C"/>
              </w:rPr>
              <w:t>内蒙古自治区</w:t>
            </w:r>
          </w:p>
        </w:tc>
        <w:tc>
          <w:tcPr>
            <w:tcW w:w="1546" w:type="dxa"/>
            <w:noWrap/>
            <w:vAlign w:val="center"/>
          </w:tcPr>
          <w:p w:rsidR="002D6C73" w:rsidRDefault="00FB6868">
            <w:pPr>
              <w:jc w:val="center"/>
              <w:rPr>
                <w:color w:val="1C1C1C"/>
              </w:rPr>
            </w:pPr>
            <w:r>
              <w:rPr>
                <w:rFonts w:hint="eastAsia"/>
                <w:color w:val="1C1C1C"/>
              </w:rPr>
              <w:t>包头市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271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987.8 </w:t>
            </w:r>
          </w:p>
        </w:tc>
      </w:tr>
      <w:tr w:rsidR="002D6C73">
        <w:trPr>
          <w:trHeight w:val="300"/>
        </w:trPr>
        <w:tc>
          <w:tcPr>
            <w:tcW w:w="764" w:type="dxa"/>
            <w:noWrap/>
            <w:vAlign w:val="center"/>
          </w:tcPr>
          <w:p w:rsidR="002D6C73" w:rsidRDefault="00FB6868">
            <w:pPr>
              <w:jc w:val="center"/>
              <w:rPr>
                <w:color w:val="1C1C1C"/>
              </w:rPr>
            </w:pPr>
            <w:r>
              <w:rPr>
                <w:rFonts w:hint="eastAsia"/>
                <w:color w:val="1C1C1C"/>
              </w:rPr>
              <w:t>12</w:t>
            </w:r>
          </w:p>
        </w:tc>
        <w:tc>
          <w:tcPr>
            <w:tcW w:w="2316" w:type="dxa"/>
            <w:noWrap/>
            <w:vAlign w:val="center"/>
          </w:tcPr>
          <w:p w:rsidR="002D6C73" w:rsidRDefault="00FB6868">
            <w:pPr>
              <w:jc w:val="center"/>
              <w:rPr>
                <w:color w:val="1C1C1C"/>
              </w:rPr>
            </w:pPr>
            <w:r>
              <w:rPr>
                <w:rFonts w:hint="eastAsia"/>
                <w:color w:val="1C1C1C"/>
              </w:rPr>
              <w:t>内蒙古自治区</w:t>
            </w:r>
          </w:p>
        </w:tc>
        <w:tc>
          <w:tcPr>
            <w:tcW w:w="1546" w:type="dxa"/>
            <w:noWrap/>
            <w:vAlign w:val="center"/>
          </w:tcPr>
          <w:p w:rsidR="002D6C73" w:rsidRDefault="00FB6868">
            <w:pPr>
              <w:jc w:val="center"/>
              <w:rPr>
                <w:color w:val="1C1C1C"/>
              </w:rPr>
            </w:pPr>
            <w:r>
              <w:rPr>
                <w:rFonts w:hint="eastAsia"/>
                <w:color w:val="1C1C1C"/>
              </w:rPr>
              <w:t>鄂尔多斯市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215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565.5 </w:t>
            </w:r>
          </w:p>
        </w:tc>
      </w:tr>
      <w:tr w:rsidR="002D6C73">
        <w:trPr>
          <w:trHeight w:val="300"/>
        </w:trPr>
        <w:tc>
          <w:tcPr>
            <w:tcW w:w="764" w:type="dxa"/>
            <w:noWrap/>
            <w:vAlign w:val="center"/>
          </w:tcPr>
          <w:p w:rsidR="002D6C73" w:rsidRDefault="00FB6868">
            <w:pPr>
              <w:jc w:val="center"/>
              <w:rPr>
                <w:color w:val="1C1C1C"/>
              </w:rPr>
            </w:pPr>
            <w:r>
              <w:rPr>
                <w:rFonts w:hint="eastAsia"/>
                <w:color w:val="1C1C1C"/>
              </w:rPr>
              <w:t>13</w:t>
            </w:r>
          </w:p>
        </w:tc>
        <w:tc>
          <w:tcPr>
            <w:tcW w:w="2316" w:type="dxa"/>
            <w:noWrap/>
            <w:vAlign w:val="center"/>
          </w:tcPr>
          <w:p w:rsidR="002D6C73" w:rsidRDefault="00FB6868">
            <w:pPr>
              <w:jc w:val="center"/>
              <w:rPr>
                <w:color w:val="1C1C1C"/>
              </w:rPr>
            </w:pPr>
            <w:r>
              <w:rPr>
                <w:rFonts w:hint="eastAsia"/>
                <w:color w:val="1C1C1C"/>
              </w:rPr>
              <w:t>辽宁省</w:t>
            </w:r>
          </w:p>
        </w:tc>
        <w:tc>
          <w:tcPr>
            <w:tcW w:w="1546" w:type="dxa"/>
            <w:noWrap/>
            <w:vAlign w:val="center"/>
          </w:tcPr>
          <w:p w:rsidR="002D6C73" w:rsidRDefault="00FB6868">
            <w:pPr>
              <w:jc w:val="center"/>
              <w:rPr>
                <w:color w:val="1C1C1C"/>
              </w:rPr>
            </w:pPr>
            <w:r>
              <w:rPr>
                <w:rFonts w:hint="eastAsia"/>
                <w:color w:val="1C1C1C"/>
              </w:rPr>
              <w:t>沈阳市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903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3637.6 </w:t>
            </w:r>
          </w:p>
        </w:tc>
      </w:tr>
      <w:tr w:rsidR="002D6C73">
        <w:trPr>
          <w:trHeight w:val="300"/>
        </w:trPr>
        <w:tc>
          <w:tcPr>
            <w:tcW w:w="764" w:type="dxa"/>
            <w:noWrap/>
            <w:vAlign w:val="center"/>
          </w:tcPr>
          <w:p w:rsidR="002D6C73" w:rsidRDefault="00FB6868">
            <w:pPr>
              <w:jc w:val="center"/>
              <w:rPr>
                <w:color w:val="1C1C1C"/>
              </w:rPr>
            </w:pPr>
            <w:r>
              <w:rPr>
                <w:rFonts w:hint="eastAsia"/>
                <w:color w:val="1C1C1C"/>
              </w:rPr>
              <w:t>14</w:t>
            </w:r>
          </w:p>
        </w:tc>
        <w:tc>
          <w:tcPr>
            <w:tcW w:w="2316" w:type="dxa"/>
            <w:noWrap/>
            <w:vAlign w:val="center"/>
          </w:tcPr>
          <w:p w:rsidR="002D6C73" w:rsidRDefault="00FB6868">
            <w:pPr>
              <w:jc w:val="center"/>
              <w:rPr>
                <w:color w:val="1C1C1C"/>
              </w:rPr>
            </w:pPr>
            <w:r>
              <w:rPr>
                <w:rFonts w:hint="eastAsia"/>
                <w:color w:val="1C1C1C"/>
              </w:rPr>
              <w:t>辽宁省</w:t>
            </w:r>
          </w:p>
        </w:tc>
        <w:tc>
          <w:tcPr>
            <w:tcW w:w="1546" w:type="dxa"/>
            <w:noWrap/>
            <w:vAlign w:val="center"/>
          </w:tcPr>
          <w:p w:rsidR="002D6C73" w:rsidRDefault="00FB6868">
            <w:pPr>
              <w:jc w:val="center"/>
              <w:rPr>
                <w:color w:val="1C1C1C"/>
              </w:rPr>
            </w:pPr>
            <w:r>
              <w:rPr>
                <w:rFonts w:hint="eastAsia"/>
                <w:color w:val="1C1C1C"/>
              </w:rPr>
              <w:t>大连市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745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1828.0 </w:t>
            </w:r>
          </w:p>
        </w:tc>
      </w:tr>
      <w:tr w:rsidR="002D6C73">
        <w:trPr>
          <w:trHeight w:val="300"/>
        </w:trPr>
        <w:tc>
          <w:tcPr>
            <w:tcW w:w="764" w:type="dxa"/>
            <w:noWrap/>
            <w:vAlign w:val="center"/>
          </w:tcPr>
          <w:p w:rsidR="002D6C73" w:rsidRDefault="00FB6868">
            <w:pPr>
              <w:jc w:val="center"/>
              <w:rPr>
                <w:color w:val="1C1C1C"/>
              </w:rPr>
            </w:pPr>
            <w:r>
              <w:rPr>
                <w:rFonts w:hint="eastAsia"/>
                <w:color w:val="1C1C1C"/>
              </w:rPr>
              <w:t>15</w:t>
            </w:r>
          </w:p>
        </w:tc>
        <w:tc>
          <w:tcPr>
            <w:tcW w:w="2316" w:type="dxa"/>
            <w:noWrap/>
            <w:vAlign w:val="center"/>
          </w:tcPr>
          <w:p w:rsidR="002D6C73" w:rsidRDefault="00FB6868">
            <w:pPr>
              <w:jc w:val="center"/>
              <w:rPr>
                <w:color w:val="1C1C1C"/>
              </w:rPr>
            </w:pPr>
            <w:r>
              <w:rPr>
                <w:rFonts w:hint="eastAsia"/>
                <w:color w:val="1C1C1C"/>
              </w:rPr>
              <w:t>辽宁省</w:t>
            </w:r>
          </w:p>
        </w:tc>
        <w:tc>
          <w:tcPr>
            <w:tcW w:w="1546" w:type="dxa"/>
            <w:noWrap/>
            <w:vAlign w:val="center"/>
          </w:tcPr>
          <w:p w:rsidR="002D6C73" w:rsidRDefault="00FB6868">
            <w:pPr>
              <w:jc w:val="center"/>
              <w:rPr>
                <w:color w:val="1C1C1C"/>
              </w:rPr>
            </w:pPr>
            <w:r>
              <w:rPr>
                <w:rFonts w:hint="eastAsia"/>
                <w:color w:val="1C1C1C"/>
              </w:rPr>
              <w:t>鞍山市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333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695.3 </w:t>
            </w:r>
          </w:p>
        </w:tc>
      </w:tr>
      <w:tr w:rsidR="002D6C73">
        <w:trPr>
          <w:trHeight w:val="300"/>
        </w:trPr>
        <w:tc>
          <w:tcPr>
            <w:tcW w:w="764" w:type="dxa"/>
            <w:noWrap/>
            <w:vAlign w:val="center"/>
          </w:tcPr>
          <w:p w:rsidR="002D6C73" w:rsidRDefault="00FB6868">
            <w:pPr>
              <w:jc w:val="center"/>
              <w:rPr>
                <w:color w:val="1C1C1C"/>
              </w:rPr>
            </w:pPr>
            <w:r>
              <w:rPr>
                <w:rFonts w:hint="eastAsia"/>
                <w:color w:val="1C1C1C"/>
              </w:rPr>
              <w:t>16</w:t>
            </w:r>
          </w:p>
        </w:tc>
        <w:tc>
          <w:tcPr>
            <w:tcW w:w="2316" w:type="dxa"/>
            <w:noWrap/>
            <w:vAlign w:val="center"/>
          </w:tcPr>
          <w:p w:rsidR="002D6C73" w:rsidRDefault="00FB6868">
            <w:pPr>
              <w:jc w:val="center"/>
              <w:rPr>
                <w:color w:val="1C1C1C"/>
              </w:rPr>
            </w:pPr>
            <w:r>
              <w:rPr>
                <w:rFonts w:hint="eastAsia"/>
                <w:color w:val="1C1C1C"/>
              </w:rPr>
              <w:t>吉林省</w:t>
            </w:r>
          </w:p>
        </w:tc>
        <w:tc>
          <w:tcPr>
            <w:tcW w:w="1546" w:type="dxa"/>
            <w:noWrap/>
            <w:vAlign w:val="center"/>
          </w:tcPr>
          <w:p w:rsidR="002D6C73" w:rsidRDefault="00FB6868">
            <w:pPr>
              <w:jc w:val="center"/>
              <w:rPr>
                <w:color w:val="1C1C1C"/>
              </w:rPr>
            </w:pPr>
            <w:r>
              <w:rPr>
                <w:rFonts w:hint="eastAsia"/>
                <w:color w:val="1C1C1C"/>
              </w:rPr>
              <w:t>长春市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907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2003.1 </w:t>
            </w:r>
          </w:p>
        </w:tc>
      </w:tr>
      <w:tr w:rsidR="002D6C73">
        <w:trPr>
          <w:trHeight w:val="300"/>
        </w:trPr>
        <w:tc>
          <w:tcPr>
            <w:tcW w:w="764" w:type="dxa"/>
            <w:noWrap/>
            <w:vAlign w:val="center"/>
          </w:tcPr>
          <w:p w:rsidR="002D6C73" w:rsidRDefault="00FB6868">
            <w:pPr>
              <w:jc w:val="center"/>
              <w:rPr>
                <w:color w:val="1C1C1C"/>
              </w:rPr>
            </w:pPr>
            <w:r>
              <w:rPr>
                <w:rFonts w:hint="eastAsia"/>
                <w:color w:val="1C1C1C"/>
              </w:rPr>
              <w:t>17</w:t>
            </w:r>
          </w:p>
        </w:tc>
        <w:tc>
          <w:tcPr>
            <w:tcW w:w="2316" w:type="dxa"/>
            <w:noWrap/>
            <w:vAlign w:val="center"/>
          </w:tcPr>
          <w:p w:rsidR="002D6C73" w:rsidRDefault="00FB6868">
            <w:pPr>
              <w:jc w:val="center"/>
              <w:rPr>
                <w:color w:val="1C1C1C"/>
              </w:rPr>
            </w:pPr>
            <w:r>
              <w:rPr>
                <w:rFonts w:hint="eastAsia"/>
                <w:color w:val="1C1C1C"/>
              </w:rPr>
              <w:t>吉林省</w:t>
            </w:r>
          </w:p>
        </w:tc>
        <w:tc>
          <w:tcPr>
            <w:tcW w:w="1546" w:type="dxa"/>
            <w:noWrap/>
            <w:vAlign w:val="center"/>
          </w:tcPr>
          <w:p w:rsidR="002D6C73" w:rsidRDefault="00FB6868">
            <w:pPr>
              <w:jc w:val="center"/>
              <w:rPr>
                <w:color w:val="1C1C1C"/>
              </w:rPr>
            </w:pPr>
            <w:r>
              <w:rPr>
                <w:rFonts w:hint="eastAsia"/>
                <w:color w:val="1C1C1C"/>
              </w:rPr>
              <w:t>吉林市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362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480.0 </w:t>
            </w:r>
          </w:p>
        </w:tc>
      </w:tr>
      <w:tr w:rsidR="002D6C73">
        <w:trPr>
          <w:trHeight w:val="300"/>
        </w:trPr>
        <w:tc>
          <w:tcPr>
            <w:tcW w:w="764" w:type="dxa"/>
            <w:noWrap/>
            <w:vAlign w:val="center"/>
          </w:tcPr>
          <w:p w:rsidR="002D6C73" w:rsidRDefault="00FB6868">
            <w:pPr>
              <w:jc w:val="center"/>
              <w:rPr>
                <w:color w:val="1C1C1C"/>
              </w:rPr>
            </w:pPr>
            <w:r>
              <w:rPr>
                <w:rFonts w:hint="eastAsia"/>
                <w:color w:val="1C1C1C"/>
              </w:rPr>
              <w:t>18</w:t>
            </w:r>
          </w:p>
        </w:tc>
        <w:tc>
          <w:tcPr>
            <w:tcW w:w="2316" w:type="dxa"/>
            <w:noWrap/>
            <w:vAlign w:val="center"/>
          </w:tcPr>
          <w:p w:rsidR="002D6C73" w:rsidRDefault="00FB6868">
            <w:pPr>
              <w:jc w:val="center"/>
              <w:rPr>
                <w:color w:val="1C1C1C"/>
              </w:rPr>
            </w:pPr>
            <w:r>
              <w:rPr>
                <w:rFonts w:hint="eastAsia"/>
                <w:color w:val="1C1C1C"/>
              </w:rPr>
              <w:t>吉林省</w:t>
            </w:r>
          </w:p>
        </w:tc>
        <w:tc>
          <w:tcPr>
            <w:tcW w:w="1546" w:type="dxa"/>
            <w:noWrap/>
            <w:vAlign w:val="center"/>
          </w:tcPr>
          <w:p w:rsidR="002D6C73" w:rsidRDefault="00FB6868">
            <w:pPr>
              <w:jc w:val="center"/>
              <w:rPr>
                <w:color w:val="1C1C1C"/>
              </w:rPr>
            </w:pPr>
            <w:r>
              <w:rPr>
                <w:rFonts w:hint="eastAsia"/>
                <w:color w:val="1C1C1C"/>
              </w:rPr>
              <w:t>松原市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225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218.7 </w:t>
            </w:r>
          </w:p>
        </w:tc>
      </w:tr>
      <w:tr w:rsidR="002D6C73">
        <w:trPr>
          <w:trHeight w:val="300"/>
        </w:trPr>
        <w:tc>
          <w:tcPr>
            <w:tcW w:w="764" w:type="dxa"/>
            <w:noWrap/>
            <w:vAlign w:val="center"/>
          </w:tcPr>
          <w:p w:rsidR="002D6C73" w:rsidRDefault="00FB6868">
            <w:pPr>
              <w:jc w:val="center"/>
              <w:rPr>
                <w:color w:val="1C1C1C"/>
              </w:rPr>
            </w:pPr>
            <w:r>
              <w:rPr>
                <w:rFonts w:hint="eastAsia"/>
                <w:color w:val="1C1C1C"/>
              </w:rPr>
              <w:t>19</w:t>
            </w:r>
          </w:p>
        </w:tc>
        <w:tc>
          <w:tcPr>
            <w:tcW w:w="2316" w:type="dxa"/>
            <w:noWrap/>
            <w:vAlign w:val="center"/>
          </w:tcPr>
          <w:p w:rsidR="002D6C73" w:rsidRDefault="00FB6868">
            <w:pPr>
              <w:jc w:val="center"/>
              <w:rPr>
                <w:color w:val="1C1C1C"/>
              </w:rPr>
            </w:pPr>
            <w:r>
              <w:rPr>
                <w:rFonts w:hint="eastAsia"/>
                <w:color w:val="1C1C1C"/>
              </w:rPr>
              <w:t>黑龙江省</w:t>
            </w:r>
          </w:p>
        </w:tc>
        <w:tc>
          <w:tcPr>
            <w:tcW w:w="1546" w:type="dxa"/>
            <w:noWrap/>
            <w:vAlign w:val="center"/>
          </w:tcPr>
          <w:p w:rsidR="002D6C73" w:rsidRDefault="00FB6868">
            <w:pPr>
              <w:jc w:val="center"/>
              <w:rPr>
                <w:color w:val="1C1C1C"/>
              </w:rPr>
            </w:pPr>
            <w:r>
              <w:rPr>
                <w:rFonts w:hint="eastAsia"/>
                <w:color w:val="1C1C1C"/>
              </w:rPr>
              <w:t>哈尔滨市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1001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2223.6 </w:t>
            </w:r>
          </w:p>
        </w:tc>
      </w:tr>
      <w:tr w:rsidR="002D6C73">
        <w:trPr>
          <w:trHeight w:val="300"/>
        </w:trPr>
        <w:tc>
          <w:tcPr>
            <w:tcW w:w="764" w:type="dxa"/>
            <w:noWrap/>
            <w:vAlign w:val="center"/>
          </w:tcPr>
          <w:p w:rsidR="002D6C73" w:rsidRDefault="00FB6868">
            <w:pPr>
              <w:jc w:val="center"/>
              <w:rPr>
                <w:color w:val="1C1C1C"/>
              </w:rPr>
            </w:pPr>
            <w:r>
              <w:rPr>
                <w:rFonts w:hint="eastAsia"/>
                <w:color w:val="1C1C1C"/>
              </w:rPr>
              <w:t>20</w:t>
            </w:r>
          </w:p>
        </w:tc>
        <w:tc>
          <w:tcPr>
            <w:tcW w:w="2316" w:type="dxa"/>
            <w:noWrap/>
            <w:vAlign w:val="center"/>
          </w:tcPr>
          <w:p w:rsidR="002D6C73" w:rsidRDefault="00FB6868">
            <w:pPr>
              <w:jc w:val="center"/>
              <w:rPr>
                <w:color w:val="1C1C1C"/>
              </w:rPr>
            </w:pPr>
            <w:r>
              <w:rPr>
                <w:rFonts w:hint="eastAsia"/>
                <w:color w:val="1C1C1C"/>
              </w:rPr>
              <w:t>黑龙江省</w:t>
            </w:r>
          </w:p>
        </w:tc>
        <w:tc>
          <w:tcPr>
            <w:tcW w:w="1546" w:type="dxa"/>
            <w:noWrap/>
            <w:vAlign w:val="center"/>
          </w:tcPr>
          <w:p w:rsidR="002D6C73" w:rsidRDefault="00FB6868">
            <w:pPr>
              <w:jc w:val="center"/>
              <w:rPr>
                <w:color w:val="1C1C1C"/>
              </w:rPr>
            </w:pPr>
            <w:r>
              <w:rPr>
                <w:rFonts w:hint="eastAsia"/>
                <w:color w:val="1C1C1C"/>
              </w:rPr>
              <w:t>齐齐哈尔市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407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806.9 </w:t>
            </w:r>
          </w:p>
        </w:tc>
      </w:tr>
      <w:tr w:rsidR="002D6C73">
        <w:trPr>
          <w:trHeight w:val="300"/>
        </w:trPr>
        <w:tc>
          <w:tcPr>
            <w:tcW w:w="764" w:type="dxa"/>
            <w:noWrap/>
            <w:vAlign w:val="center"/>
          </w:tcPr>
          <w:p w:rsidR="002D6C73" w:rsidRDefault="00FB6868">
            <w:pPr>
              <w:jc w:val="center"/>
              <w:rPr>
                <w:color w:val="1C1C1C"/>
              </w:rPr>
            </w:pPr>
            <w:r>
              <w:rPr>
                <w:rFonts w:hint="eastAsia"/>
                <w:color w:val="1C1C1C"/>
              </w:rPr>
              <w:t>21</w:t>
            </w:r>
          </w:p>
        </w:tc>
        <w:tc>
          <w:tcPr>
            <w:tcW w:w="2316" w:type="dxa"/>
            <w:noWrap/>
            <w:vAlign w:val="center"/>
          </w:tcPr>
          <w:p w:rsidR="002D6C73" w:rsidRDefault="00FB6868">
            <w:pPr>
              <w:jc w:val="center"/>
              <w:rPr>
                <w:color w:val="1C1C1C"/>
              </w:rPr>
            </w:pPr>
            <w:r>
              <w:rPr>
                <w:rFonts w:hint="eastAsia"/>
                <w:color w:val="1C1C1C"/>
              </w:rPr>
              <w:t>黑龙江省</w:t>
            </w:r>
          </w:p>
        </w:tc>
        <w:tc>
          <w:tcPr>
            <w:tcW w:w="1546" w:type="dxa"/>
            <w:noWrap/>
            <w:vAlign w:val="center"/>
          </w:tcPr>
          <w:p w:rsidR="002D6C73" w:rsidRDefault="00FB6868">
            <w:pPr>
              <w:jc w:val="center"/>
              <w:rPr>
                <w:color w:val="1C1C1C"/>
              </w:rPr>
            </w:pPr>
            <w:r>
              <w:rPr>
                <w:rFonts w:hint="eastAsia"/>
                <w:color w:val="1C1C1C"/>
              </w:rPr>
              <w:t>大庆市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278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1202.0 </w:t>
            </w:r>
          </w:p>
        </w:tc>
      </w:tr>
      <w:tr w:rsidR="002D6C73">
        <w:trPr>
          <w:trHeight w:val="300"/>
        </w:trPr>
        <w:tc>
          <w:tcPr>
            <w:tcW w:w="764" w:type="dxa"/>
            <w:noWrap/>
            <w:vAlign w:val="center"/>
          </w:tcPr>
          <w:p w:rsidR="002D6C73" w:rsidRDefault="00FB6868">
            <w:pPr>
              <w:jc w:val="center"/>
              <w:rPr>
                <w:color w:val="1C1C1C"/>
              </w:rPr>
            </w:pPr>
            <w:r>
              <w:rPr>
                <w:rFonts w:hint="eastAsia"/>
                <w:color w:val="1C1C1C"/>
              </w:rPr>
              <w:t>22</w:t>
            </w:r>
          </w:p>
        </w:tc>
        <w:tc>
          <w:tcPr>
            <w:tcW w:w="2316" w:type="dxa"/>
            <w:noWrap/>
            <w:vAlign w:val="center"/>
          </w:tcPr>
          <w:p w:rsidR="002D6C73" w:rsidRDefault="00FB6868">
            <w:pPr>
              <w:jc w:val="center"/>
              <w:rPr>
                <w:color w:val="1C1C1C"/>
              </w:rPr>
            </w:pPr>
            <w:r>
              <w:rPr>
                <w:rFonts w:hint="eastAsia"/>
                <w:color w:val="1C1C1C"/>
              </w:rPr>
              <w:t>上海市</w:t>
            </w:r>
          </w:p>
        </w:tc>
        <w:tc>
          <w:tcPr>
            <w:tcW w:w="1546" w:type="dxa"/>
            <w:noWrap/>
            <w:vAlign w:val="center"/>
          </w:tcPr>
          <w:p w:rsidR="002D6C73" w:rsidRDefault="00FB6868">
            <w:pPr>
              <w:jc w:val="center"/>
              <w:rPr>
                <w:color w:val="1C1C1C"/>
              </w:rPr>
            </w:pPr>
            <w:r>
              <w:rPr>
                <w:rFonts w:hint="eastAsia"/>
                <w:color w:val="1C1C1C"/>
              </w:rPr>
              <w:t>上海市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2487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15932.5 </w:t>
            </w:r>
          </w:p>
        </w:tc>
      </w:tr>
      <w:tr w:rsidR="002D6C73">
        <w:trPr>
          <w:trHeight w:val="300"/>
        </w:trPr>
        <w:tc>
          <w:tcPr>
            <w:tcW w:w="764" w:type="dxa"/>
            <w:noWrap/>
            <w:vAlign w:val="center"/>
          </w:tcPr>
          <w:p w:rsidR="002D6C73" w:rsidRDefault="00FB6868">
            <w:pPr>
              <w:jc w:val="center"/>
              <w:rPr>
                <w:color w:val="1C1C1C"/>
              </w:rPr>
            </w:pPr>
            <w:r>
              <w:rPr>
                <w:rFonts w:hint="eastAsia"/>
                <w:color w:val="1C1C1C"/>
              </w:rPr>
              <w:t>23</w:t>
            </w:r>
          </w:p>
        </w:tc>
        <w:tc>
          <w:tcPr>
            <w:tcW w:w="2316" w:type="dxa"/>
            <w:noWrap/>
            <w:vAlign w:val="center"/>
          </w:tcPr>
          <w:p w:rsidR="002D6C73" w:rsidRDefault="00FB6868">
            <w:pPr>
              <w:jc w:val="center"/>
              <w:rPr>
                <w:color w:val="1C1C1C"/>
              </w:rPr>
            </w:pPr>
            <w:r>
              <w:rPr>
                <w:rFonts w:hint="eastAsia"/>
                <w:color w:val="1C1C1C"/>
              </w:rPr>
              <w:t>江苏省</w:t>
            </w:r>
          </w:p>
        </w:tc>
        <w:tc>
          <w:tcPr>
            <w:tcW w:w="1546" w:type="dxa"/>
            <w:noWrap/>
            <w:vAlign w:val="center"/>
          </w:tcPr>
          <w:p w:rsidR="002D6C73" w:rsidRDefault="00FB6868">
            <w:pPr>
              <w:jc w:val="center"/>
              <w:rPr>
                <w:color w:val="1C1C1C"/>
              </w:rPr>
            </w:pPr>
            <w:r>
              <w:rPr>
                <w:rFonts w:hint="eastAsia"/>
                <w:color w:val="1C1C1C"/>
              </w:rPr>
              <w:t>南京市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931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7203.0 </w:t>
            </w:r>
          </w:p>
        </w:tc>
      </w:tr>
      <w:tr w:rsidR="002D6C73">
        <w:trPr>
          <w:trHeight w:val="300"/>
        </w:trPr>
        <w:tc>
          <w:tcPr>
            <w:tcW w:w="764" w:type="dxa"/>
            <w:noWrap/>
            <w:vAlign w:val="center"/>
          </w:tcPr>
          <w:p w:rsidR="002D6C73" w:rsidRDefault="00FB6868">
            <w:pPr>
              <w:jc w:val="center"/>
              <w:rPr>
                <w:color w:val="1C1C1C"/>
              </w:rPr>
            </w:pPr>
            <w:r>
              <w:rPr>
                <w:rFonts w:hint="eastAsia"/>
                <w:color w:val="1C1C1C"/>
              </w:rPr>
              <w:t>24</w:t>
            </w:r>
          </w:p>
        </w:tc>
        <w:tc>
          <w:tcPr>
            <w:tcW w:w="2316" w:type="dxa"/>
            <w:noWrap/>
            <w:vAlign w:val="center"/>
          </w:tcPr>
          <w:p w:rsidR="002D6C73" w:rsidRDefault="00FB6868">
            <w:pPr>
              <w:jc w:val="center"/>
              <w:rPr>
                <w:color w:val="1C1C1C"/>
              </w:rPr>
            </w:pPr>
            <w:r>
              <w:rPr>
                <w:rFonts w:hint="eastAsia"/>
                <w:color w:val="1C1C1C"/>
              </w:rPr>
              <w:t>江苏省</w:t>
            </w:r>
          </w:p>
        </w:tc>
        <w:tc>
          <w:tcPr>
            <w:tcW w:w="1546" w:type="dxa"/>
            <w:noWrap/>
            <w:vAlign w:val="center"/>
          </w:tcPr>
          <w:p w:rsidR="002D6C73" w:rsidRDefault="00FB6868">
            <w:pPr>
              <w:jc w:val="center"/>
              <w:rPr>
                <w:color w:val="1C1C1C"/>
              </w:rPr>
            </w:pPr>
            <w:r>
              <w:rPr>
                <w:rFonts w:hint="eastAsia"/>
                <w:color w:val="1C1C1C"/>
              </w:rPr>
              <w:t>无锡市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746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2994.4 </w:t>
            </w:r>
          </w:p>
        </w:tc>
      </w:tr>
      <w:tr w:rsidR="002D6C73">
        <w:trPr>
          <w:trHeight w:val="300"/>
        </w:trPr>
        <w:tc>
          <w:tcPr>
            <w:tcW w:w="764" w:type="dxa"/>
            <w:noWrap/>
            <w:vAlign w:val="center"/>
          </w:tcPr>
          <w:p w:rsidR="002D6C73" w:rsidRDefault="00FB6868">
            <w:pPr>
              <w:jc w:val="center"/>
              <w:rPr>
                <w:color w:val="1C1C1C"/>
              </w:rPr>
            </w:pPr>
            <w:r>
              <w:rPr>
                <w:rFonts w:hint="eastAsia"/>
                <w:color w:val="1C1C1C"/>
              </w:rPr>
              <w:t>25</w:t>
            </w:r>
          </w:p>
        </w:tc>
        <w:tc>
          <w:tcPr>
            <w:tcW w:w="2316" w:type="dxa"/>
            <w:noWrap/>
            <w:vAlign w:val="center"/>
          </w:tcPr>
          <w:p w:rsidR="002D6C73" w:rsidRDefault="00FB6868">
            <w:pPr>
              <w:jc w:val="center"/>
              <w:rPr>
                <w:color w:val="1C1C1C"/>
              </w:rPr>
            </w:pPr>
            <w:r>
              <w:rPr>
                <w:rFonts w:hint="eastAsia"/>
                <w:color w:val="1C1C1C"/>
              </w:rPr>
              <w:t>江苏省</w:t>
            </w:r>
          </w:p>
        </w:tc>
        <w:tc>
          <w:tcPr>
            <w:tcW w:w="1546" w:type="dxa"/>
            <w:noWrap/>
            <w:vAlign w:val="center"/>
          </w:tcPr>
          <w:p w:rsidR="002D6C73" w:rsidRDefault="00FB6868">
            <w:pPr>
              <w:jc w:val="center"/>
              <w:rPr>
                <w:color w:val="1C1C1C"/>
              </w:rPr>
            </w:pPr>
            <w:r>
              <w:rPr>
                <w:rFonts w:hint="eastAsia"/>
                <w:color w:val="1C1C1C"/>
              </w:rPr>
              <w:t>徐州市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908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3286.1 </w:t>
            </w:r>
          </w:p>
        </w:tc>
      </w:tr>
      <w:tr w:rsidR="002D6C73">
        <w:trPr>
          <w:trHeight w:val="300"/>
        </w:trPr>
        <w:tc>
          <w:tcPr>
            <w:tcW w:w="764" w:type="dxa"/>
            <w:noWrap/>
            <w:vAlign w:val="center"/>
          </w:tcPr>
          <w:p w:rsidR="002D6C73" w:rsidRDefault="00FB6868">
            <w:pPr>
              <w:jc w:val="center"/>
              <w:rPr>
                <w:color w:val="1C1C1C"/>
              </w:rPr>
            </w:pPr>
            <w:r>
              <w:rPr>
                <w:rFonts w:hint="eastAsia"/>
                <w:color w:val="1C1C1C"/>
              </w:rPr>
              <w:t>26</w:t>
            </w:r>
          </w:p>
        </w:tc>
        <w:tc>
          <w:tcPr>
            <w:tcW w:w="2316" w:type="dxa"/>
            <w:noWrap/>
            <w:vAlign w:val="center"/>
          </w:tcPr>
          <w:p w:rsidR="002D6C73" w:rsidRDefault="00FB6868">
            <w:pPr>
              <w:jc w:val="center"/>
              <w:rPr>
                <w:color w:val="1C1C1C"/>
              </w:rPr>
            </w:pPr>
            <w:r>
              <w:rPr>
                <w:rFonts w:hint="eastAsia"/>
                <w:color w:val="1C1C1C"/>
              </w:rPr>
              <w:t>江苏省</w:t>
            </w:r>
          </w:p>
        </w:tc>
        <w:tc>
          <w:tcPr>
            <w:tcW w:w="1546" w:type="dxa"/>
            <w:noWrap/>
            <w:vAlign w:val="center"/>
          </w:tcPr>
          <w:p w:rsidR="002D6C73" w:rsidRDefault="00FB6868">
            <w:pPr>
              <w:jc w:val="center"/>
              <w:rPr>
                <w:color w:val="1C1C1C"/>
              </w:rPr>
            </w:pPr>
            <w:r>
              <w:rPr>
                <w:rFonts w:hint="eastAsia"/>
                <w:color w:val="1C1C1C"/>
              </w:rPr>
              <w:t>常州市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528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2421.4 </w:t>
            </w:r>
          </w:p>
        </w:tc>
      </w:tr>
      <w:tr w:rsidR="002D6C73">
        <w:trPr>
          <w:trHeight w:val="300"/>
        </w:trPr>
        <w:tc>
          <w:tcPr>
            <w:tcW w:w="764" w:type="dxa"/>
            <w:noWrap/>
            <w:vAlign w:val="center"/>
          </w:tcPr>
          <w:p w:rsidR="002D6C73" w:rsidRDefault="00FB6868">
            <w:pPr>
              <w:jc w:val="center"/>
              <w:rPr>
                <w:color w:val="1C1C1C"/>
              </w:rPr>
            </w:pPr>
            <w:r>
              <w:rPr>
                <w:rFonts w:hint="eastAsia"/>
                <w:color w:val="1C1C1C"/>
              </w:rPr>
              <w:t>27</w:t>
            </w:r>
          </w:p>
        </w:tc>
        <w:tc>
          <w:tcPr>
            <w:tcW w:w="2316" w:type="dxa"/>
            <w:noWrap/>
            <w:vAlign w:val="center"/>
          </w:tcPr>
          <w:p w:rsidR="002D6C73" w:rsidRDefault="00FB6868">
            <w:pPr>
              <w:jc w:val="center"/>
              <w:rPr>
                <w:color w:val="1C1C1C"/>
              </w:rPr>
            </w:pPr>
            <w:r>
              <w:rPr>
                <w:rFonts w:hint="eastAsia"/>
                <w:color w:val="1C1C1C"/>
              </w:rPr>
              <w:t>江苏省</w:t>
            </w:r>
          </w:p>
        </w:tc>
        <w:tc>
          <w:tcPr>
            <w:tcW w:w="1546" w:type="dxa"/>
            <w:noWrap/>
            <w:vAlign w:val="center"/>
          </w:tcPr>
          <w:p w:rsidR="002D6C73" w:rsidRDefault="00FB6868">
            <w:pPr>
              <w:jc w:val="center"/>
              <w:rPr>
                <w:color w:val="1C1C1C"/>
              </w:rPr>
            </w:pPr>
            <w:r>
              <w:rPr>
                <w:rFonts w:hint="eastAsia"/>
                <w:color w:val="1C1C1C"/>
              </w:rPr>
              <w:t>苏州市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1275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7702.0 </w:t>
            </w:r>
          </w:p>
        </w:tc>
      </w:tr>
      <w:tr w:rsidR="002D6C73">
        <w:trPr>
          <w:trHeight w:val="300"/>
        </w:trPr>
        <w:tc>
          <w:tcPr>
            <w:tcW w:w="764" w:type="dxa"/>
            <w:noWrap/>
            <w:vAlign w:val="center"/>
          </w:tcPr>
          <w:p w:rsidR="002D6C73" w:rsidRDefault="00FB6868">
            <w:pPr>
              <w:jc w:val="center"/>
              <w:rPr>
                <w:color w:val="1C1C1C"/>
              </w:rPr>
            </w:pPr>
            <w:r>
              <w:rPr>
                <w:rFonts w:hint="eastAsia"/>
                <w:color w:val="1C1C1C"/>
              </w:rPr>
              <w:t>28</w:t>
            </w:r>
          </w:p>
        </w:tc>
        <w:tc>
          <w:tcPr>
            <w:tcW w:w="2316" w:type="dxa"/>
            <w:noWrap/>
            <w:vAlign w:val="center"/>
          </w:tcPr>
          <w:p w:rsidR="002D6C73" w:rsidRDefault="00FB6868">
            <w:pPr>
              <w:jc w:val="center"/>
              <w:rPr>
                <w:color w:val="1C1C1C"/>
              </w:rPr>
            </w:pPr>
            <w:r>
              <w:rPr>
                <w:rFonts w:hint="eastAsia"/>
                <w:color w:val="1C1C1C"/>
              </w:rPr>
              <w:t>江苏省</w:t>
            </w:r>
          </w:p>
        </w:tc>
        <w:tc>
          <w:tcPr>
            <w:tcW w:w="1546" w:type="dxa"/>
            <w:noWrap/>
            <w:vAlign w:val="center"/>
          </w:tcPr>
          <w:p w:rsidR="002D6C73" w:rsidRDefault="00FB6868">
            <w:pPr>
              <w:jc w:val="center"/>
              <w:rPr>
                <w:color w:val="1C1C1C"/>
              </w:rPr>
            </w:pPr>
            <w:r>
              <w:rPr>
                <w:rFonts w:hint="eastAsia"/>
                <w:color w:val="1C1C1C"/>
              </w:rPr>
              <w:t>南通市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773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3370.4 </w:t>
            </w:r>
          </w:p>
        </w:tc>
      </w:tr>
      <w:tr w:rsidR="002D6C73">
        <w:trPr>
          <w:trHeight w:val="300"/>
        </w:trPr>
        <w:tc>
          <w:tcPr>
            <w:tcW w:w="764" w:type="dxa"/>
            <w:noWrap/>
            <w:vAlign w:val="center"/>
          </w:tcPr>
          <w:p w:rsidR="002D6C73" w:rsidRDefault="00FB6868">
            <w:pPr>
              <w:jc w:val="center"/>
              <w:rPr>
                <w:color w:val="1C1C1C"/>
              </w:rPr>
            </w:pPr>
            <w:r>
              <w:rPr>
                <w:rFonts w:hint="eastAsia"/>
                <w:color w:val="1C1C1C"/>
              </w:rPr>
              <w:t>29</w:t>
            </w:r>
          </w:p>
        </w:tc>
        <w:tc>
          <w:tcPr>
            <w:tcW w:w="2316" w:type="dxa"/>
            <w:noWrap/>
            <w:vAlign w:val="center"/>
          </w:tcPr>
          <w:p w:rsidR="002D6C73" w:rsidRDefault="00FB6868">
            <w:pPr>
              <w:jc w:val="center"/>
              <w:rPr>
                <w:color w:val="1C1C1C"/>
              </w:rPr>
            </w:pPr>
            <w:r>
              <w:rPr>
                <w:rFonts w:hint="eastAsia"/>
                <w:color w:val="1C1C1C"/>
              </w:rPr>
              <w:t>江苏省</w:t>
            </w:r>
          </w:p>
        </w:tc>
        <w:tc>
          <w:tcPr>
            <w:tcW w:w="1546" w:type="dxa"/>
            <w:noWrap/>
            <w:vAlign w:val="center"/>
          </w:tcPr>
          <w:p w:rsidR="002D6C73" w:rsidRDefault="00FB6868">
            <w:pPr>
              <w:jc w:val="center"/>
              <w:rPr>
                <w:color w:val="1C1C1C"/>
              </w:rPr>
            </w:pPr>
            <w:r>
              <w:rPr>
                <w:rFonts w:hint="eastAsia"/>
                <w:color w:val="1C1C1C"/>
              </w:rPr>
              <w:t>盐城市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671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2216.1 </w:t>
            </w:r>
          </w:p>
        </w:tc>
      </w:tr>
      <w:tr w:rsidR="002D6C73">
        <w:trPr>
          <w:trHeight w:val="300"/>
        </w:trPr>
        <w:tc>
          <w:tcPr>
            <w:tcW w:w="764" w:type="dxa"/>
            <w:noWrap/>
            <w:vAlign w:val="center"/>
          </w:tcPr>
          <w:p w:rsidR="002D6C73" w:rsidRDefault="00FB6868">
            <w:pPr>
              <w:jc w:val="center"/>
              <w:rPr>
                <w:color w:val="1C1C1C"/>
              </w:rPr>
            </w:pPr>
            <w:r>
              <w:rPr>
                <w:rFonts w:hint="eastAsia"/>
                <w:color w:val="1C1C1C"/>
              </w:rPr>
              <w:t>30</w:t>
            </w:r>
          </w:p>
        </w:tc>
        <w:tc>
          <w:tcPr>
            <w:tcW w:w="2316" w:type="dxa"/>
            <w:noWrap/>
            <w:vAlign w:val="center"/>
          </w:tcPr>
          <w:p w:rsidR="002D6C73" w:rsidRDefault="00FB6868">
            <w:pPr>
              <w:jc w:val="center"/>
              <w:rPr>
                <w:color w:val="1C1C1C"/>
              </w:rPr>
            </w:pPr>
            <w:r>
              <w:rPr>
                <w:rFonts w:hint="eastAsia"/>
                <w:color w:val="1C1C1C"/>
              </w:rPr>
              <w:t>浙江省</w:t>
            </w:r>
          </w:p>
        </w:tc>
        <w:tc>
          <w:tcPr>
            <w:tcW w:w="1546" w:type="dxa"/>
            <w:noWrap/>
            <w:vAlign w:val="center"/>
          </w:tcPr>
          <w:p w:rsidR="002D6C73" w:rsidRDefault="00FB6868">
            <w:pPr>
              <w:jc w:val="center"/>
              <w:rPr>
                <w:color w:val="1C1C1C"/>
              </w:rPr>
            </w:pPr>
            <w:r>
              <w:rPr>
                <w:rFonts w:hint="eastAsia"/>
                <w:color w:val="1C1C1C"/>
              </w:rPr>
              <w:t>杭州市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1194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6055.5 </w:t>
            </w:r>
          </w:p>
        </w:tc>
      </w:tr>
      <w:tr w:rsidR="002D6C73">
        <w:trPr>
          <w:trHeight w:val="300"/>
        </w:trPr>
        <w:tc>
          <w:tcPr>
            <w:tcW w:w="764" w:type="dxa"/>
            <w:noWrap/>
            <w:vAlign w:val="center"/>
          </w:tcPr>
          <w:p w:rsidR="002D6C73" w:rsidRDefault="00FB6868">
            <w:pPr>
              <w:jc w:val="center"/>
              <w:rPr>
                <w:color w:val="1C1C1C"/>
              </w:rPr>
            </w:pPr>
            <w:r>
              <w:rPr>
                <w:rFonts w:hint="eastAsia"/>
                <w:color w:val="1C1C1C"/>
              </w:rPr>
              <w:t>31</w:t>
            </w:r>
          </w:p>
        </w:tc>
        <w:tc>
          <w:tcPr>
            <w:tcW w:w="2316" w:type="dxa"/>
            <w:noWrap/>
            <w:vAlign w:val="center"/>
          </w:tcPr>
          <w:p w:rsidR="002D6C73" w:rsidRDefault="00FB6868">
            <w:pPr>
              <w:jc w:val="center"/>
              <w:rPr>
                <w:color w:val="1C1C1C"/>
              </w:rPr>
            </w:pPr>
            <w:r>
              <w:rPr>
                <w:rFonts w:hint="eastAsia"/>
                <w:color w:val="1C1C1C"/>
              </w:rPr>
              <w:t>浙江省</w:t>
            </w:r>
          </w:p>
        </w:tc>
        <w:tc>
          <w:tcPr>
            <w:tcW w:w="1546" w:type="dxa"/>
            <w:noWrap/>
            <w:vAlign w:val="center"/>
          </w:tcPr>
          <w:p w:rsidR="002D6C73" w:rsidRDefault="00FB6868">
            <w:pPr>
              <w:jc w:val="center"/>
              <w:rPr>
                <w:color w:val="1C1C1C"/>
              </w:rPr>
            </w:pPr>
            <w:r>
              <w:rPr>
                <w:rFonts w:hint="eastAsia"/>
                <w:color w:val="1C1C1C"/>
              </w:rPr>
              <w:t>宁波市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940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4238.3 </w:t>
            </w:r>
          </w:p>
        </w:tc>
      </w:tr>
      <w:tr w:rsidR="002D6C73">
        <w:trPr>
          <w:trHeight w:val="300"/>
        </w:trPr>
        <w:tc>
          <w:tcPr>
            <w:tcW w:w="764" w:type="dxa"/>
            <w:noWrap/>
            <w:vAlign w:val="center"/>
          </w:tcPr>
          <w:p w:rsidR="002D6C73" w:rsidRDefault="00FB6868">
            <w:pPr>
              <w:jc w:val="center"/>
              <w:rPr>
                <w:color w:val="1C1C1C"/>
              </w:rPr>
            </w:pPr>
            <w:r>
              <w:rPr>
                <w:rFonts w:hint="eastAsia"/>
                <w:color w:val="1C1C1C"/>
              </w:rPr>
              <w:t>32</w:t>
            </w:r>
          </w:p>
        </w:tc>
        <w:tc>
          <w:tcPr>
            <w:tcW w:w="2316" w:type="dxa"/>
            <w:noWrap/>
            <w:vAlign w:val="center"/>
          </w:tcPr>
          <w:p w:rsidR="002D6C73" w:rsidRDefault="00FB6868">
            <w:pPr>
              <w:jc w:val="center"/>
              <w:rPr>
                <w:color w:val="1C1C1C"/>
              </w:rPr>
            </w:pPr>
            <w:r>
              <w:rPr>
                <w:rFonts w:hint="eastAsia"/>
                <w:color w:val="1C1C1C"/>
              </w:rPr>
              <w:t>浙江省</w:t>
            </w:r>
          </w:p>
        </w:tc>
        <w:tc>
          <w:tcPr>
            <w:tcW w:w="1546" w:type="dxa"/>
            <w:noWrap/>
            <w:vAlign w:val="center"/>
          </w:tcPr>
          <w:p w:rsidR="002D6C73" w:rsidRDefault="00FB6868">
            <w:pPr>
              <w:jc w:val="center"/>
              <w:rPr>
                <w:color w:val="1C1C1C"/>
              </w:rPr>
            </w:pPr>
            <w:r>
              <w:rPr>
                <w:rFonts w:hint="eastAsia"/>
                <w:color w:val="1C1C1C"/>
              </w:rPr>
              <w:t>温州市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957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3497.8 </w:t>
            </w:r>
          </w:p>
        </w:tc>
      </w:tr>
      <w:tr w:rsidR="002D6C73">
        <w:trPr>
          <w:trHeight w:val="300"/>
        </w:trPr>
        <w:tc>
          <w:tcPr>
            <w:tcW w:w="764" w:type="dxa"/>
            <w:noWrap/>
            <w:vAlign w:val="center"/>
          </w:tcPr>
          <w:p w:rsidR="002D6C73" w:rsidRDefault="00FB6868">
            <w:pPr>
              <w:jc w:val="center"/>
              <w:rPr>
                <w:color w:val="1C1C1C"/>
              </w:rPr>
            </w:pPr>
            <w:r>
              <w:rPr>
                <w:rFonts w:hint="eastAsia"/>
                <w:color w:val="1C1C1C"/>
              </w:rPr>
              <w:t>33</w:t>
            </w:r>
          </w:p>
        </w:tc>
        <w:tc>
          <w:tcPr>
            <w:tcW w:w="2316" w:type="dxa"/>
            <w:noWrap/>
            <w:vAlign w:val="center"/>
          </w:tcPr>
          <w:p w:rsidR="002D6C73" w:rsidRDefault="00FB6868">
            <w:pPr>
              <w:jc w:val="center"/>
              <w:rPr>
                <w:color w:val="1C1C1C"/>
              </w:rPr>
            </w:pPr>
            <w:r>
              <w:rPr>
                <w:rFonts w:hint="eastAsia"/>
                <w:color w:val="1C1C1C"/>
              </w:rPr>
              <w:t>浙江省</w:t>
            </w:r>
          </w:p>
        </w:tc>
        <w:tc>
          <w:tcPr>
            <w:tcW w:w="1546" w:type="dxa"/>
            <w:noWrap/>
            <w:vAlign w:val="center"/>
          </w:tcPr>
          <w:p w:rsidR="002D6C73" w:rsidRDefault="00FB6868">
            <w:pPr>
              <w:jc w:val="center"/>
              <w:rPr>
                <w:color w:val="1C1C1C"/>
              </w:rPr>
            </w:pPr>
            <w:r>
              <w:rPr>
                <w:rFonts w:hint="eastAsia"/>
                <w:color w:val="1C1C1C"/>
              </w:rPr>
              <w:t>嘉兴市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540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2092.3 </w:t>
            </w:r>
          </w:p>
        </w:tc>
      </w:tr>
      <w:tr w:rsidR="002D6C73">
        <w:trPr>
          <w:trHeight w:val="300"/>
        </w:trPr>
        <w:tc>
          <w:tcPr>
            <w:tcW w:w="764" w:type="dxa"/>
            <w:noWrap/>
            <w:vAlign w:val="center"/>
          </w:tcPr>
          <w:p w:rsidR="002D6C73" w:rsidRDefault="00FB6868">
            <w:pPr>
              <w:jc w:val="center"/>
              <w:rPr>
                <w:color w:val="1C1C1C"/>
              </w:rPr>
            </w:pPr>
            <w:r>
              <w:rPr>
                <w:rFonts w:hint="eastAsia"/>
                <w:color w:val="1C1C1C"/>
              </w:rPr>
              <w:t>34</w:t>
            </w:r>
          </w:p>
        </w:tc>
        <w:tc>
          <w:tcPr>
            <w:tcW w:w="2316" w:type="dxa"/>
            <w:noWrap/>
            <w:vAlign w:val="center"/>
          </w:tcPr>
          <w:p w:rsidR="002D6C73" w:rsidRDefault="00FB6868">
            <w:pPr>
              <w:jc w:val="center"/>
              <w:rPr>
                <w:color w:val="1C1C1C"/>
              </w:rPr>
            </w:pPr>
            <w:r>
              <w:rPr>
                <w:rFonts w:hint="eastAsia"/>
                <w:color w:val="1C1C1C"/>
              </w:rPr>
              <w:t>浙江省</w:t>
            </w:r>
          </w:p>
        </w:tc>
        <w:tc>
          <w:tcPr>
            <w:tcW w:w="1546" w:type="dxa"/>
            <w:noWrap/>
            <w:vAlign w:val="center"/>
          </w:tcPr>
          <w:p w:rsidR="002D6C73" w:rsidRDefault="00FB6868">
            <w:pPr>
              <w:jc w:val="center"/>
              <w:rPr>
                <w:color w:val="1C1C1C"/>
              </w:rPr>
            </w:pPr>
            <w:r>
              <w:rPr>
                <w:rFonts w:hint="eastAsia"/>
                <w:color w:val="1C1C1C"/>
              </w:rPr>
              <w:t>绍兴市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527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2322.5 </w:t>
            </w:r>
          </w:p>
        </w:tc>
      </w:tr>
      <w:tr w:rsidR="002D6C73">
        <w:trPr>
          <w:trHeight w:val="300"/>
        </w:trPr>
        <w:tc>
          <w:tcPr>
            <w:tcW w:w="764" w:type="dxa"/>
            <w:noWrap/>
            <w:vAlign w:val="center"/>
          </w:tcPr>
          <w:p w:rsidR="002D6C73" w:rsidRDefault="00FB6868">
            <w:pPr>
              <w:jc w:val="center"/>
              <w:rPr>
                <w:color w:val="1C1C1C"/>
              </w:rPr>
            </w:pPr>
            <w:r>
              <w:rPr>
                <w:rFonts w:hint="eastAsia"/>
                <w:color w:val="1C1C1C"/>
              </w:rPr>
              <w:t>35</w:t>
            </w:r>
          </w:p>
        </w:tc>
        <w:tc>
          <w:tcPr>
            <w:tcW w:w="2316" w:type="dxa"/>
            <w:noWrap/>
            <w:vAlign w:val="center"/>
          </w:tcPr>
          <w:p w:rsidR="002D6C73" w:rsidRDefault="00FB6868">
            <w:pPr>
              <w:jc w:val="center"/>
              <w:rPr>
                <w:color w:val="1C1C1C"/>
              </w:rPr>
            </w:pPr>
            <w:r>
              <w:rPr>
                <w:rFonts w:hint="eastAsia"/>
                <w:color w:val="1C1C1C"/>
              </w:rPr>
              <w:t>浙江省</w:t>
            </w:r>
          </w:p>
        </w:tc>
        <w:tc>
          <w:tcPr>
            <w:tcW w:w="1546" w:type="dxa"/>
            <w:noWrap/>
            <w:vAlign w:val="center"/>
          </w:tcPr>
          <w:p w:rsidR="002D6C73" w:rsidRDefault="00FB6868">
            <w:pPr>
              <w:jc w:val="center"/>
              <w:rPr>
                <w:color w:val="1C1C1C"/>
              </w:rPr>
            </w:pPr>
            <w:r>
              <w:rPr>
                <w:rFonts w:hint="eastAsia"/>
                <w:color w:val="1C1C1C"/>
              </w:rPr>
              <w:t>金华市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705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2611.9 </w:t>
            </w:r>
          </w:p>
        </w:tc>
      </w:tr>
      <w:tr w:rsidR="002D6C73">
        <w:trPr>
          <w:trHeight w:val="300"/>
        </w:trPr>
        <w:tc>
          <w:tcPr>
            <w:tcW w:w="764" w:type="dxa"/>
            <w:noWrap/>
            <w:vAlign w:val="center"/>
          </w:tcPr>
          <w:p w:rsidR="002D6C73" w:rsidRDefault="00FB6868">
            <w:pPr>
              <w:jc w:val="center"/>
              <w:rPr>
                <w:color w:val="1C1C1C"/>
              </w:rPr>
            </w:pPr>
            <w:r>
              <w:rPr>
                <w:rFonts w:hint="eastAsia"/>
                <w:color w:val="1C1C1C"/>
              </w:rPr>
              <w:t>36</w:t>
            </w:r>
          </w:p>
        </w:tc>
        <w:tc>
          <w:tcPr>
            <w:tcW w:w="2316" w:type="dxa"/>
            <w:noWrap/>
            <w:vAlign w:val="center"/>
          </w:tcPr>
          <w:p w:rsidR="002D6C73" w:rsidRDefault="00FB6868">
            <w:pPr>
              <w:jc w:val="center"/>
              <w:rPr>
                <w:color w:val="1C1C1C"/>
              </w:rPr>
            </w:pPr>
            <w:r>
              <w:rPr>
                <w:rFonts w:hint="eastAsia"/>
                <w:color w:val="1C1C1C"/>
              </w:rPr>
              <w:t>浙江省</w:t>
            </w:r>
          </w:p>
        </w:tc>
        <w:tc>
          <w:tcPr>
            <w:tcW w:w="1546" w:type="dxa"/>
            <w:noWrap/>
            <w:vAlign w:val="center"/>
          </w:tcPr>
          <w:p w:rsidR="002D6C73" w:rsidRDefault="00FB6868">
            <w:pPr>
              <w:jc w:val="center"/>
              <w:rPr>
                <w:color w:val="1C1C1C"/>
              </w:rPr>
            </w:pPr>
            <w:r>
              <w:rPr>
                <w:rFonts w:hint="eastAsia"/>
                <w:color w:val="1C1C1C"/>
              </w:rPr>
              <w:t>台州市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662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2396.1 </w:t>
            </w:r>
          </w:p>
        </w:tc>
      </w:tr>
      <w:tr w:rsidR="002D6C73">
        <w:trPr>
          <w:trHeight w:val="300"/>
        </w:trPr>
        <w:tc>
          <w:tcPr>
            <w:tcW w:w="764" w:type="dxa"/>
            <w:noWrap/>
            <w:vAlign w:val="center"/>
          </w:tcPr>
          <w:p w:rsidR="002D6C73" w:rsidRDefault="00FB6868">
            <w:pPr>
              <w:jc w:val="center"/>
              <w:rPr>
                <w:color w:val="1C1C1C"/>
              </w:rPr>
            </w:pPr>
            <w:r>
              <w:rPr>
                <w:rFonts w:hint="eastAsia"/>
                <w:color w:val="1C1C1C"/>
              </w:rPr>
              <w:lastRenderedPageBreak/>
              <w:t>37</w:t>
            </w:r>
          </w:p>
        </w:tc>
        <w:tc>
          <w:tcPr>
            <w:tcW w:w="2316" w:type="dxa"/>
            <w:noWrap/>
            <w:vAlign w:val="center"/>
          </w:tcPr>
          <w:p w:rsidR="002D6C73" w:rsidRDefault="00FB6868">
            <w:pPr>
              <w:jc w:val="center"/>
              <w:rPr>
                <w:color w:val="1C1C1C"/>
              </w:rPr>
            </w:pPr>
            <w:r>
              <w:rPr>
                <w:rFonts w:hint="eastAsia"/>
                <w:color w:val="1C1C1C"/>
              </w:rPr>
              <w:t>安徽省</w:t>
            </w:r>
          </w:p>
        </w:tc>
        <w:tc>
          <w:tcPr>
            <w:tcW w:w="1546" w:type="dxa"/>
            <w:noWrap/>
            <w:vAlign w:val="center"/>
          </w:tcPr>
          <w:p w:rsidR="002D6C73" w:rsidRDefault="00FB6868">
            <w:pPr>
              <w:jc w:val="center"/>
              <w:rPr>
                <w:color w:val="1C1C1C"/>
              </w:rPr>
            </w:pPr>
            <w:r>
              <w:rPr>
                <w:rFonts w:hint="eastAsia"/>
                <w:color w:val="1C1C1C"/>
              </w:rPr>
              <w:t>合肥市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937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4513.8 </w:t>
            </w:r>
          </w:p>
        </w:tc>
      </w:tr>
      <w:tr w:rsidR="002D6C73">
        <w:trPr>
          <w:trHeight w:val="300"/>
        </w:trPr>
        <w:tc>
          <w:tcPr>
            <w:tcW w:w="764" w:type="dxa"/>
            <w:noWrap/>
            <w:vAlign w:val="center"/>
          </w:tcPr>
          <w:p w:rsidR="002D6C73" w:rsidRDefault="00FB6868">
            <w:pPr>
              <w:jc w:val="center"/>
              <w:rPr>
                <w:color w:val="1C1C1C"/>
              </w:rPr>
            </w:pPr>
            <w:r>
              <w:rPr>
                <w:rFonts w:hint="eastAsia"/>
                <w:color w:val="1C1C1C"/>
              </w:rPr>
              <w:t>38</w:t>
            </w:r>
          </w:p>
        </w:tc>
        <w:tc>
          <w:tcPr>
            <w:tcW w:w="2316" w:type="dxa"/>
            <w:noWrap/>
            <w:vAlign w:val="center"/>
          </w:tcPr>
          <w:p w:rsidR="002D6C73" w:rsidRDefault="00FB6868">
            <w:pPr>
              <w:jc w:val="center"/>
              <w:rPr>
                <w:color w:val="1C1C1C"/>
              </w:rPr>
            </w:pPr>
            <w:r>
              <w:rPr>
                <w:rFonts w:hint="eastAsia"/>
                <w:color w:val="1C1C1C"/>
              </w:rPr>
              <w:t>安徽省</w:t>
            </w:r>
          </w:p>
        </w:tc>
        <w:tc>
          <w:tcPr>
            <w:tcW w:w="1546" w:type="dxa"/>
            <w:noWrap/>
            <w:vAlign w:val="center"/>
          </w:tcPr>
          <w:p w:rsidR="002D6C73" w:rsidRDefault="00FB6868">
            <w:pPr>
              <w:jc w:val="center"/>
              <w:rPr>
                <w:color w:val="1C1C1C"/>
              </w:rPr>
            </w:pPr>
            <w:r>
              <w:rPr>
                <w:rFonts w:hint="eastAsia"/>
                <w:color w:val="1C1C1C"/>
              </w:rPr>
              <w:t>芜湖市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364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1584.4 </w:t>
            </w:r>
          </w:p>
        </w:tc>
      </w:tr>
      <w:tr w:rsidR="002D6C73">
        <w:trPr>
          <w:trHeight w:val="300"/>
        </w:trPr>
        <w:tc>
          <w:tcPr>
            <w:tcW w:w="764" w:type="dxa"/>
            <w:noWrap/>
            <w:vAlign w:val="center"/>
          </w:tcPr>
          <w:p w:rsidR="002D6C73" w:rsidRDefault="00FB6868">
            <w:pPr>
              <w:jc w:val="center"/>
              <w:rPr>
                <w:color w:val="1C1C1C"/>
              </w:rPr>
            </w:pPr>
            <w:r>
              <w:rPr>
                <w:rFonts w:hint="eastAsia"/>
                <w:color w:val="1C1C1C"/>
              </w:rPr>
              <w:t>39</w:t>
            </w:r>
          </w:p>
        </w:tc>
        <w:tc>
          <w:tcPr>
            <w:tcW w:w="2316" w:type="dxa"/>
            <w:noWrap/>
            <w:vAlign w:val="center"/>
          </w:tcPr>
          <w:p w:rsidR="002D6C73" w:rsidRDefault="00FB6868">
            <w:pPr>
              <w:jc w:val="center"/>
              <w:rPr>
                <w:color w:val="1C1C1C"/>
              </w:rPr>
            </w:pPr>
            <w:r>
              <w:rPr>
                <w:rFonts w:hint="eastAsia"/>
                <w:color w:val="1C1C1C"/>
              </w:rPr>
              <w:t>安徽省</w:t>
            </w:r>
          </w:p>
        </w:tc>
        <w:tc>
          <w:tcPr>
            <w:tcW w:w="1546" w:type="dxa"/>
            <w:noWrap/>
            <w:vAlign w:val="center"/>
          </w:tcPr>
          <w:p w:rsidR="002D6C73" w:rsidRDefault="00FB6868">
            <w:pPr>
              <w:jc w:val="center"/>
              <w:rPr>
                <w:color w:val="1C1C1C"/>
              </w:rPr>
            </w:pPr>
            <w:r>
              <w:rPr>
                <w:rFonts w:hint="eastAsia"/>
                <w:color w:val="1C1C1C"/>
              </w:rPr>
              <w:t>阜阳市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820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1836.6 </w:t>
            </w:r>
          </w:p>
        </w:tc>
      </w:tr>
      <w:tr w:rsidR="002D6C73">
        <w:trPr>
          <w:trHeight w:val="300"/>
        </w:trPr>
        <w:tc>
          <w:tcPr>
            <w:tcW w:w="764" w:type="dxa"/>
            <w:noWrap/>
            <w:vAlign w:val="center"/>
          </w:tcPr>
          <w:p w:rsidR="002D6C73" w:rsidRDefault="00FB6868">
            <w:pPr>
              <w:jc w:val="center"/>
              <w:rPr>
                <w:color w:val="1C1C1C"/>
              </w:rPr>
            </w:pPr>
            <w:r>
              <w:rPr>
                <w:rFonts w:hint="eastAsia"/>
                <w:color w:val="1C1C1C"/>
              </w:rPr>
              <w:t>40</w:t>
            </w:r>
          </w:p>
        </w:tc>
        <w:tc>
          <w:tcPr>
            <w:tcW w:w="2316" w:type="dxa"/>
            <w:noWrap/>
            <w:vAlign w:val="center"/>
          </w:tcPr>
          <w:p w:rsidR="002D6C73" w:rsidRDefault="00FB6868">
            <w:pPr>
              <w:jc w:val="center"/>
              <w:rPr>
                <w:color w:val="1C1C1C"/>
              </w:rPr>
            </w:pPr>
            <w:r>
              <w:rPr>
                <w:rFonts w:hint="eastAsia"/>
                <w:color w:val="1C1C1C"/>
              </w:rPr>
              <w:t>福建省</w:t>
            </w:r>
          </w:p>
        </w:tc>
        <w:tc>
          <w:tcPr>
            <w:tcW w:w="1546" w:type="dxa"/>
            <w:noWrap/>
            <w:vAlign w:val="center"/>
          </w:tcPr>
          <w:p w:rsidR="002D6C73" w:rsidRDefault="00FB6868">
            <w:pPr>
              <w:jc w:val="center"/>
              <w:rPr>
                <w:color w:val="1C1C1C"/>
              </w:rPr>
            </w:pPr>
            <w:r>
              <w:rPr>
                <w:rFonts w:hint="eastAsia"/>
                <w:color w:val="1C1C1C"/>
              </w:rPr>
              <w:t>福州市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829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4225.6 </w:t>
            </w:r>
          </w:p>
        </w:tc>
      </w:tr>
      <w:tr w:rsidR="002D6C73">
        <w:trPr>
          <w:trHeight w:val="300"/>
        </w:trPr>
        <w:tc>
          <w:tcPr>
            <w:tcW w:w="764" w:type="dxa"/>
            <w:noWrap/>
            <w:vAlign w:val="center"/>
          </w:tcPr>
          <w:p w:rsidR="002D6C73" w:rsidRDefault="00FB6868">
            <w:pPr>
              <w:jc w:val="center"/>
              <w:rPr>
                <w:color w:val="1C1C1C"/>
              </w:rPr>
            </w:pPr>
            <w:r>
              <w:rPr>
                <w:rFonts w:hint="eastAsia"/>
                <w:color w:val="1C1C1C"/>
              </w:rPr>
              <w:t>41</w:t>
            </w:r>
          </w:p>
        </w:tc>
        <w:tc>
          <w:tcPr>
            <w:tcW w:w="2316" w:type="dxa"/>
            <w:noWrap/>
            <w:vAlign w:val="center"/>
          </w:tcPr>
          <w:p w:rsidR="002D6C73" w:rsidRDefault="00FB6868">
            <w:pPr>
              <w:jc w:val="center"/>
              <w:rPr>
                <w:color w:val="1C1C1C"/>
              </w:rPr>
            </w:pPr>
            <w:r>
              <w:rPr>
                <w:rFonts w:hint="eastAsia"/>
                <w:color w:val="1C1C1C"/>
              </w:rPr>
              <w:t>福建省</w:t>
            </w:r>
          </w:p>
        </w:tc>
        <w:tc>
          <w:tcPr>
            <w:tcW w:w="1546" w:type="dxa"/>
            <w:noWrap/>
            <w:vAlign w:val="center"/>
          </w:tcPr>
          <w:p w:rsidR="002D6C73" w:rsidRDefault="00FB6868">
            <w:pPr>
              <w:jc w:val="center"/>
              <w:rPr>
                <w:color w:val="1C1C1C"/>
              </w:rPr>
            </w:pPr>
            <w:r>
              <w:rPr>
                <w:rFonts w:hint="eastAsia"/>
                <w:color w:val="1C1C1C"/>
              </w:rPr>
              <w:t>厦门市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516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2293.9 </w:t>
            </w:r>
          </w:p>
        </w:tc>
      </w:tr>
      <w:tr w:rsidR="002D6C73">
        <w:trPr>
          <w:trHeight w:val="300"/>
        </w:trPr>
        <w:tc>
          <w:tcPr>
            <w:tcW w:w="764" w:type="dxa"/>
            <w:noWrap/>
            <w:vAlign w:val="center"/>
          </w:tcPr>
          <w:p w:rsidR="002D6C73" w:rsidRDefault="00FB6868">
            <w:pPr>
              <w:jc w:val="center"/>
              <w:rPr>
                <w:color w:val="1C1C1C"/>
              </w:rPr>
            </w:pPr>
            <w:r>
              <w:rPr>
                <w:rFonts w:hint="eastAsia"/>
                <w:color w:val="1C1C1C"/>
              </w:rPr>
              <w:t>42</w:t>
            </w:r>
          </w:p>
        </w:tc>
        <w:tc>
          <w:tcPr>
            <w:tcW w:w="2316" w:type="dxa"/>
            <w:noWrap/>
            <w:vAlign w:val="center"/>
          </w:tcPr>
          <w:p w:rsidR="002D6C73" w:rsidRDefault="00FB6868">
            <w:pPr>
              <w:jc w:val="center"/>
              <w:rPr>
                <w:color w:val="1C1C1C"/>
              </w:rPr>
            </w:pPr>
            <w:r>
              <w:rPr>
                <w:rFonts w:hint="eastAsia"/>
                <w:color w:val="1C1C1C"/>
              </w:rPr>
              <w:t>福建省</w:t>
            </w:r>
          </w:p>
        </w:tc>
        <w:tc>
          <w:tcPr>
            <w:tcW w:w="1546" w:type="dxa"/>
            <w:noWrap/>
            <w:vAlign w:val="center"/>
          </w:tcPr>
          <w:p w:rsidR="002D6C73" w:rsidRDefault="00FB6868">
            <w:pPr>
              <w:jc w:val="center"/>
              <w:rPr>
                <w:color w:val="1C1C1C"/>
              </w:rPr>
            </w:pPr>
            <w:r>
              <w:rPr>
                <w:rFonts w:hint="eastAsia"/>
                <w:color w:val="1C1C1C"/>
              </w:rPr>
              <w:t>泉州市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878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5228.9 </w:t>
            </w:r>
          </w:p>
        </w:tc>
      </w:tr>
      <w:tr w:rsidR="002D6C73">
        <w:trPr>
          <w:trHeight w:val="300"/>
        </w:trPr>
        <w:tc>
          <w:tcPr>
            <w:tcW w:w="764" w:type="dxa"/>
            <w:noWrap/>
            <w:vAlign w:val="center"/>
          </w:tcPr>
          <w:p w:rsidR="002D6C73" w:rsidRDefault="00FB6868">
            <w:pPr>
              <w:jc w:val="center"/>
              <w:rPr>
                <w:color w:val="1C1C1C"/>
              </w:rPr>
            </w:pPr>
            <w:r>
              <w:rPr>
                <w:rFonts w:hint="eastAsia"/>
                <w:color w:val="1C1C1C"/>
              </w:rPr>
              <w:t>43</w:t>
            </w:r>
          </w:p>
        </w:tc>
        <w:tc>
          <w:tcPr>
            <w:tcW w:w="2316" w:type="dxa"/>
            <w:noWrap/>
            <w:vAlign w:val="center"/>
          </w:tcPr>
          <w:p w:rsidR="002D6C73" w:rsidRDefault="00FB6868">
            <w:pPr>
              <w:jc w:val="center"/>
              <w:rPr>
                <w:color w:val="1C1C1C"/>
              </w:rPr>
            </w:pPr>
            <w:r>
              <w:rPr>
                <w:rFonts w:hint="eastAsia"/>
                <w:color w:val="1C1C1C"/>
              </w:rPr>
              <w:t>江西省</w:t>
            </w:r>
          </w:p>
        </w:tc>
        <w:tc>
          <w:tcPr>
            <w:tcW w:w="1546" w:type="dxa"/>
            <w:noWrap/>
            <w:vAlign w:val="center"/>
          </w:tcPr>
          <w:p w:rsidR="002D6C73" w:rsidRDefault="00FB6868">
            <w:pPr>
              <w:jc w:val="center"/>
              <w:rPr>
                <w:color w:val="1C1C1C"/>
              </w:rPr>
            </w:pPr>
            <w:r>
              <w:rPr>
                <w:rFonts w:hint="eastAsia"/>
                <w:color w:val="1C1C1C"/>
              </w:rPr>
              <w:t>南昌市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626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2452.7 </w:t>
            </w:r>
          </w:p>
        </w:tc>
      </w:tr>
      <w:tr w:rsidR="002D6C73">
        <w:trPr>
          <w:trHeight w:val="300"/>
        </w:trPr>
        <w:tc>
          <w:tcPr>
            <w:tcW w:w="764" w:type="dxa"/>
            <w:noWrap/>
            <w:vAlign w:val="center"/>
          </w:tcPr>
          <w:p w:rsidR="002D6C73" w:rsidRDefault="00FB6868">
            <w:pPr>
              <w:jc w:val="center"/>
              <w:rPr>
                <w:color w:val="1C1C1C"/>
              </w:rPr>
            </w:pPr>
            <w:r>
              <w:rPr>
                <w:rFonts w:hint="eastAsia"/>
                <w:color w:val="1C1C1C"/>
              </w:rPr>
              <w:t>44</w:t>
            </w:r>
          </w:p>
        </w:tc>
        <w:tc>
          <w:tcPr>
            <w:tcW w:w="2316" w:type="dxa"/>
            <w:noWrap/>
            <w:vAlign w:val="center"/>
          </w:tcPr>
          <w:p w:rsidR="002D6C73" w:rsidRDefault="00FB6868">
            <w:pPr>
              <w:jc w:val="center"/>
              <w:rPr>
                <w:color w:val="1C1C1C"/>
              </w:rPr>
            </w:pPr>
            <w:r>
              <w:rPr>
                <w:rFonts w:hint="eastAsia"/>
                <w:color w:val="1C1C1C"/>
              </w:rPr>
              <w:t>江西省</w:t>
            </w:r>
          </w:p>
        </w:tc>
        <w:tc>
          <w:tcPr>
            <w:tcW w:w="1546" w:type="dxa"/>
            <w:noWrap/>
            <w:vAlign w:val="center"/>
          </w:tcPr>
          <w:p w:rsidR="002D6C73" w:rsidRDefault="00FB6868">
            <w:pPr>
              <w:jc w:val="center"/>
              <w:rPr>
                <w:color w:val="1C1C1C"/>
              </w:rPr>
            </w:pPr>
            <w:r>
              <w:rPr>
                <w:rFonts w:hint="eastAsia"/>
                <w:color w:val="1C1C1C"/>
              </w:rPr>
              <w:t>赣州市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897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1684.5 </w:t>
            </w:r>
          </w:p>
        </w:tc>
      </w:tr>
      <w:tr w:rsidR="002D6C73">
        <w:trPr>
          <w:trHeight w:val="300"/>
        </w:trPr>
        <w:tc>
          <w:tcPr>
            <w:tcW w:w="764" w:type="dxa"/>
            <w:noWrap/>
            <w:vAlign w:val="center"/>
          </w:tcPr>
          <w:p w:rsidR="002D6C73" w:rsidRDefault="00FB6868">
            <w:pPr>
              <w:jc w:val="center"/>
              <w:rPr>
                <w:color w:val="1C1C1C"/>
              </w:rPr>
            </w:pPr>
            <w:r>
              <w:rPr>
                <w:rFonts w:hint="eastAsia"/>
                <w:color w:val="1C1C1C"/>
              </w:rPr>
              <w:t>45</w:t>
            </w:r>
          </w:p>
        </w:tc>
        <w:tc>
          <w:tcPr>
            <w:tcW w:w="2316" w:type="dxa"/>
            <w:noWrap/>
            <w:vAlign w:val="center"/>
          </w:tcPr>
          <w:p w:rsidR="002D6C73" w:rsidRDefault="00FB6868">
            <w:pPr>
              <w:jc w:val="center"/>
              <w:rPr>
                <w:color w:val="1C1C1C"/>
              </w:rPr>
            </w:pPr>
            <w:r>
              <w:rPr>
                <w:rFonts w:hint="eastAsia"/>
                <w:color w:val="1C1C1C"/>
              </w:rPr>
              <w:t>江西省</w:t>
            </w:r>
          </w:p>
        </w:tc>
        <w:tc>
          <w:tcPr>
            <w:tcW w:w="1546" w:type="dxa"/>
            <w:noWrap/>
            <w:vAlign w:val="center"/>
          </w:tcPr>
          <w:p w:rsidR="002D6C73" w:rsidRDefault="00FB6868">
            <w:pPr>
              <w:jc w:val="center"/>
              <w:rPr>
                <w:color w:val="1C1C1C"/>
              </w:rPr>
            </w:pPr>
            <w:r>
              <w:rPr>
                <w:rFonts w:hint="eastAsia"/>
                <w:color w:val="1C1C1C"/>
              </w:rPr>
              <w:t>上饶市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649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1229.4 </w:t>
            </w:r>
          </w:p>
        </w:tc>
      </w:tr>
      <w:tr w:rsidR="002D6C73">
        <w:trPr>
          <w:trHeight w:val="300"/>
        </w:trPr>
        <w:tc>
          <w:tcPr>
            <w:tcW w:w="764" w:type="dxa"/>
            <w:noWrap/>
            <w:vAlign w:val="center"/>
          </w:tcPr>
          <w:p w:rsidR="002D6C73" w:rsidRDefault="00FB6868">
            <w:pPr>
              <w:jc w:val="center"/>
              <w:rPr>
                <w:color w:val="1C1C1C"/>
              </w:rPr>
            </w:pPr>
            <w:r>
              <w:rPr>
                <w:rFonts w:hint="eastAsia"/>
                <w:color w:val="1C1C1C"/>
              </w:rPr>
              <w:t>46</w:t>
            </w:r>
          </w:p>
        </w:tc>
        <w:tc>
          <w:tcPr>
            <w:tcW w:w="2316" w:type="dxa"/>
            <w:noWrap/>
            <w:vAlign w:val="center"/>
          </w:tcPr>
          <w:p w:rsidR="002D6C73" w:rsidRDefault="00FB6868">
            <w:pPr>
              <w:jc w:val="center"/>
              <w:rPr>
                <w:color w:val="1C1C1C"/>
              </w:rPr>
            </w:pPr>
            <w:r>
              <w:rPr>
                <w:rFonts w:hint="eastAsia"/>
                <w:color w:val="1C1C1C"/>
              </w:rPr>
              <w:t>山东省</w:t>
            </w:r>
          </w:p>
        </w:tc>
        <w:tc>
          <w:tcPr>
            <w:tcW w:w="1546" w:type="dxa"/>
            <w:noWrap/>
            <w:vAlign w:val="center"/>
          </w:tcPr>
          <w:p w:rsidR="002D6C73" w:rsidRDefault="00FB6868">
            <w:pPr>
              <w:jc w:val="center"/>
              <w:rPr>
                <w:color w:val="1C1C1C"/>
              </w:rPr>
            </w:pPr>
            <w:r>
              <w:rPr>
                <w:rFonts w:hint="eastAsia"/>
                <w:color w:val="1C1C1C"/>
              </w:rPr>
              <w:t>济南市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920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4469.1 </w:t>
            </w:r>
          </w:p>
        </w:tc>
      </w:tr>
      <w:tr w:rsidR="002D6C73">
        <w:trPr>
          <w:trHeight w:val="300"/>
        </w:trPr>
        <w:tc>
          <w:tcPr>
            <w:tcW w:w="764" w:type="dxa"/>
            <w:noWrap/>
            <w:vAlign w:val="center"/>
          </w:tcPr>
          <w:p w:rsidR="002D6C73" w:rsidRDefault="00FB6868">
            <w:pPr>
              <w:jc w:val="center"/>
              <w:rPr>
                <w:color w:val="1C1C1C"/>
              </w:rPr>
            </w:pPr>
            <w:r>
              <w:rPr>
                <w:rFonts w:hint="eastAsia"/>
                <w:color w:val="1C1C1C"/>
              </w:rPr>
              <w:t>47</w:t>
            </w:r>
          </w:p>
        </w:tc>
        <w:tc>
          <w:tcPr>
            <w:tcW w:w="2316" w:type="dxa"/>
            <w:noWrap/>
            <w:vAlign w:val="center"/>
          </w:tcPr>
          <w:p w:rsidR="002D6C73" w:rsidRDefault="00FB6868">
            <w:pPr>
              <w:jc w:val="center"/>
              <w:rPr>
                <w:color w:val="1C1C1C"/>
              </w:rPr>
            </w:pPr>
            <w:r>
              <w:rPr>
                <w:rFonts w:hint="eastAsia"/>
                <w:color w:val="1C1C1C"/>
              </w:rPr>
              <w:t>山东省</w:t>
            </w:r>
          </w:p>
        </w:tc>
        <w:tc>
          <w:tcPr>
            <w:tcW w:w="1546" w:type="dxa"/>
            <w:noWrap/>
            <w:vAlign w:val="center"/>
          </w:tcPr>
          <w:p w:rsidR="002D6C73" w:rsidRDefault="00FB6868">
            <w:pPr>
              <w:jc w:val="center"/>
              <w:rPr>
                <w:color w:val="1C1C1C"/>
              </w:rPr>
            </w:pPr>
            <w:r>
              <w:rPr>
                <w:rFonts w:hint="eastAsia"/>
                <w:color w:val="1C1C1C"/>
              </w:rPr>
              <w:t>青岛市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1007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5203.5 </w:t>
            </w:r>
          </w:p>
        </w:tc>
      </w:tr>
      <w:tr w:rsidR="002D6C73">
        <w:trPr>
          <w:trHeight w:val="300"/>
        </w:trPr>
        <w:tc>
          <w:tcPr>
            <w:tcW w:w="764" w:type="dxa"/>
            <w:noWrap/>
            <w:vAlign w:val="center"/>
          </w:tcPr>
          <w:p w:rsidR="002D6C73" w:rsidRDefault="00FB6868">
            <w:pPr>
              <w:jc w:val="center"/>
              <w:rPr>
                <w:color w:val="1C1C1C"/>
              </w:rPr>
            </w:pPr>
            <w:r>
              <w:rPr>
                <w:rFonts w:hint="eastAsia"/>
                <w:color w:val="1C1C1C"/>
              </w:rPr>
              <w:t>48</w:t>
            </w:r>
          </w:p>
        </w:tc>
        <w:tc>
          <w:tcPr>
            <w:tcW w:w="2316" w:type="dxa"/>
            <w:noWrap/>
            <w:vAlign w:val="center"/>
          </w:tcPr>
          <w:p w:rsidR="002D6C73" w:rsidRDefault="00FB6868">
            <w:pPr>
              <w:jc w:val="center"/>
              <w:rPr>
                <w:color w:val="1C1C1C"/>
              </w:rPr>
            </w:pPr>
            <w:r>
              <w:rPr>
                <w:rFonts w:hint="eastAsia"/>
                <w:color w:val="1C1C1C"/>
              </w:rPr>
              <w:t>山东省</w:t>
            </w:r>
          </w:p>
        </w:tc>
        <w:tc>
          <w:tcPr>
            <w:tcW w:w="1546" w:type="dxa"/>
            <w:noWrap/>
            <w:vAlign w:val="center"/>
          </w:tcPr>
          <w:p w:rsidR="002D6C73" w:rsidRDefault="00FB6868">
            <w:pPr>
              <w:jc w:val="center"/>
              <w:rPr>
                <w:color w:val="1C1C1C"/>
              </w:rPr>
            </w:pPr>
            <w:r>
              <w:rPr>
                <w:rFonts w:hint="eastAsia"/>
                <w:color w:val="1C1C1C"/>
              </w:rPr>
              <w:t>淄博市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470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1134.7 </w:t>
            </w:r>
          </w:p>
        </w:tc>
      </w:tr>
      <w:tr w:rsidR="002D6C73">
        <w:trPr>
          <w:trHeight w:val="300"/>
        </w:trPr>
        <w:tc>
          <w:tcPr>
            <w:tcW w:w="764" w:type="dxa"/>
            <w:noWrap/>
            <w:vAlign w:val="center"/>
          </w:tcPr>
          <w:p w:rsidR="002D6C73" w:rsidRDefault="00FB6868">
            <w:pPr>
              <w:jc w:val="center"/>
              <w:rPr>
                <w:color w:val="1C1C1C"/>
              </w:rPr>
            </w:pPr>
            <w:r>
              <w:rPr>
                <w:rFonts w:hint="eastAsia"/>
                <w:color w:val="1C1C1C"/>
              </w:rPr>
              <w:t>49</w:t>
            </w:r>
          </w:p>
        </w:tc>
        <w:tc>
          <w:tcPr>
            <w:tcW w:w="2316" w:type="dxa"/>
            <w:noWrap/>
            <w:vAlign w:val="center"/>
          </w:tcPr>
          <w:p w:rsidR="002D6C73" w:rsidRDefault="00FB6868">
            <w:pPr>
              <w:jc w:val="center"/>
              <w:rPr>
                <w:color w:val="1C1C1C"/>
              </w:rPr>
            </w:pPr>
            <w:r>
              <w:rPr>
                <w:rFonts w:hint="eastAsia"/>
                <w:color w:val="1C1C1C"/>
              </w:rPr>
              <w:t>山东省</w:t>
            </w:r>
          </w:p>
        </w:tc>
        <w:tc>
          <w:tcPr>
            <w:tcW w:w="1546" w:type="dxa"/>
            <w:noWrap/>
            <w:vAlign w:val="center"/>
          </w:tcPr>
          <w:p w:rsidR="002D6C73" w:rsidRDefault="00FB6868">
            <w:pPr>
              <w:jc w:val="center"/>
              <w:rPr>
                <w:color w:val="1C1C1C"/>
              </w:rPr>
            </w:pPr>
            <w:r>
              <w:rPr>
                <w:rFonts w:hint="eastAsia"/>
                <w:color w:val="1C1C1C"/>
              </w:rPr>
              <w:t>烟台市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710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2800.0 </w:t>
            </w:r>
          </w:p>
        </w:tc>
      </w:tr>
      <w:tr w:rsidR="002D6C73">
        <w:trPr>
          <w:trHeight w:val="300"/>
        </w:trPr>
        <w:tc>
          <w:tcPr>
            <w:tcW w:w="764" w:type="dxa"/>
            <w:noWrap/>
            <w:vAlign w:val="center"/>
          </w:tcPr>
          <w:p w:rsidR="002D6C73" w:rsidRDefault="00FB6868">
            <w:pPr>
              <w:jc w:val="center"/>
              <w:rPr>
                <w:color w:val="1C1C1C"/>
              </w:rPr>
            </w:pPr>
            <w:r>
              <w:rPr>
                <w:rFonts w:hint="eastAsia"/>
                <w:color w:val="1C1C1C"/>
              </w:rPr>
              <w:t>50</w:t>
            </w:r>
          </w:p>
        </w:tc>
        <w:tc>
          <w:tcPr>
            <w:tcW w:w="2316" w:type="dxa"/>
            <w:noWrap/>
            <w:vAlign w:val="center"/>
          </w:tcPr>
          <w:p w:rsidR="002D6C73" w:rsidRDefault="00FB6868">
            <w:pPr>
              <w:jc w:val="center"/>
              <w:rPr>
                <w:color w:val="1C1C1C"/>
              </w:rPr>
            </w:pPr>
            <w:r>
              <w:rPr>
                <w:rFonts w:hint="eastAsia"/>
                <w:color w:val="1C1C1C"/>
              </w:rPr>
              <w:t>山东省</w:t>
            </w:r>
          </w:p>
        </w:tc>
        <w:tc>
          <w:tcPr>
            <w:tcW w:w="1546" w:type="dxa"/>
            <w:noWrap/>
            <w:vAlign w:val="center"/>
          </w:tcPr>
          <w:p w:rsidR="002D6C73" w:rsidRDefault="00FB6868">
            <w:pPr>
              <w:jc w:val="center"/>
              <w:rPr>
                <w:color w:val="1C1C1C"/>
              </w:rPr>
            </w:pPr>
            <w:r>
              <w:rPr>
                <w:rFonts w:hint="eastAsia"/>
                <w:color w:val="1C1C1C"/>
              </w:rPr>
              <w:t>潍坊市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939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2389.8 </w:t>
            </w:r>
          </w:p>
        </w:tc>
      </w:tr>
      <w:tr w:rsidR="002D6C73">
        <w:trPr>
          <w:trHeight w:val="300"/>
        </w:trPr>
        <w:tc>
          <w:tcPr>
            <w:tcW w:w="764" w:type="dxa"/>
            <w:noWrap/>
            <w:vAlign w:val="center"/>
          </w:tcPr>
          <w:p w:rsidR="002D6C73" w:rsidRDefault="00FB6868">
            <w:pPr>
              <w:jc w:val="center"/>
              <w:rPr>
                <w:color w:val="1C1C1C"/>
              </w:rPr>
            </w:pPr>
            <w:r>
              <w:rPr>
                <w:rFonts w:hint="eastAsia"/>
                <w:color w:val="1C1C1C"/>
              </w:rPr>
              <w:t>51</w:t>
            </w:r>
          </w:p>
        </w:tc>
        <w:tc>
          <w:tcPr>
            <w:tcW w:w="2316" w:type="dxa"/>
            <w:noWrap/>
            <w:vAlign w:val="center"/>
          </w:tcPr>
          <w:p w:rsidR="002D6C73" w:rsidRDefault="00FB6868">
            <w:pPr>
              <w:jc w:val="center"/>
              <w:rPr>
                <w:color w:val="1C1C1C"/>
              </w:rPr>
            </w:pPr>
            <w:r>
              <w:rPr>
                <w:rFonts w:hint="eastAsia"/>
                <w:color w:val="1C1C1C"/>
              </w:rPr>
              <w:t>山东省</w:t>
            </w:r>
          </w:p>
        </w:tc>
        <w:tc>
          <w:tcPr>
            <w:tcW w:w="1546" w:type="dxa"/>
            <w:noWrap/>
            <w:vAlign w:val="center"/>
          </w:tcPr>
          <w:p w:rsidR="002D6C73" w:rsidRDefault="00FB6868">
            <w:pPr>
              <w:jc w:val="center"/>
              <w:rPr>
                <w:color w:val="1C1C1C"/>
              </w:rPr>
            </w:pPr>
            <w:r>
              <w:rPr>
                <w:rFonts w:hint="eastAsia"/>
                <w:color w:val="1C1C1C"/>
              </w:rPr>
              <w:t>济宁市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836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2127.3 </w:t>
            </w:r>
          </w:p>
        </w:tc>
      </w:tr>
      <w:tr w:rsidR="002D6C73">
        <w:trPr>
          <w:trHeight w:val="300"/>
        </w:trPr>
        <w:tc>
          <w:tcPr>
            <w:tcW w:w="764" w:type="dxa"/>
            <w:noWrap/>
            <w:vAlign w:val="center"/>
          </w:tcPr>
          <w:p w:rsidR="002D6C73" w:rsidRDefault="00FB6868">
            <w:pPr>
              <w:jc w:val="center"/>
              <w:rPr>
                <w:color w:val="1C1C1C"/>
              </w:rPr>
            </w:pPr>
            <w:r>
              <w:rPr>
                <w:rFonts w:hint="eastAsia"/>
                <w:color w:val="1C1C1C"/>
              </w:rPr>
              <w:t>52</w:t>
            </w:r>
          </w:p>
        </w:tc>
        <w:tc>
          <w:tcPr>
            <w:tcW w:w="2316" w:type="dxa"/>
            <w:noWrap/>
            <w:vAlign w:val="center"/>
          </w:tcPr>
          <w:p w:rsidR="002D6C73" w:rsidRDefault="00FB6868">
            <w:pPr>
              <w:jc w:val="center"/>
              <w:rPr>
                <w:color w:val="1C1C1C"/>
              </w:rPr>
            </w:pPr>
            <w:r>
              <w:rPr>
                <w:rFonts w:hint="eastAsia"/>
                <w:color w:val="1C1C1C"/>
              </w:rPr>
              <w:t>山东省</w:t>
            </w:r>
          </w:p>
        </w:tc>
        <w:tc>
          <w:tcPr>
            <w:tcW w:w="1546" w:type="dxa"/>
            <w:noWrap/>
            <w:vAlign w:val="center"/>
          </w:tcPr>
          <w:p w:rsidR="002D6C73" w:rsidRDefault="00FB6868">
            <w:pPr>
              <w:jc w:val="center"/>
              <w:rPr>
                <w:color w:val="1C1C1C"/>
              </w:rPr>
            </w:pPr>
            <w:r>
              <w:rPr>
                <w:rFonts w:hint="eastAsia"/>
                <w:color w:val="1C1C1C"/>
              </w:rPr>
              <w:t>临沂市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1102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2528.2 </w:t>
            </w:r>
          </w:p>
        </w:tc>
      </w:tr>
      <w:tr w:rsidR="002D6C73">
        <w:trPr>
          <w:trHeight w:val="300"/>
        </w:trPr>
        <w:tc>
          <w:tcPr>
            <w:tcW w:w="764" w:type="dxa"/>
            <w:noWrap/>
            <w:vAlign w:val="center"/>
          </w:tcPr>
          <w:p w:rsidR="002D6C73" w:rsidRDefault="00FB6868">
            <w:pPr>
              <w:jc w:val="center"/>
              <w:rPr>
                <w:color w:val="1C1C1C"/>
              </w:rPr>
            </w:pPr>
            <w:r>
              <w:rPr>
                <w:rFonts w:hint="eastAsia"/>
                <w:color w:val="1C1C1C"/>
              </w:rPr>
              <w:t>53</w:t>
            </w:r>
          </w:p>
        </w:tc>
        <w:tc>
          <w:tcPr>
            <w:tcW w:w="2316" w:type="dxa"/>
            <w:noWrap/>
            <w:vAlign w:val="center"/>
          </w:tcPr>
          <w:p w:rsidR="002D6C73" w:rsidRDefault="00FB6868">
            <w:pPr>
              <w:jc w:val="center"/>
              <w:rPr>
                <w:color w:val="1C1C1C"/>
              </w:rPr>
            </w:pPr>
            <w:r>
              <w:rPr>
                <w:rFonts w:hint="eastAsia"/>
                <w:color w:val="1C1C1C"/>
              </w:rPr>
              <w:t>河南省</w:t>
            </w:r>
          </w:p>
        </w:tc>
        <w:tc>
          <w:tcPr>
            <w:tcW w:w="1546" w:type="dxa"/>
            <w:noWrap/>
            <w:vAlign w:val="center"/>
          </w:tcPr>
          <w:p w:rsidR="002D6C73" w:rsidRDefault="00FB6868">
            <w:pPr>
              <w:jc w:val="center"/>
              <w:rPr>
                <w:color w:val="1C1C1C"/>
              </w:rPr>
            </w:pPr>
            <w:r>
              <w:rPr>
                <w:rFonts w:hint="eastAsia"/>
                <w:color w:val="1C1C1C"/>
              </w:rPr>
              <w:t>郑州市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1260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5076.3 </w:t>
            </w:r>
          </w:p>
        </w:tc>
      </w:tr>
      <w:tr w:rsidR="002D6C73">
        <w:trPr>
          <w:trHeight w:val="300"/>
        </w:trPr>
        <w:tc>
          <w:tcPr>
            <w:tcW w:w="764" w:type="dxa"/>
            <w:noWrap/>
            <w:vAlign w:val="center"/>
          </w:tcPr>
          <w:p w:rsidR="002D6C73" w:rsidRDefault="00FB6868">
            <w:pPr>
              <w:jc w:val="center"/>
              <w:rPr>
                <w:color w:val="1C1C1C"/>
              </w:rPr>
            </w:pPr>
            <w:r>
              <w:rPr>
                <w:rFonts w:hint="eastAsia"/>
                <w:color w:val="1C1C1C"/>
              </w:rPr>
              <w:t>54</w:t>
            </w:r>
          </w:p>
        </w:tc>
        <w:tc>
          <w:tcPr>
            <w:tcW w:w="2316" w:type="dxa"/>
            <w:noWrap/>
            <w:vAlign w:val="center"/>
          </w:tcPr>
          <w:p w:rsidR="002D6C73" w:rsidRDefault="00FB6868">
            <w:pPr>
              <w:jc w:val="center"/>
              <w:rPr>
                <w:color w:val="1C1C1C"/>
              </w:rPr>
            </w:pPr>
            <w:r>
              <w:rPr>
                <w:rFonts w:hint="eastAsia"/>
                <w:color w:val="1C1C1C"/>
              </w:rPr>
              <w:t>河南省</w:t>
            </w:r>
          </w:p>
        </w:tc>
        <w:tc>
          <w:tcPr>
            <w:tcW w:w="1546" w:type="dxa"/>
            <w:noWrap/>
            <w:vAlign w:val="center"/>
          </w:tcPr>
          <w:p w:rsidR="002D6C73" w:rsidRDefault="00FB6868">
            <w:pPr>
              <w:jc w:val="center"/>
              <w:rPr>
                <w:color w:val="1C1C1C"/>
              </w:rPr>
            </w:pPr>
            <w:r>
              <w:rPr>
                <w:rFonts w:hint="eastAsia"/>
                <w:color w:val="1C1C1C"/>
              </w:rPr>
              <w:t>洛阳市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706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2105.6 </w:t>
            </w:r>
          </w:p>
        </w:tc>
      </w:tr>
      <w:tr w:rsidR="002D6C73">
        <w:trPr>
          <w:trHeight w:val="300"/>
        </w:trPr>
        <w:tc>
          <w:tcPr>
            <w:tcW w:w="764" w:type="dxa"/>
            <w:noWrap/>
            <w:vAlign w:val="center"/>
          </w:tcPr>
          <w:p w:rsidR="002D6C73" w:rsidRDefault="00FB6868">
            <w:pPr>
              <w:jc w:val="center"/>
              <w:rPr>
                <w:color w:val="1C1C1C"/>
              </w:rPr>
            </w:pPr>
            <w:r>
              <w:rPr>
                <w:rFonts w:hint="eastAsia"/>
                <w:color w:val="1C1C1C"/>
              </w:rPr>
              <w:t>55</w:t>
            </w:r>
          </w:p>
        </w:tc>
        <w:tc>
          <w:tcPr>
            <w:tcW w:w="2316" w:type="dxa"/>
            <w:noWrap/>
            <w:vAlign w:val="center"/>
          </w:tcPr>
          <w:p w:rsidR="002D6C73" w:rsidRDefault="00FB6868">
            <w:pPr>
              <w:jc w:val="center"/>
              <w:rPr>
                <w:color w:val="1C1C1C"/>
              </w:rPr>
            </w:pPr>
            <w:r>
              <w:rPr>
                <w:rFonts w:hint="eastAsia"/>
                <w:color w:val="1C1C1C"/>
              </w:rPr>
              <w:t>河南省</w:t>
            </w:r>
          </w:p>
        </w:tc>
        <w:tc>
          <w:tcPr>
            <w:tcW w:w="1546" w:type="dxa"/>
            <w:noWrap/>
            <w:vAlign w:val="center"/>
          </w:tcPr>
          <w:p w:rsidR="002D6C73" w:rsidRDefault="00FB6868">
            <w:pPr>
              <w:jc w:val="center"/>
              <w:rPr>
                <w:color w:val="1C1C1C"/>
              </w:rPr>
            </w:pPr>
            <w:r>
              <w:rPr>
                <w:rFonts w:hint="eastAsia"/>
                <w:color w:val="1C1C1C"/>
              </w:rPr>
              <w:t>南阳市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971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1998.7 </w:t>
            </w:r>
          </w:p>
        </w:tc>
      </w:tr>
      <w:tr w:rsidR="002D6C73">
        <w:trPr>
          <w:trHeight w:val="300"/>
        </w:trPr>
        <w:tc>
          <w:tcPr>
            <w:tcW w:w="764" w:type="dxa"/>
            <w:noWrap/>
            <w:vAlign w:val="center"/>
          </w:tcPr>
          <w:p w:rsidR="002D6C73" w:rsidRDefault="00FB6868">
            <w:pPr>
              <w:jc w:val="center"/>
              <w:rPr>
                <w:color w:val="1C1C1C"/>
              </w:rPr>
            </w:pPr>
            <w:r>
              <w:rPr>
                <w:rFonts w:hint="eastAsia"/>
                <w:color w:val="1C1C1C"/>
              </w:rPr>
              <w:t>56</w:t>
            </w:r>
          </w:p>
        </w:tc>
        <w:tc>
          <w:tcPr>
            <w:tcW w:w="2316" w:type="dxa"/>
            <w:noWrap/>
            <w:vAlign w:val="center"/>
          </w:tcPr>
          <w:p w:rsidR="002D6C73" w:rsidRDefault="00FB6868">
            <w:pPr>
              <w:jc w:val="center"/>
              <w:rPr>
                <w:color w:val="1C1C1C"/>
              </w:rPr>
            </w:pPr>
            <w:r>
              <w:rPr>
                <w:rFonts w:hint="eastAsia"/>
                <w:color w:val="1C1C1C"/>
              </w:rPr>
              <w:t>湖北省</w:t>
            </w:r>
          </w:p>
        </w:tc>
        <w:tc>
          <w:tcPr>
            <w:tcW w:w="1546" w:type="dxa"/>
            <w:noWrap/>
            <w:vAlign w:val="center"/>
          </w:tcPr>
          <w:p w:rsidR="002D6C73" w:rsidRDefault="00FB6868">
            <w:pPr>
              <w:jc w:val="center"/>
              <w:rPr>
                <w:color w:val="1C1C1C"/>
              </w:rPr>
            </w:pPr>
            <w:r>
              <w:rPr>
                <w:rFonts w:hint="eastAsia"/>
                <w:color w:val="1C1C1C"/>
              </w:rPr>
              <w:t>武汉市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1233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6149.8 </w:t>
            </w:r>
          </w:p>
        </w:tc>
      </w:tr>
      <w:tr w:rsidR="002D6C73">
        <w:trPr>
          <w:trHeight w:val="300"/>
        </w:trPr>
        <w:tc>
          <w:tcPr>
            <w:tcW w:w="764" w:type="dxa"/>
            <w:noWrap/>
            <w:vAlign w:val="center"/>
          </w:tcPr>
          <w:p w:rsidR="002D6C73" w:rsidRDefault="00FB6868">
            <w:pPr>
              <w:jc w:val="center"/>
              <w:rPr>
                <w:color w:val="1C1C1C"/>
              </w:rPr>
            </w:pPr>
            <w:r>
              <w:rPr>
                <w:rFonts w:hint="eastAsia"/>
                <w:color w:val="1C1C1C"/>
              </w:rPr>
              <w:t>57</w:t>
            </w:r>
          </w:p>
        </w:tc>
        <w:tc>
          <w:tcPr>
            <w:tcW w:w="2316" w:type="dxa"/>
            <w:noWrap/>
            <w:vAlign w:val="center"/>
          </w:tcPr>
          <w:p w:rsidR="002D6C73" w:rsidRDefault="00FB6868">
            <w:pPr>
              <w:jc w:val="center"/>
              <w:rPr>
                <w:color w:val="1C1C1C"/>
              </w:rPr>
            </w:pPr>
            <w:r>
              <w:rPr>
                <w:rFonts w:hint="eastAsia"/>
                <w:color w:val="1C1C1C"/>
              </w:rPr>
              <w:t>湖北省</w:t>
            </w:r>
          </w:p>
        </w:tc>
        <w:tc>
          <w:tcPr>
            <w:tcW w:w="1546" w:type="dxa"/>
            <w:noWrap/>
            <w:vAlign w:val="center"/>
          </w:tcPr>
          <w:p w:rsidR="002D6C73" w:rsidRDefault="00FB6868">
            <w:pPr>
              <w:jc w:val="center"/>
              <w:rPr>
                <w:color w:val="1C1C1C"/>
              </w:rPr>
            </w:pPr>
            <w:r>
              <w:rPr>
                <w:rFonts w:hint="eastAsia"/>
                <w:color w:val="1C1C1C"/>
              </w:rPr>
              <w:t>宜昌市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402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1391.1 </w:t>
            </w:r>
          </w:p>
        </w:tc>
      </w:tr>
      <w:tr w:rsidR="002D6C73">
        <w:trPr>
          <w:trHeight w:val="300"/>
        </w:trPr>
        <w:tc>
          <w:tcPr>
            <w:tcW w:w="764" w:type="dxa"/>
            <w:noWrap/>
            <w:vAlign w:val="center"/>
          </w:tcPr>
          <w:p w:rsidR="002D6C73" w:rsidRDefault="00FB6868">
            <w:pPr>
              <w:jc w:val="center"/>
              <w:rPr>
                <w:color w:val="1C1C1C"/>
              </w:rPr>
            </w:pPr>
            <w:r>
              <w:rPr>
                <w:rFonts w:hint="eastAsia"/>
                <w:color w:val="1C1C1C"/>
              </w:rPr>
              <w:t>58</w:t>
            </w:r>
          </w:p>
        </w:tc>
        <w:tc>
          <w:tcPr>
            <w:tcW w:w="2316" w:type="dxa"/>
            <w:noWrap/>
            <w:vAlign w:val="center"/>
          </w:tcPr>
          <w:p w:rsidR="002D6C73" w:rsidRDefault="00FB6868">
            <w:pPr>
              <w:jc w:val="center"/>
              <w:rPr>
                <w:color w:val="1C1C1C"/>
              </w:rPr>
            </w:pPr>
            <w:r>
              <w:rPr>
                <w:rFonts w:hint="eastAsia"/>
                <w:color w:val="1C1C1C"/>
              </w:rPr>
              <w:t>湖北省</w:t>
            </w:r>
          </w:p>
        </w:tc>
        <w:tc>
          <w:tcPr>
            <w:tcW w:w="1546" w:type="dxa"/>
            <w:noWrap/>
            <w:vAlign w:val="center"/>
          </w:tcPr>
          <w:p w:rsidR="002D6C73" w:rsidRDefault="00FB6868">
            <w:pPr>
              <w:jc w:val="center"/>
              <w:rPr>
                <w:color w:val="1C1C1C"/>
              </w:rPr>
            </w:pPr>
            <w:r>
              <w:rPr>
                <w:rFonts w:hint="eastAsia"/>
                <w:color w:val="1C1C1C"/>
              </w:rPr>
              <w:t>襄阳市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526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1567.3 </w:t>
            </w:r>
          </w:p>
        </w:tc>
      </w:tr>
      <w:tr w:rsidR="002D6C73">
        <w:trPr>
          <w:trHeight w:val="300"/>
        </w:trPr>
        <w:tc>
          <w:tcPr>
            <w:tcW w:w="764" w:type="dxa"/>
            <w:noWrap/>
            <w:vAlign w:val="center"/>
          </w:tcPr>
          <w:p w:rsidR="002D6C73" w:rsidRDefault="00FB6868">
            <w:pPr>
              <w:jc w:val="center"/>
              <w:rPr>
                <w:color w:val="1C1C1C"/>
              </w:rPr>
            </w:pPr>
            <w:r>
              <w:rPr>
                <w:rFonts w:hint="eastAsia"/>
                <w:color w:val="1C1C1C"/>
              </w:rPr>
              <w:t>59</w:t>
            </w:r>
          </w:p>
        </w:tc>
        <w:tc>
          <w:tcPr>
            <w:tcW w:w="2316" w:type="dxa"/>
            <w:noWrap/>
            <w:vAlign w:val="center"/>
          </w:tcPr>
          <w:p w:rsidR="002D6C73" w:rsidRDefault="00FB6868">
            <w:pPr>
              <w:jc w:val="center"/>
              <w:rPr>
                <w:color w:val="1C1C1C"/>
              </w:rPr>
            </w:pPr>
            <w:r>
              <w:rPr>
                <w:rFonts w:hint="eastAsia"/>
                <w:color w:val="1C1C1C"/>
              </w:rPr>
              <w:t>湖南省</w:t>
            </w:r>
          </w:p>
        </w:tc>
        <w:tc>
          <w:tcPr>
            <w:tcW w:w="1546" w:type="dxa"/>
            <w:noWrap/>
            <w:vAlign w:val="center"/>
          </w:tcPr>
          <w:p w:rsidR="002D6C73" w:rsidRDefault="00FB6868">
            <w:pPr>
              <w:jc w:val="center"/>
              <w:rPr>
                <w:color w:val="1C1C1C"/>
              </w:rPr>
            </w:pPr>
            <w:r>
              <w:rPr>
                <w:rFonts w:hint="eastAsia"/>
                <w:color w:val="1C1C1C"/>
              </w:rPr>
              <w:t>长沙市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1005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4469.8 </w:t>
            </w:r>
          </w:p>
        </w:tc>
      </w:tr>
      <w:tr w:rsidR="002D6C73">
        <w:trPr>
          <w:trHeight w:val="300"/>
        </w:trPr>
        <w:tc>
          <w:tcPr>
            <w:tcW w:w="764" w:type="dxa"/>
            <w:noWrap/>
            <w:vAlign w:val="center"/>
          </w:tcPr>
          <w:p w:rsidR="002D6C73" w:rsidRDefault="00FB6868">
            <w:pPr>
              <w:jc w:val="center"/>
              <w:rPr>
                <w:color w:val="1C1C1C"/>
              </w:rPr>
            </w:pPr>
            <w:r>
              <w:rPr>
                <w:rFonts w:hint="eastAsia"/>
                <w:color w:val="1C1C1C"/>
              </w:rPr>
              <w:t>60</w:t>
            </w:r>
          </w:p>
        </w:tc>
        <w:tc>
          <w:tcPr>
            <w:tcW w:w="2316" w:type="dxa"/>
            <w:noWrap/>
            <w:vAlign w:val="center"/>
          </w:tcPr>
          <w:p w:rsidR="002D6C73" w:rsidRDefault="00FB6868">
            <w:pPr>
              <w:jc w:val="center"/>
              <w:rPr>
                <w:color w:val="1C1C1C"/>
              </w:rPr>
            </w:pPr>
            <w:r>
              <w:rPr>
                <w:rFonts w:hint="eastAsia"/>
                <w:color w:val="1C1C1C"/>
              </w:rPr>
              <w:t>湖南省</w:t>
            </w:r>
          </w:p>
        </w:tc>
        <w:tc>
          <w:tcPr>
            <w:tcW w:w="1546" w:type="dxa"/>
            <w:noWrap/>
            <w:vAlign w:val="center"/>
          </w:tcPr>
          <w:p w:rsidR="002D6C73" w:rsidRDefault="00FB6868">
            <w:pPr>
              <w:jc w:val="center"/>
              <w:rPr>
                <w:color w:val="1C1C1C"/>
              </w:rPr>
            </w:pPr>
            <w:r>
              <w:rPr>
                <w:rFonts w:hint="eastAsia"/>
                <w:color w:val="1C1C1C"/>
              </w:rPr>
              <w:t>衡阳市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665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1594.3 </w:t>
            </w:r>
          </w:p>
        </w:tc>
      </w:tr>
      <w:tr w:rsidR="002D6C73">
        <w:trPr>
          <w:trHeight w:val="300"/>
        </w:trPr>
        <w:tc>
          <w:tcPr>
            <w:tcW w:w="764" w:type="dxa"/>
            <w:noWrap/>
            <w:vAlign w:val="center"/>
          </w:tcPr>
          <w:p w:rsidR="002D6C73" w:rsidRDefault="00FB6868">
            <w:pPr>
              <w:jc w:val="center"/>
              <w:rPr>
                <w:color w:val="1C1C1C"/>
              </w:rPr>
            </w:pPr>
            <w:r>
              <w:rPr>
                <w:rFonts w:hint="eastAsia"/>
                <w:color w:val="1C1C1C"/>
              </w:rPr>
              <w:t>61</w:t>
            </w:r>
          </w:p>
        </w:tc>
        <w:tc>
          <w:tcPr>
            <w:tcW w:w="2316" w:type="dxa"/>
            <w:noWrap/>
            <w:vAlign w:val="center"/>
          </w:tcPr>
          <w:p w:rsidR="002D6C73" w:rsidRDefault="00FB6868">
            <w:pPr>
              <w:jc w:val="center"/>
              <w:rPr>
                <w:color w:val="1C1C1C"/>
              </w:rPr>
            </w:pPr>
            <w:r>
              <w:rPr>
                <w:rFonts w:hint="eastAsia"/>
                <w:color w:val="1C1C1C"/>
              </w:rPr>
              <w:t>湖南省</w:t>
            </w:r>
          </w:p>
        </w:tc>
        <w:tc>
          <w:tcPr>
            <w:tcW w:w="1546" w:type="dxa"/>
            <w:noWrap/>
            <w:vAlign w:val="center"/>
          </w:tcPr>
          <w:p w:rsidR="002D6C73" w:rsidRDefault="00FB6868">
            <w:pPr>
              <w:jc w:val="center"/>
              <w:rPr>
                <w:color w:val="1C1C1C"/>
              </w:rPr>
            </w:pPr>
            <w:r>
              <w:rPr>
                <w:rFonts w:hint="eastAsia"/>
                <w:color w:val="1C1C1C"/>
              </w:rPr>
              <w:t>岳阳市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505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1574.0 </w:t>
            </w:r>
          </w:p>
        </w:tc>
      </w:tr>
      <w:tr w:rsidR="002D6C73">
        <w:trPr>
          <w:trHeight w:val="300"/>
        </w:trPr>
        <w:tc>
          <w:tcPr>
            <w:tcW w:w="764" w:type="dxa"/>
            <w:noWrap/>
            <w:vAlign w:val="center"/>
          </w:tcPr>
          <w:p w:rsidR="002D6C73" w:rsidRDefault="00FB6868">
            <w:pPr>
              <w:jc w:val="center"/>
              <w:rPr>
                <w:color w:val="1C1C1C"/>
              </w:rPr>
            </w:pPr>
            <w:r>
              <w:rPr>
                <w:rFonts w:hint="eastAsia"/>
                <w:color w:val="1C1C1C"/>
              </w:rPr>
              <w:t>62</w:t>
            </w:r>
          </w:p>
        </w:tc>
        <w:tc>
          <w:tcPr>
            <w:tcW w:w="2316" w:type="dxa"/>
            <w:noWrap/>
            <w:vAlign w:val="center"/>
          </w:tcPr>
          <w:p w:rsidR="002D6C73" w:rsidRDefault="00FB6868">
            <w:pPr>
              <w:jc w:val="center"/>
              <w:rPr>
                <w:color w:val="1C1C1C"/>
              </w:rPr>
            </w:pPr>
            <w:r>
              <w:rPr>
                <w:rFonts w:hint="eastAsia"/>
                <w:color w:val="1C1C1C"/>
              </w:rPr>
              <w:t>广东省</w:t>
            </w:r>
          </w:p>
        </w:tc>
        <w:tc>
          <w:tcPr>
            <w:tcW w:w="1546" w:type="dxa"/>
            <w:noWrap/>
            <w:vAlign w:val="center"/>
          </w:tcPr>
          <w:p w:rsidR="002D6C73" w:rsidRDefault="00FB6868">
            <w:pPr>
              <w:jc w:val="center"/>
              <w:rPr>
                <w:color w:val="1C1C1C"/>
              </w:rPr>
            </w:pPr>
            <w:r>
              <w:rPr>
                <w:rFonts w:hint="eastAsia"/>
                <w:color w:val="1C1C1C"/>
              </w:rPr>
              <w:t>广州市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1868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9218.7 </w:t>
            </w:r>
          </w:p>
        </w:tc>
      </w:tr>
      <w:tr w:rsidR="002D6C73">
        <w:trPr>
          <w:trHeight w:val="300"/>
        </w:trPr>
        <w:tc>
          <w:tcPr>
            <w:tcW w:w="764" w:type="dxa"/>
            <w:noWrap/>
            <w:vAlign w:val="center"/>
          </w:tcPr>
          <w:p w:rsidR="002D6C73" w:rsidRDefault="00FB6868">
            <w:pPr>
              <w:jc w:val="center"/>
              <w:rPr>
                <w:color w:val="1C1C1C"/>
              </w:rPr>
            </w:pPr>
            <w:r>
              <w:rPr>
                <w:rFonts w:hint="eastAsia"/>
                <w:color w:val="1C1C1C"/>
              </w:rPr>
              <w:t>63</w:t>
            </w:r>
          </w:p>
        </w:tc>
        <w:tc>
          <w:tcPr>
            <w:tcW w:w="2316" w:type="dxa"/>
            <w:noWrap/>
            <w:vAlign w:val="center"/>
          </w:tcPr>
          <w:p w:rsidR="002D6C73" w:rsidRDefault="00FB6868">
            <w:pPr>
              <w:jc w:val="center"/>
              <w:rPr>
                <w:color w:val="1C1C1C"/>
              </w:rPr>
            </w:pPr>
            <w:r>
              <w:rPr>
                <w:rFonts w:hint="eastAsia"/>
                <w:color w:val="1C1C1C"/>
              </w:rPr>
              <w:t>广东省</w:t>
            </w:r>
          </w:p>
        </w:tc>
        <w:tc>
          <w:tcPr>
            <w:tcW w:w="1546" w:type="dxa"/>
            <w:noWrap/>
            <w:vAlign w:val="center"/>
          </w:tcPr>
          <w:p w:rsidR="002D6C73" w:rsidRDefault="00FB6868">
            <w:pPr>
              <w:jc w:val="center"/>
              <w:rPr>
                <w:color w:val="1C1C1C"/>
              </w:rPr>
            </w:pPr>
            <w:r>
              <w:rPr>
                <w:rFonts w:hint="eastAsia"/>
                <w:color w:val="1C1C1C"/>
              </w:rPr>
              <w:t>深圳市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1756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8664.8 </w:t>
            </w:r>
          </w:p>
        </w:tc>
      </w:tr>
      <w:tr w:rsidR="002D6C73">
        <w:trPr>
          <w:trHeight w:val="300"/>
        </w:trPr>
        <w:tc>
          <w:tcPr>
            <w:tcW w:w="764" w:type="dxa"/>
            <w:noWrap/>
            <w:vAlign w:val="center"/>
          </w:tcPr>
          <w:p w:rsidR="002D6C73" w:rsidRDefault="00FB6868">
            <w:pPr>
              <w:jc w:val="center"/>
              <w:rPr>
                <w:color w:val="1C1C1C"/>
              </w:rPr>
            </w:pPr>
            <w:r>
              <w:rPr>
                <w:rFonts w:hint="eastAsia"/>
                <w:color w:val="1C1C1C"/>
              </w:rPr>
              <w:t>64</w:t>
            </w:r>
          </w:p>
        </w:tc>
        <w:tc>
          <w:tcPr>
            <w:tcW w:w="2316" w:type="dxa"/>
            <w:noWrap/>
            <w:vAlign w:val="center"/>
          </w:tcPr>
          <w:p w:rsidR="002D6C73" w:rsidRDefault="00FB6868">
            <w:pPr>
              <w:jc w:val="center"/>
              <w:rPr>
                <w:color w:val="1C1C1C"/>
              </w:rPr>
            </w:pPr>
            <w:r>
              <w:rPr>
                <w:rFonts w:hint="eastAsia"/>
                <w:color w:val="1C1C1C"/>
              </w:rPr>
              <w:t>广东省</w:t>
            </w:r>
          </w:p>
        </w:tc>
        <w:tc>
          <w:tcPr>
            <w:tcW w:w="1546" w:type="dxa"/>
            <w:noWrap/>
            <w:vAlign w:val="center"/>
          </w:tcPr>
          <w:p w:rsidR="002D6C73" w:rsidRDefault="00FB6868">
            <w:pPr>
              <w:jc w:val="center"/>
              <w:rPr>
                <w:color w:val="1C1C1C"/>
              </w:rPr>
            </w:pPr>
            <w:r>
              <w:rPr>
                <w:rFonts w:hint="eastAsia"/>
                <w:color w:val="1C1C1C"/>
              </w:rPr>
              <w:t>汕头市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550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1417.1 </w:t>
            </w:r>
          </w:p>
        </w:tc>
      </w:tr>
      <w:tr w:rsidR="002D6C73">
        <w:trPr>
          <w:trHeight w:val="300"/>
        </w:trPr>
        <w:tc>
          <w:tcPr>
            <w:tcW w:w="764" w:type="dxa"/>
            <w:noWrap/>
            <w:vAlign w:val="center"/>
          </w:tcPr>
          <w:p w:rsidR="002D6C73" w:rsidRDefault="00FB6868">
            <w:pPr>
              <w:jc w:val="center"/>
              <w:rPr>
                <w:color w:val="1C1C1C"/>
              </w:rPr>
            </w:pPr>
            <w:r>
              <w:rPr>
                <w:rFonts w:hint="eastAsia"/>
                <w:color w:val="1C1C1C"/>
              </w:rPr>
              <w:t>65</w:t>
            </w:r>
          </w:p>
        </w:tc>
        <w:tc>
          <w:tcPr>
            <w:tcW w:w="2316" w:type="dxa"/>
            <w:noWrap/>
            <w:vAlign w:val="center"/>
          </w:tcPr>
          <w:p w:rsidR="002D6C73" w:rsidRDefault="00FB6868">
            <w:pPr>
              <w:jc w:val="center"/>
              <w:rPr>
                <w:color w:val="1C1C1C"/>
              </w:rPr>
            </w:pPr>
            <w:r>
              <w:rPr>
                <w:rFonts w:hint="eastAsia"/>
                <w:color w:val="1C1C1C"/>
              </w:rPr>
              <w:t>广东省</w:t>
            </w:r>
          </w:p>
        </w:tc>
        <w:tc>
          <w:tcPr>
            <w:tcW w:w="1546" w:type="dxa"/>
            <w:noWrap/>
            <w:vAlign w:val="center"/>
          </w:tcPr>
          <w:p w:rsidR="002D6C73" w:rsidRDefault="00FB6868">
            <w:pPr>
              <w:jc w:val="center"/>
              <w:rPr>
                <w:color w:val="1C1C1C"/>
              </w:rPr>
            </w:pPr>
            <w:r>
              <w:rPr>
                <w:rFonts w:hint="eastAsia"/>
                <w:color w:val="1C1C1C"/>
              </w:rPr>
              <w:t>佛山市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950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3289.1 </w:t>
            </w:r>
          </w:p>
        </w:tc>
      </w:tr>
      <w:tr w:rsidR="002D6C73">
        <w:trPr>
          <w:trHeight w:val="300"/>
        </w:trPr>
        <w:tc>
          <w:tcPr>
            <w:tcW w:w="764" w:type="dxa"/>
            <w:noWrap/>
            <w:vAlign w:val="center"/>
          </w:tcPr>
          <w:p w:rsidR="002D6C73" w:rsidRDefault="00FB6868">
            <w:pPr>
              <w:jc w:val="center"/>
              <w:rPr>
                <w:color w:val="1C1C1C"/>
              </w:rPr>
            </w:pPr>
            <w:r>
              <w:rPr>
                <w:rFonts w:hint="eastAsia"/>
                <w:color w:val="1C1C1C"/>
              </w:rPr>
              <w:t>66</w:t>
            </w:r>
          </w:p>
        </w:tc>
        <w:tc>
          <w:tcPr>
            <w:tcW w:w="2316" w:type="dxa"/>
            <w:noWrap/>
            <w:vAlign w:val="center"/>
          </w:tcPr>
          <w:p w:rsidR="002D6C73" w:rsidRDefault="00FB6868">
            <w:pPr>
              <w:jc w:val="center"/>
              <w:rPr>
                <w:color w:val="1C1C1C"/>
              </w:rPr>
            </w:pPr>
            <w:r>
              <w:rPr>
                <w:rFonts w:hint="eastAsia"/>
                <w:color w:val="1C1C1C"/>
              </w:rPr>
              <w:t>广东省</w:t>
            </w:r>
          </w:p>
        </w:tc>
        <w:tc>
          <w:tcPr>
            <w:tcW w:w="1546" w:type="dxa"/>
            <w:noWrap/>
            <w:vAlign w:val="center"/>
          </w:tcPr>
          <w:p w:rsidR="002D6C73" w:rsidRDefault="00FB6868">
            <w:pPr>
              <w:jc w:val="center"/>
              <w:rPr>
                <w:color w:val="1C1C1C"/>
              </w:rPr>
            </w:pPr>
            <w:r>
              <w:rPr>
                <w:rFonts w:hint="eastAsia"/>
                <w:color w:val="1C1C1C"/>
              </w:rPr>
              <w:t>东莞市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1047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3740.1 </w:t>
            </w:r>
          </w:p>
        </w:tc>
      </w:tr>
      <w:tr w:rsidR="002D6C73">
        <w:trPr>
          <w:trHeight w:val="300"/>
        </w:trPr>
        <w:tc>
          <w:tcPr>
            <w:tcW w:w="764" w:type="dxa"/>
            <w:noWrap/>
            <w:vAlign w:val="center"/>
          </w:tcPr>
          <w:p w:rsidR="002D6C73" w:rsidRDefault="00FB6868">
            <w:pPr>
              <w:jc w:val="center"/>
              <w:rPr>
                <w:color w:val="1C1C1C"/>
              </w:rPr>
            </w:pPr>
            <w:r>
              <w:rPr>
                <w:rFonts w:hint="eastAsia"/>
                <w:color w:val="1C1C1C"/>
              </w:rPr>
              <w:t>67</w:t>
            </w:r>
          </w:p>
        </w:tc>
        <w:tc>
          <w:tcPr>
            <w:tcW w:w="2316" w:type="dxa"/>
            <w:noWrap/>
            <w:vAlign w:val="center"/>
          </w:tcPr>
          <w:p w:rsidR="002D6C73" w:rsidRDefault="00FB6868">
            <w:pPr>
              <w:jc w:val="center"/>
              <w:rPr>
                <w:color w:val="1C1C1C"/>
              </w:rPr>
            </w:pPr>
            <w:r>
              <w:rPr>
                <w:rFonts w:hint="eastAsia"/>
                <w:color w:val="1C1C1C"/>
              </w:rPr>
              <w:t>广西壮族自治区</w:t>
            </w:r>
          </w:p>
        </w:tc>
        <w:tc>
          <w:tcPr>
            <w:tcW w:w="1546" w:type="dxa"/>
            <w:noWrap/>
            <w:vAlign w:val="center"/>
          </w:tcPr>
          <w:p w:rsidR="002D6C73" w:rsidRDefault="00FB6868">
            <w:pPr>
              <w:jc w:val="center"/>
              <w:rPr>
                <w:color w:val="1C1C1C"/>
              </w:rPr>
            </w:pPr>
            <w:r>
              <w:rPr>
                <w:rFonts w:hint="eastAsia"/>
                <w:color w:val="1C1C1C"/>
              </w:rPr>
              <w:t>南宁市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874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2180.4 </w:t>
            </w:r>
          </w:p>
        </w:tc>
      </w:tr>
      <w:tr w:rsidR="002D6C73">
        <w:trPr>
          <w:trHeight w:val="300"/>
        </w:trPr>
        <w:tc>
          <w:tcPr>
            <w:tcW w:w="764" w:type="dxa"/>
            <w:noWrap/>
            <w:vAlign w:val="center"/>
          </w:tcPr>
          <w:p w:rsidR="002D6C73" w:rsidRDefault="00FB6868">
            <w:pPr>
              <w:jc w:val="center"/>
              <w:rPr>
                <w:color w:val="1C1C1C"/>
              </w:rPr>
            </w:pPr>
            <w:r>
              <w:rPr>
                <w:rFonts w:hint="eastAsia"/>
                <w:color w:val="1C1C1C"/>
              </w:rPr>
              <w:t>68</w:t>
            </w:r>
          </w:p>
        </w:tc>
        <w:tc>
          <w:tcPr>
            <w:tcW w:w="2316" w:type="dxa"/>
            <w:noWrap/>
            <w:vAlign w:val="center"/>
          </w:tcPr>
          <w:p w:rsidR="002D6C73" w:rsidRDefault="00FB6868">
            <w:pPr>
              <w:jc w:val="center"/>
              <w:rPr>
                <w:color w:val="1C1C1C"/>
              </w:rPr>
            </w:pPr>
            <w:r>
              <w:rPr>
                <w:rFonts w:hint="eastAsia"/>
                <w:color w:val="1C1C1C"/>
              </w:rPr>
              <w:t>广西壮族自治区</w:t>
            </w:r>
          </w:p>
        </w:tc>
        <w:tc>
          <w:tcPr>
            <w:tcW w:w="1546" w:type="dxa"/>
            <w:noWrap/>
            <w:vAlign w:val="center"/>
          </w:tcPr>
          <w:p w:rsidR="002D6C73" w:rsidRDefault="00FB6868">
            <w:pPr>
              <w:jc w:val="center"/>
              <w:rPr>
                <w:color w:val="1C1C1C"/>
              </w:rPr>
            </w:pPr>
            <w:r>
              <w:rPr>
                <w:rFonts w:hint="eastAsia"/>
                <w:color w:val="1C1C1C"/>
              </w:rPr>
              <w:t>柳州市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416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1270.2 </w:t>
            </w:r>
          </w:p>
        </w:tc>
      </w:tr>
      <w:tr w:rsidR="002D6C73">
        <w:trPr>
          <w:trHeight w:val="300"/>
        </w:trPr>
        <w:tc>
          <w:tcPr>
            <w:tcW w:w="764" w:type="dxa"/>
            <w:noWrap/>
            <w:vAlign w:val="center"/>
          </w:tcPr>
          <w:p w:rsidR="002D6C73" w:rsidRDefault="00FB6868">
            <w:pPr>
              <w:jc w:val="center"/>
              <w:rPr>
                <w:color w:val="1C1C1C"/>
              </w:rPr>
            </w:pPr>
            <w:r>
              <w:rPr>
                <w:rFonts w:hint="eastAsia"/>
                <w:color w:val="1C1C1C"/>
              </w:rPr>
              <w:t>69</w:t>
            </w:r>
          </w:p>
        </w:tc>
        <w:tc>
          <w:tcPr>
            <w:tcW w:w="2316" w:type="dxa"/>
            <w:noWrap/>
            <w:vAlign w:val="center"/>
          </w:tcPr>
          <w:p w:rsidR="002D6C73" w:rsidRDefault="00FB6868">
            <w:pPr>
              <w:jc w:val="center"/>
              <w:rPr>
                <w:color w:val="1C1C1C"/>
              </w:rPr>
            </w:pPr>
            <w:r>
              <w:rPr>
                <w:rFonts w:hint="eastAsia"/>
                <w:color w:val="1C1C1C"/>
              </w:rPr>
              <w:t>广西壮族自治区</w:t>
            </w:r>
          </w:p>
        </w:tc>
        <w:tc>
          <w:tcPr>
            <w:tcW w:w="1546" w:type="dxa"/>
            <w:noWrap/>
            <w:vAlign w:val="center"/>
          </w:tcPr>
          <w:p w:rsidR="002D6C73" w:rsidRDefault="00FB6868">
            <w:pPr>
              <w:jc w:val="center"/>
              <w:rPr>
                <w:color w:val="1C1C1C"/>
              </w:rPr>
            </w:pPr>
            <w:r>
              <w:rPr>
                <w:rFonts w:hint="eastAsia"/>
                <w:color w:val="1C1C1C"/>
              </w:rPr>
              <w:t>桂林市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493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888.9 </w:t>
            </w:r>
          </w:p>
        </w:tc>
      </w:tr>
      <w:tr w:rsidR="002D6C73">
        <w:trPr>
          <w:trHeight w:val="300"/>
        </w:trPr>
        <w:tc>
          <w:tcPr>
            <w:tcW w:w="764" w:type="dxa"/>
            <w:noWrap/>
            <w:vAlign w:val="center"/>
          </w:tcPr>
          <w:p w:rsidR="002D6C73" w:rsidRDefault="00FB6868">
            <w:pPr>
              <w:jc w:val="center"/>
              <w:rPr>
                <w:color w:val="1C1C1C"/>
              </w:rPr>
            </w:pPr>
            <w:r>
              <w:rPr>
                <w:rFonts w:hint="eastAsia"/>
                <w:color w:val="1C1C1C"/>
              </w:rPr>
              <w:t>70</w:t>
            </w:r>
          </w:p>
        </w:tc>
        <w:tc>
          <w:tcPr>
            <w:tcW w:w="2316" w:type="dxa"/>
            <w:noWrap/>
            <w:vAlign w:val="center"/>
          </w:tcPr>
          <w:p w:rsidR="002D6C73" w:rsidRDefault="00FB6868">
            <w:pPr>
              <w:jc w:val="center"/>
              <w:rPr>
                <w:color w:val="1C1C1C"/>
              </w:rPr>
            </w:pPr>
            <w:r>
              <w:rPr>
                <w:rFonts w:hint="eastAsia"/>
                <w:color w:val="1C1C1C"/>
              </w:rPr>
              <w:t>海南省</w:t>
            </w:r>
          </w:p>
        </w:tc>
        <w:tc>
          <w:tcPr>
            <w:tcW w:w="1546" w:type="dxa"/>
            <w:noWrap/>
            <w:vAlign w:val="center"/>
          </w:tcPr>
          <w:p w:rsidR="002D6C73" w:rsidRDefault="00FB6868">
            <w:pPr>
              <w:jc w:val="center"/>
              <w:rPr>
                <w:color w:val="1C1C1C"/>
              </w:rPr>
            </w:pPr>
            <w:r>
              <w:rPr>
                <w:rFonts w:hint="eastAsia"/>
                <w:color w:val="1C1C1C"/>
              </w:rPr>
              <w:t>海口市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287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835.9 </w:t>
            </w:r>
          </w:p>
        </w:tc>
      </w:tr>
      <w:tr w:rsidR="002D6C73">
        <w:trPr>
          <w:trHeight w:val="300"/>
        </w:trPr>
        <w:tc>
          <w:tcPr>
            <w:tcW w:w="764" w:type="dxa"/>
            <w:noWrap/>
            <w:vAlign w:val="center"/>
          </w:tcPr>
          <w:p w:rsidR="002D6C73" w:rsidRDefault="00FB6868">
            <w:pPr>
              <w:jc w:val="center"/>
              <w:rPr>
                <w:color w:val="1C1C1C"/>
              </w:rPr>
            </w:pPr>
            <w:r>
              <w:rPr>
                <w:rFonts w:hint="eastAsia"/>
                <w:color w:val="1C1C1C"/>
              </w:rPr>
              <w:t>71</w:t>
            </w:r>
          </w:p>
        </w:tc>
        <w:tc>
          <w:tcPr>
            <w:tcW w:w="2316" w:type="dxa"/>
            <w:noWrap/>
            <w:vAlign w:val="center"/>
          </w:tcPr>
          <w:p w:rsidR="002D6C73" w:rsidRDefault="00FB6868">
            <w:pPr>
              <w:jc w:val="center"/>
              <w:rPr>
                <w:color w:val="1C1C1C"/>
              </w:rPr>
            </w:pPr>
            <w:r>
              <w:rPr>
                <w:rFonts w:hint="eastAsia"/>
                <w:color w:val="1C1C1C"/>
              </w:rPr>
              <w:t>海南省</w:t>
            </w:r>
          </w:p>
        </w:tc>
        <w:tc>
          <w:tcPr>
            <w:tcW w:w="1546" w:type="dxa"/>
            <w:noWrap/>
            <w:vAlign w:val="center"/>
          </w:tcPr>
          <w:p w:rsidR="002D6C73" w:rsidRDefault="00FB6868">
            <w:pPr>
              <w:jc w:val="center"/>
              <w:rPr>
                <w:color w:val="1C1C1C"/>
              </w:rPr>
            </w:pPr>
            <w:r>
              <w:rPr>
                <w:rFonts w:hint="eastAsia"/>
                <w:color w:val="1C1C1C"/>
              </w:rPr>
              <w:t>三亚市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103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381.1 </w:t>
            </w:r>
          </w:p>
        </w:tc>
      </w:tr>
      <w:tr w:rsidR="002D6C73">
        <w:trPr>
          <w:trHeight w:val="300"/>
        </w:trPr>
        <w:tc>
          <w:tcPr>
            <w:tcW w:w="764" w:type="dxa"/>
            <w:noWrap/>
            <w:vAlign w:val="center"/>
          </w:tcPr>
          <w:p w:rsidR="002D6C73" w:rsidRDefault="00FB6868">
            <w:pPr>
              <w:jc w:val="center"/>
              <w:rPr>
                <w:color w:val="1C1C1C"/>
              </w:rPr>
            </w:pPr>
            <w:r>
              <w:rPr>
                <w:rFonts w:hint="eastAsia"/>
                <w:color w:val="1C1C1C"/>
              </w:rPr>
              <w:t>72</w:t>
            </w:r>
          </w:p>
        </w:tc>
        <w:tc>
          <w:tcPr>
            <w:tcW w:w="2316" w:type="dxa"/>
            <w:noWrap/>
            <w:vAlign w:val="center"/>
          </w:tcPr>
          <w:p w:rsidR="002D6C73" w:rsidRDefault="00FB6868">
            <w:pPr>
              <w:jc w:val="center"/>
              <w:rPr>
                <w:color w:val="1C1C1C"/>
              </w:rPr>
            </w:pPr>
            <w:r>
              <w:rPr>
                <w:rFonts w:hint="eastAsia"/>
                <w:color w:val="1C1C1C"/>
              </w:rPr>
              <w:t>海南省</w:t>
            </w:r>
          </w:p>
        </w:tc>
        <w:tc>
          <w:tcPr>
            <w:tcW w:w="1546" w:type="dxa"/>
            <w:noWrap/>
            <w:vAlign w:val="center"/>
          </w:tcPr>
          <w:p w:rsidR="002D6C73" w:rsidRDefault="00FB6868">
            <w:pPr>
              <w:jc w:val="center"/>
              <w:rPr>
                <w:color w:val="1C1C1C"/>
              </w:rPr>
            </w:pPr>
            <w:r>
              <w:rPr>
                <w:rFonts w:hint="eastAsia"/>
                <w:color w:val="1C1C1C"/>
              </w:rPr>
              <w:t>儋州市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95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96.4 </w:t>
            </w:r>
          </w:p>
        </w:tc>
      </w:tr>
      <w:tr w:rsidR="002D6C73">
        <w:trPr>
          <w:trHeight w:val="300"/>
        </w:trPr>
        <w:tc>
          <w:tcPr>
            <w:tcW w:w="764" w:type="dxa"/>
            <w:noWrap/>
            <w:vAlign w:val="center"/>
          </w:tcPr>
          <w:p w:rsidR="002D6C73" w:rsidRDefault="00FB6868">
            <w:pPr>
              <w:jc w:val="center"/>
              <w:rPr>
                <w:color w:val="1C1C1C"/>
              </w:rPr>
            </w:pPr>
            <w:r>
              <w:rPr>
                <w:rFonts w:hint="eastAsia"/>
                <w:color w:val="1C1C1C"/>
              </w:rPr>
              <w:t>73</w:t>
            </w:r>
          </w:p>
        </w:tc>
        <w:tc>
          <w:tcPr>
            <w:tcW w:w="2316" w:type="dxa"/>
            <w:noWrap/>
            <w:vAlign w:val="center"/>
          </w:tcPr>
          <w:p w:rsidR="002D6C73" w:rsidRDefault="00FB6868">
            <w:pPr>
              <w:jc w:val="center"/>
              <w:rPr>
                <w:color w:val="1C1C1C"/>
              </w:rPr>
            </w:pPr>
            <w:r>
              <w:rPr>
                <w:rFonts w:hint="eastAsia"/>
                <w:color w:val="1C1C1C"/>
              </w:rPr>
              <w:t>重庆市</w:t>
            </w:r>
          </w:p>
        </w:tc>
        <w:tc>
          <w:tcPr>
            <w:tcW w:w="1546" w:type="dxa"/>
            <w:noWrap/>
            <w:vAlign w:val="center"/>
          </w:tcPr>
          <w:p w:rsidR="002D6C73" w:rsidRDefault="00FB6868">
            <w:pPr>
              <w:jc w:val="center"/>
              <w:rPr>
                <w:color w:val="1C1C1C"/>
              </w:rPr>
            </w:pPr>
            <w:r>
              <w:rPr>
                <w:rFonts w:hint="eastAsia"/>
                <w:color w:val="1C1C1C"/>
              </w:rPr>
              <w:t>重庆市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3205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11787.2 </w:t>
            </w:r>
          </w:p>
        </w:tc>
      </w:tr>
      <w:tr w:rsidR="002D6C73">
        <w:trPr>
          <w:trHeight w:val="300"/>
        </w:trPr>
        <w:tc>
          <w:tcPr>
            <w:tcW w:w="764" w:type="dxa"/>
            <w:noWrap/>
            <w:vAlign w:val="center"/>
          </w:tcPr>
          <w:p w:rsidR="002D6C73" w:rsidRDefault="00FB6868">
            <w:pPr>
              <w:jc w:val="center"/>
              <w:rPr>
                <w:color w:val="1C1C1C"/>
              </w:rPr>
            </w:pPr>
            <w:r>
              <w:rPr>
                <w:rFonts w:hint="eastAsia"/>
                <w:color w:val="1C1C1C"/>
              </w:rPr>
              <w:t>74</w:t>
            </w:r>
          </w:p>
        </w:tc>
        <w:tc>
          <w:tcPr>
            <w:tcW w:w="2316" w:type="dxa"/>
            <w:noWrap/>
            <w:vAlign w:val="center"/>
          </w:tcPr>
          <w:p w:rsidR="002D6C73" w:rsidRDefault="00FB6868">
            <w:pPr>
              <w:jc w:val="center"/>
              <w:rPr>
                <w:color w:val="1C1C1C"/>
              </w:rPr>
            </w:pPr>
            <w:r>
              <w:rPr>
                <w:rFonts w:hint="eastAsia"/>
                <w:color w:val="1C1C1C"/>
              </w:rPr>
              <w:t>四川省</w:t>
            </w:r>
          </w:p>
        </w:tc>
        <w:tc>
          <w:tcPr>
            <w:tcW w:w="1546" w:type="dxa"/>
            <w:noWrap/>
            <w:vAlign w:val="center"/>
          </w:tcPr>
          <w:p w:rsidR="002D6C73" w:rsidRDefault="00FB6868">
            <w:pPr>
              <w:jc w:val="center"/>
              <w:rPr>
                <w:color w:val="1C1C1C"/>
              </w:rPr>
            </w:pPr>
            <w:r>
              <w:rPr>
                <w:rFonts w:hint="eastAsia"/>
                <w:color w:val="1C1C1C"/>
              </w:rPr>
              <w:t>成都市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2094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8118.5 </w:t>
            </w:r>
          </w:p>
        </w:tc>
      </w:tr>
      <w:tr w:rsidR="002D6C73">
        <w:trPr>
          <w:trHeight w:val="300"/>
        </w:trPr>
        <w:tc>
          <w:tcPr>
            <w:tcW w:w="764" w:type="dxa"/>
            <w:noWrap/>
            <w:vAlign w:val="center"/>
          </w:tcPr>
          <w:p w:rsidR="002D6C73" w:rsidRDefault="00FB6868">
            <w:pPr>
              <w:jc w:val="center"/>
              <w:rPr>
                <w:color w:val="1C1C1C"/>
              </w:rPr>
            </w:pPr>
            <w:r>
              <w:rPr>
                <w:rFonts w:hint="eastAsia"/>
                <w:color w:val="1C1C1C"/>
              </w:rPr>
              <w:t>75</w:t>
            </w:r>
          </w:p>
        </w:tc>
        <w:tc>
          <w:tcPr>
            <w:tcW w:w="2316" w:type="dxa"/>
            <w:noWrap/>
            <w:vAlign w:val="center"/>
          </w:tcPr>
          <w:p w:rsidR="002D6C73" w:rsidRDefault="00FB6868">
            <w:pPr>
              <w:jc w:val="center"/>
              <w:rPr>
                <w:color w:val="1C1C1C"/>
              </w:rPr>
            </w:pPr>
            <w:r>
              <w:rPr>
                <w:rFonts w:hint="eastAsia"/>
                <w:color w:val="1C1C1C"/>
              </w:rPr>
              <w:t>四川省</w:t>
            </w:r>
          </w:p>
        </w:tc>
        <w:tc>
          <w:tcPr>
            <w:tcW w:w="1546" w:type="dxa"/>
            <w:noWrap/>
            <w:vAlign w:val="center"/>
          </w:tcPr>
          <w:p w:rsidR="002D6C73" w:rsidRDefault="00FB6868">
            <w:pPr>
              <w:jc w:val="center"/>
              <w:rPr>
                <w:color w:val="1C1C1C"/>
              </w:rPr>
            </w:pPr>
            <w:r>
              <w:rPr>
                <w:rFonts w:hint="eastAsia"/>
                <w:color w:val="1C1C1C"/>
              </w:rPr>
              <w:t>绵阳市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487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1394.3 </w:t>
            </w:r>
          </w:p>
        </w:tc>
      </w:tr>
      <w:tr w:rsidR="002D6C73">
        <w:trPr>
          <w:trHeight w:val="300"/>
        </w:trPr>
        <w:tc>
          <w:tcPr>
            <w:tcW w:w="764" w:type="dxa"/>
            <w:noWrap/>
            <w:vAlign w:val="center"/>
          </w:tcPr>
          <w:p w:rsidR="002D6C73" w:rsidRDefault="00FB6868">
            <w:pPr>
              <w:jc w:val="center"/>
              <w:rPr>
                <w:color w:val="1C1C1C"/>
              </w:rPr>
            </w:pPr>
            <w:r>
              <w:rPr>
                <w:rFonts w:hint="eastAsia"/>
                <w:color w:val="1C1C1C"/>
              </w:rPr>
              <w:t>76</w:t>
            </w:r>
          </w:p>
        </w:tc>
        <w:tc>
          <w:tcPr>
            <w:tcW w:w="2316" w:type="dxa"/>
            <w:noWrap/>
            <w:vAlign w:val="center"/>
          </w:tcPr>
          <w:p w:rsidR="002D6C73" w:rsidRDefault="00FB6868">
            <w:pPr>
              <w:jc w:val="center"/>
              <w:rPr>
                <w:color w:val="1C1C1C"/>
              </w:rPr>
            </w:pPr>
            <w:r>
              <w:rPr>
                <w:rFonts w:hint="eastAsia"/>
                <w:color w:val="1C1C1C"/>
              </w:rPr>
              <w:t>四川省</w:t>
            </w:r>
          </w:p>
        </w:tc>
        <w:tc>
          <w:tcPr>
            <w:tcW w:w="1546" w:type="dxa"/>
            <w:noWrap/>
            <w:vAlign w:val="center"/>
          </w:tcPr>
          <w:p w:rsidR="002D6C73" w:rsidRDefault="00FB6868">
            <w:pPr>
              <w:jc w:val="center"/>
              <w:rPr>
                <w:color w:val="1C1C1C"/>
              </w:rPr>
            </w:pPr>
            <w:r>
              <w:rPr>
                <w:rFonts w:hint="eastAsia"/>
                <w:color w:val="1C1C1C"/>
              </w:rPr>
              <w:t>南充市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561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1217.6 </w:t>
            </w:r>
          </w:p>
        </w:tc>
      </w:tr>
      <w:tr w:rsidR="002D6C73">
        <w:trPr>
          <w:trHeight w:val="300"/>
        </w:trPr>
        <w:tc>
          <w:tcPr>
            <w:tcW w:w="764" w:type="dxa"/>
            <w:noWrap/>
            <w:vAlign w:val="center"/>
          </w:tcPr>
          <w:p w:rsidR="002D6C73" w:rsidRDefault="00FB6868">
            <w:pPr>
              <w:jc w:val="center"/>
              <w:rPr>
                <w:color w:val="1C1C1C"/>
              </w:rPr>
            </w:pPr>
            <w:r>
              <w:rPr>
                <w:rFonts w:hint="eastAsia"/>
                <w:color w:val="1C1C1C"/>
              </w:rPr>
              <w:lastRenderedPageBreak/>
              <w:t>77</w:t>
            </w:r>
          </w:p>
        </w:tc>
        <w:tc>
          <w:tcPr>
            <w:tcW w:w="2316" w:type="dxa"/>
            <w:noWrap/>
            <w:vAlign w:val="center"/>
          </w:tcPr>
          <w:p w:rsidR="002D6C73" w:rsidRDefault="00FB6868">
            <w:pPr>
              <w:jc w:val="center"/>
              <w:rPr>
                <w:color w:val="1C1C1C"/>
              </w:rPr>
            </w:pPr>
            <w:r>
              <w:rPr>
                <w:rFonts w:hint="eastAsia"/>
                <w:color w:val="1C1C1C"/>
              </w:rPr>
              <w:t>贵州省</w:t>
            </w:r>
          </w:p>
        </w:tc>
        <w:tc>
          <w:tcPr>
            <w:tcW w:w="1546" w:type="dxa"/>
            <w:noWrap/>
            <w:vAlign w:val="center"/>
          </w:tcPr>
          <w:p w:rsidR="002D6C73" w:rsidRDefault="00FB6868">
            <w:pPr>
              <w:jc w:val="center"/>
              <w:rPr>
                <w:color w:val="1C1C1C"/>
              </w:rPr>
            </w:pPr>
            <w:r>
              <w:rPr>
                <w:rFonts w:hint="eastAsia"/>
                <w:color w:val="1C1C1C"/>
              </w:rPr>
              <w:t>贵阳市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599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2188.3 </w:t>
            </w:r>
          </w:p>
        </w:tc>
      </w:tr>
      <w:tr w:rsidR="002D6C73">
        <w:trPr>
          <w:trHeight w:val="300"/>
        </w:trPr>
        <w:tc>
          <w:tcPr>
            <w:tcW w:w="764" w:type="dxa"/>
            <w:noWrap/>
            <w:vAlign w:val="center"/>
          </w:tcPr>
          <w:p w:rsidR="002D6C73" w:rsidRDefault="00FB6868">
            <w:pPr>
              <w:jc w:val="center"/>
              <w:rPr>
                <w:color w:val="1C1C1C"/>
              </w:rPr>
            </w:pPr>
            <w:r>
              <w:rPr>
                <w:rFonts w:hint="eastAsia"/>
                <w:color w:val="1C1C1C"/>
              </w:rPr>
              <w:t>78</w:t>
            </w:r>
          </w:p>
        </w:tc>
        <w:tc>
          <w:tcPr>
            <w:tcW w:w="2316" w:type="dxa"/>
            <w:noWrap/>
            <w:vAlign w:val="center"/>
          </w:tcPr>
          <w:p w:rsidR="002D6C73" w:rsidRDefault="00FB6868">
            <w:pPr>
              <w:jc w:val="center"/>
              <w:rPr>
                <w:color w:val="1C1C1C"/>
              </w:rPr>
            </w:pPr>
            <w:r>
              <w:rPr>
                <w:rFonts w:hint="eastAsia"/>
                <w:color w:val="1C1C1C"/>
              </w:rPr>
              <w:t>贵州省</w:t>
            </w:r>
          </w:p>
        </w:tc>
        <w:tc>
          <w:tcPr>
            <w:tcW w:w="1546" w:type="dxa"/>
            <w:noWrap/>
            <w:vAlign w:val="center"/>
          </w:tcPr>
          <w:p w:rsidR="002D6C73" w:rsidRDefault="00FB6868">
            <w:pPr>
              <w:jc w:val="center"/>
              <w:rPr>
                <w:color w:val="1C1C1C"/>
              </w:rPr>
            </w:pPr>
            <w:r>
              <w:rPr>
                <w:rFonts w:hint="eastAsia"/>
                <w:color w:val="1C1C1C"/>
              </w:rPr>
              <w:t>遵义市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661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1037.3 </w:t>
            </w:r>
          </w:p>
        </w:tc>
      </w:tr>
      <w:tr w:rsidR="002D6C73">
        <w:trPr>
          <w:trHeight w:val="300"/>
        </w:trPr>
        <w:tc>
          <w:tcPr>
            <w:tcW w:w="764" w:type="dxa"/>
            <w:noWrap/>
            <w:vAlign w:val="center"/>
          </w:tcPr>
          <w:p w:rsidR="002D6C73" w:rsidRDefault="00FB6868">
            <w:pPr>
              <w:jc w:val="center"/>
              <w:rPr>
                <w:color w:val="1C1C1C"/>
              </w:rPr>
            </w:pPr>
            <w:r>
              <w:rPr>
                <w:rFonts w:hint="eastAsia"/>
                <w:color w:val="1C1C1C"/>
              </w:rPr>
              <w:t>79</w:t>
            </w:r>
          </w:p>
        </w:tc>
        <w:tc>
          <w:tcPr>
            <w:tcW w:w="2316" w:type="dxa"/>
            <w:noWrap/>
            <w:vAlign w:val="center"/>
          </w:tcPr>
          <w:p w:rsidR="002D6C73" w:rsidRDefault="00FB6868">
            <w:pPr>
              <w:jc w:val="center"/>
              <w:rPr>
                <w:color w:val="1C1C1C"/>
              </w:rPr>
            </w:pPr>
            <w:r>
              <w:rPr>
                <w:rFonts w:hint="eastAsia"/>
                <w:color w:val="1C1C1C"/>
              </w:rPr>
              <w:t>贵州省</w:t>
            </w:r>
          </w:p>
        </w:tc>
        <w:tc>
          <w:tcPr>
            <w:tcW w:w="1546" w:type="dxa"/>
            <w:noWrap/>
            <w:vAlign w:val="center"/>
          </w:tcPr>
          <w:p w:rsidR="002D6C73" w:rsidRDefault="00FB6868">
            <w:pPr>
              <w:jc w:val="center"/>
              <w:rPr>
                <w:color w:val="1C1C1C"/>
              </w:rPr>
            </w:pPr>
            <w:r>
              <w:rPr>
                <w:rFonts w:hint="eastAsia"/>
                <w:color w:val="1C1C1C"/>
              </w:rPr>
              <w:t>毕节市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690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468.5 </w:t>
            </w:r>
          </w:p>
        </w:tc>
      </w:tr>
      <w:tr w:rsidR="002D6C73">
        <w:trPr>
          <w:trHeight w:val="300"/>
        </w:trPr>
        <w:tc>
          <w:tcPr>
            <w:tcW w:w="764" w:type="dxa"/>
            <w:noWrap/>
            <w:vAlign w:val="center"/>
          </w:tcPr>
          <w:p w:rsidR="002D6C73" w:rsidRDefault="00FB6868">
            <w:pPr>
              <w:jc w:val="center"/>
              <w:rPr>
                <w:color w:val="1C1C1C"/>
              </w:rPr>
            </w:pPr>
            <w:r>
              <w:rPr>
                <w:rFonts w:hint="eastAsia"/>
                <w:color w:val="1C1C1C"/>
              </w:rPr>
              <w:t>80</w:t>
            </w:r>
          </w:p>
        </w:tc>
        <w:tc>
          <w:tcPr>
            <w:tcW w:w="2316" w:type="dxa"/>
            <w:noWrap/>
            <w:vAlign w:val="center"/>
          </w:tcPr>
          <w:p w:rsidR="002D6C73" w:rsidRDefault="00FB6868">
            <w:pPr>
              <w:jc w:val="center"/>
              <w:rPr>
                <w:color w:val="1C1C1C"/>
              </w:rPr>
            </w:pPr>
            <w:r>
              <w:rPr>
                <w:rFonts w:hint="eastAsia"/>
                <w:color w:val="1C1C1C"/>
              </w:rPr>
              <w:t>云南省</w:t>
            </w:r>
          </w:p>
        </w:tc>
        <w:tc>
          <w:tcPr>
            <w:tcW w:w="1546" w:type="dxa"/>
            <w:noWrap/>
            <w:vAlign w:val="center"/>
          </w:tcPr>
          <w:p w:rsidR="002D6C73" w:rsidRDefault="00FB6868">
            <w:pPr>
              <w:jc w:val="center"/>
              <w:rPr>
                <w:color w:val="1C1C1C"/>
              </w:rPr>
            </w:pPr>
            <w:r>
              <w:rPr>
                <w:rFonts w:hint="eastAsia"/>
                <w:color w:val="1C1C1C"/>
              </w:rPr>
              <w:t>昆明市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846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3070.4 </w:t>
            </w:r>
          </w:p>
        </w:tc>
      </w:tr>
      <w:tr w:rsidR="002D6C73">
        <w:trPr>
          <w:trHeight w:val="300"/>
        </w:trPr>
        <w:tc>
          <w:tcPr>
            <w:tcW w:w="764" w:type="dxa"/>
            <w:noWrap/>
            <w:vAlign w:val="center"/>
          </w:tcPr>
          <w:p w:rsidR="002D6C73" w:rsidRDefault="00FB6868">
            <w:pPr>
              <w:jc w:val="center"/>
              <w:rPr>
                <w:color w:val="1C1C1C"/>
              </w:rPr>
            </w:pPr>
            <w:r>
              <w:rPr>
                <w:rFonts w:hint="eastAsia"/>
                <w:color w:val="1C1C1C"/>
              </w:rPr>
              <w:t>81</w:t>
            </w:r>
          </w:p>
        </w:tc>
        <w:tc>
          <w:tcPr>
            <w:tcW w:w="2316" w:type="dxa"/>
            <w:noWrap/>
            <w:vAlign w:val="center"/>
          </w:tcPr>
          <w:p w:rsidR="002D6C73" w:rsidRDefault="00FB6868">
            <w:pPr>
              <w:jc w:val="center"/>
              <w:rPr>
                <w:color w:val="1C1C1C"/>
              </w:rPr>
            </w:pPr>
            <w:r>
              <w:rPr>
                <w:rFonts w:hint="eastAsia"/>
                <w:color w:val="1C1C1C"/>
              </w:rPr>
              <w:t>云南省</w:t>
            </w:r>
          </w:p>
        </w:tc>
        <w:tc>
          <w:tcPr>
            <w:tcW w:w="1546" w:type="dxa"/>
            <w:noWrap/>
            <w:vAlign w:val="center"/>
          </w:tcPr>
          <w:p w:rsidR="002D6C73" w:rsidRDefault="00FB6868">
            <w:pPr>
              <w:jc w:val="center"/>
              <w:rPr>
                <w:color w:val="1C1C1C"/>
              </w:rPr>
            </w:pPr>
            <w:r>
              <w:rPr>
                <w:rFonts w:hint="eastAsia"/>
                <w:color w:val="1C1C1C"/>
              </w:rPr>
              <w:t>曲靖市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577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934.9 </w:t>
            </w:r>
          </w:p>
        </w:tc>
      </w:tr>
      <w:tr w:rsidR="002D6C73">
        <w:trPr>
          <w:trHeight w:val="300"/>
        </w:trPr>
        <w:tc>
          <w:tcPr>
            <w:tcW w:w="764" w:type="dxa"/>
            <w:noWrap/>
            <w:vAlign w:val="center"/>
          </w:tcPr>
          <w:p w:rsidR="002D6C73" w:rsidRDefault="00FB6868">
            <w:pPr>
              <w:jc w:val="center"/>
              <w:rPr>
                <w:color w:val="1C1C1C"/>
              </w:rPr>
            </w:pPr>
            <w:r>
              <w:rPr>
                <w:rFonts w:hint="eastAsia"/>
                <w:color w:val="1C1C1C"/>
              </w:rPr>
              <w:t>82</w:t>
            </w:r>
          </w:p>
        </w:tc>
        <w:tc>
          <w:tcPr>
            <w:tcW w:w="2316" w:type="dxa"/>
            <w:noWrap/>
            <w:vAlign w:val="center"/>
          </w:tcPr>
          <w:p w:rsidR="002D6C73" w:rsidRDefault="00FB6868">
            <w:pPr>
              <w:jc w:val="center"/>
              <w:rPr>
                <w:color w:val="1C1C1C"/>
              </w:rPr>
            </w:pPr>
            <w:r>
              <w:rPr>
                <w:rFonts w:hint="eastAsia"/>
                <w:color w:val="1C1C1C"/>
              </w:rPr>
              <w:t>云南省</w:t>
            </w:r>
          </w:p>
        </w:tc>
        <w:tc>
          <w:tcPr>
            <w:tcW w:w="1546" w:type="dxa"/>
            <w:noWrap/>
            <w:vAlign w:val="center"/>
          </w:tcPr>
          <w:p w:rsidR="002D6C73" w:rsidRDefault="00FB6868">
            <w:pPr>
              <w:jc w:val="center"/>
              <w:rPr>
                <w:color w:val="1C1C1C"/>
              </w:rPr>
            </w:pPr>
            <w:r>
              <w:rPr>
                <w:rFonts w:hint="eastAsia"/>
                <w:color w:val="1C1C1C"/>
              </w:rPr>
              <w:t>玉溪市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225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790.3 </w:t>
            </w:r>
          </w:p>
        </w:tc>
      </w:tr>
      <w:tr w:rsidR="002D6C73">
        <w:trPr>
          <w:trHeight w:val="300"/>
        </w:trPr>
        <w:tc>
          <w:tcPr>
            <w:tcW w:w="764" w:type="dxa"/>
            <w:noWrap/>
            <w:vAlign w:val="center"/>
          </w:tcPr>
          <w:p w:rsidR="002D6C73" w:rsidRDefault="00FB6868">
            <w:pPr>
              <w:jc w:val="center"/>
              <w:rPr>
                <w:color w:val="1C1C1C"/>
              </w:rPr>
            </w:pPr>
            <w:r>
              <w:rPr>
                <w:rFonts w:hint="eastAsia"/>
                <w:color w:val="1C1C1C"/>
              </w:rPr>
              <w:t>83</w:t>
            </w:r>
          </w:p>
        </w:tc>
        <w:tc>
          <w:tcPr>
            <w:tcW w:w="2316" w:type="dxa"/>
            <w:noWrap/>
            <w:vAlign w:val="center"/>
          </w:tcPr>
          <w:p w:rsidR="002D6C73" w:rsidRDefault="00FB6868">
            <w:pPr>
              <w:jc w:val="center"/>
              <w:rPr>
                <w:color w:val="1C1C1C"/>
              </w:rPr>
            </w:pPr>
            <w:r>
              <w:rPr>
                <w:rFonts w:hint="eastAsia"/>
                <w:color w:val="1C1C1C"/>
              </w:rPr>
              <w:t>西藏自治区</w:t>
            </w:r>
          </w:p>
        </w:tc>
        <w:tc>
          <w:tcPr>
            <w:tcW w:w="1546" w:type="dxa"/>
            <w:noWrap/>
            <w:vAlign w:val="center"/>
          </w:tcPr>
          <w:p w:rsidR="002D6C73" w:rsidRDefault="00FB6868">
            <w:pPr>
              <w:jc w:val="center"/>
              <w:rPr>
                <w:color w:val="1C1C1C"/>
              </w:rPr>
            </w:pPr>
            <w:r>
              <w:rPr>
                <w:rFonts w:hint="eastAsia"/>
                <w:color w:val="1C1C1C"/>
              </w:rPr>
              <w:t>拉萨市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87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369.4 </w:t>
            </w:r>
          </w:p>
        </w:tc>
      </w:tr>
      <w:tr w:rsidR="002D6C73">
        <w:trPr>
          <w:trHeight w:val="300"/>
        </w:trPr>
        <w:tc>
          <w:tcPr>
            <w:tcW w:w="764" w:type="dxa"/>
            <w:noWrap/>
            <w:vAlign w:val="center"/>
          </w:tcPr>
          <w:p w:rsidR="002D6C73" w:rsidRDefault="00FB6868">
            <w:pPr>
              <w:jc w:val="center"/>
              <w:rPr>
                <w:color w:val="1C1C1C"/>
              </w:rPr>
            </w:pPr>
            <w:r>
              <w:rPr>
                <w:rFonts w:hint="eastAsia"/>
                <w:color w:val="1C1C1C"/>
              </w:rPr>
              <w:t>84</w:t>
            </w:r>
          </w:p>
        </w:tc>
        <w:tc>
          <w:tcPr>
            <w:tcW w:w="2316" w:type="dxa"/>
            <w:noWrap/>
            <w:vAlign w:val="center"/>
          </w:tcPr>
          <w:p w:rsidR="002D6C73" w:rsidRDefault="00FB6868">
            <w:pPr>
              <w:jc w:val="center"/>
              <w:rPr>
                <w:color w:val="1C1C1C"/>
              </w:rPr>
            </w:pPr>
            <w:r>
              <w:rPr>
                <w:rFonts w:hint="eastAsia"/>
                <w:color w:val="1C1C1C"/>
              </w:rPr>
              <w:t>西藏自治区</w:t>
            </w:r>
          </w:p>
        </w:tc>
        <w:tc>
          <w:tcPr>
            <w:tcW w:w="1546" w:type="dxa"/>
            <w:noWrap/>
            <w:vAlign w:val="center"/>
          </w:tcPr>
          <w:p w:rsidR="002D6C73" w:rsidRDefault="00FB6868">
            <w:pPr>
              <w:jc w:val="center"/>
              <w:rPr>
                <w:color w:val="1C1C1C"/>
              </w:rPr>
            </w:pPr>
            <w:r>
              <w:rPr>
                <w:rFonts w:hint="eastAsia"/>
                <w:color w:val="1C1C1C"/>
              </w:rPr>
              <w:t>日喀则市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80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140.2 </w:t>
            </w:r>
          </w:p>
        </w:tc>
      </w:tr>
      <w:tr w:rsidR="002D6C73">
        <w:trPr>
          <w:trHeight w:val="300"/>
        </w:trPr>
        <w:tc>
          <w:tcPr>
            <w:tcW w:w="764" w:type="dxa"/>
            <w:noWrap/>
            <w:vAlign w:val="center"/>
          </w:tcPr>
          <w:p w:rsidR="002D6C73" w:rsidRDefault="00FB6868">
            <w:pPr>
              <w:jc w:val="center"/>
              <w:rPr>
                <w:color w:val="1C1C1C"/>
              </w:rPr>
            </w:pPr>
            <w:r>
              <w:rPr>
                <w:rFonts w:hint="eastAsia"/>
                <w:color w:val="1C1C1C"/>
              </w:rPr>
              <w:t>85</w:t>
            </w:r>
          </w:p>
        </w:tc>
        <w:tc>
          <w:tcPr>
            <w:tcW w:w="2316" w:type="dxa"/>
            <w:noWrap/>
            <w:vAlign w:val="center"/>
          </w:tcPr>
          <w:p w:rsidR="002D6C73" w:rsidRDefault="00FB6868">
            <w:pPr>
              <w:jc w:val="center"/>
              <w:rPr>
                <w:color w:val="1C1C1C"/>
              </w:rPr>
            </w:pPr>
            <w:r>
              <w:rPr>
                <w:rFonts w:hint="eastAsia"/>
                <w:color w:val="1C1C1C"/>
              </w:rPr>
              <w:t>西藏自治区</w:t>
            </w:r>
          </w:p>
        </w:tc>
        <w:tc>
          <w:tcPr>
            <w:tcW w:w="1546" w:type="dxa"/>
            <w:noWrap/>
            <w:vAlign w:val="center"/>
          </w:tcPr>
          <w:p w:rsidR="002D6C73" w:rsidRDefault="00FB6868">
            <w:pPr>
              <w:jc w:val="center"/>
              <w:rPr>
                <w:color w:val="1C1C1C"/>
              </w:rPr>
            </w:pPr>
            <w:r>
              <w:rPr>
                <w:rFonts w:hint="eastAsia"/>
                <w:color w:val="1C1C1C"/>
              </w:rPr>
              <w:t>山南市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35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66.8 </w:t>
            </w:r>
          </w:p>
        </w:tc>
      </w:tr>
      <w:tr w:rsidR="002D6C73">
        <w:trPr>
          <w:trHeight w:val="300"/>
        </w:trPr>
        <w:tc>
          <w:tcPr>
            <w:tcW w:w="764" w:type="dxa"/>
            <w:noWrap/>
            <w:vAlign w:val="center"/>
          </w:tcPr>
          <w:p w:rsidR="002D6C73" w:rsidRDefault="00FB6868">
            <w:pPr>
              <w:jc w:val="center"/>
              <w:rPr>
                <w:color w:val="1C1C1C"/>
              </w:rPr>
            </w:pPr>
            <w:r>
              <w:rPr>
                <w:rFonts w:hint="eastAsia"/>
                <w:color w:val="1C1C1C"/>
              </w:rPr>
              <w:t>86</w:t>
            </w:r>
          </w:p>
        </w:tc>
        <w:tc>
          <w:tcPr>
            <w:tcW w:w="2316" w:type="dxa"/>
            <w:noWrap/>
            <w:vAlign w:val="center"/>
          </w:tcPr>
          <w:p w:rsidR="002D6C73" w:rsidRDefault="00FB6868">
            <w:pPr>
              <w:jc w:val="center"/>
              <w:rPr>
                <w:color w:val="1C1C1C"/>
              </w:rPr>
            </w:pPr>
            <w:r>
              <w:rPr>
                <w:rFonts w:hint="eastAsia"/>
                <w:color w:val="1C1C1C"/>
              </w:rPr>
              <w:t>陕西省</w:t>
            </w:r>
          </w:p>
        </w:tc>
        <w:tc>
          <w:tcPr>
            <w:tcW w:w="1546" w:type="dxa"/>
            <w:noWrap/>
            <w:vAlign w:val="center"/>
          </w:tcPr>
          <w:p w:rsidR="002D6C73" w:rsidRDefault="00FB6868">
            <w:pPr>
              <w:jc w:val="center"/>
              <w:rPr>
                <w:color w:val="1C1C1C"/>
              </w:rPr>
            </w:pPr>
            <w:r>
              <w:rPr>
                <w:rFonts w:hint="eastAsia"/>
                <w:color w:val="1C1C1C"/>
              </w:rPr>
              <w:t>西安市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1295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4989.3 </w:t>
            </w:r>
          </w:p>
        </w:tc>
      </w:tr>
      <w:tr w:rsidR="002D6C73">
        <w:trPr>
          <w:trHeight w:val="300"/>
        </w:trPr>
        <w:tc>
          <w:tcPr>
            <w:tcW w:w="764" w:type="dxa"/>
            <w:noWrap/>
            <w:vAlign w:val="center"/>
          </w:tcPr>
          <w:p w:rsidR="002D6C73" w:rsidRDefault="00FB6868">
            <w:pPr>
              <w:jc w:val="center"/>
              <w:rPr>
                <w:color w:val="1C1C1C"/>
              </w:rPr>
            </w:pPr>
            <w:r>
              <w:rPr>
                <w:rFonts w:hint="eastAsia"/>
                <w:color w:val="1C1C1C"/>
              </w:rPr>
              <w:t>87</w:t>
            </w:r>
          </w:p>
        </w:tc>
        <w:tc>
          <w:tcPr>
            <w:tcW w:w="2316" w:type="dxa"/>
            <w:noWrap/>
            <w:vAlign w:val="center"/>
          </w:tcPr>
          <w:p w:rsidR="002D6C73" w:rsidRDefault="00FB6868">
            <w:pPr>
              <w:jc w:val="center"/>
              <w:rPr>
                <w:color w:val="1C1C1C"/>
              </w:rPr>
            </w:pPr>
            <w:r>
              <w:rPr>
                <w:rFonts w:hint="eastAsia"/>
                <w:color w:val="1C1C1C"/>
              </w:rPr>
              <w:t>陕西省</w:t>
            </w:r>
          </w:p>
        </w:tc>
        <w:tc>
          <w:tcPr>
            <w:tcW w:w="1546" w:type="dxa"/>
            <w:noWrap/>
            <w:vAlign w:val="center"/>
          </w:tcPr>
          <w:p w:rsidR="002D6C73" w:rsidRDefault="00FB6868">
            <w:pPr>
              <w:jc w:val="center"/>
              <w:rPr>
                <w:color w:val="1C1C1C"/>
              </w:rPr>
            </w:pPr>
            <w:r>
              <w:rPr>
                <w:rFonts w:hint="eastAsia"/>
                <w:color w:val="1C1C1C"/>
              </w:rPr>
              <w:t>宝鸡市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332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801.9 </w:t>
            </w:r>
          </w:p>
        </w:tc>
      </w:tr>
      <w:tr w:rsidR="002D6C73">
        <w:trPr>
          <w:trHeight w:val="300"/>
        </w:trPr>
        <w:tc>
          <w:tcPr>
            <w:tcW w:w="764" w:type="dxa"/>
            <w:noWrap/>
            <w:vAlign w:val="center"/>
          </w:tcPr>
          <w:p w:rsidR="002D6C73" w:rsidRDefault="00FB6868">
            <w:pPr>
              <w:jc w:val="center"/>
              <w:rPr>
                <w:color w:val="1C1C1C"/>
              </w:rPr>
            </w:pPr>
            <w:r>
              <w:rPr>
                <w:rFonts w:hint="eastAsia"/>
                <w:color w:val="1C1C1C"/>
              </w:rPr>
              <w:t>88</w:t>
            </w:r>
          </w:p>
        </w:tc>
        <w:tc>
          <w:tcPr>
            <w:tcW w:w="2316" w:type="dxa"/>
            <w:noWrap/>
            <w:vAlign w:val="center"/>
          </w:tcPr>
          <w:p w:rsidR="002D6C73" w:rsidRDefault="00FB6868">
            <w:pPr>
              <w:jc w:val="center"/>
              <w:rPr>
                <w:color w:val="1C1C1C"/>
              </w:rPr>
            </w:pPr>
            <w:r>
              <w:rPr>
                <w:rFonts w:hint="eastAsia"/>
                <w:color w:val="1C1C1C"/>
              </w:rPr>
              <w:t>陕西省</w:t>
            </w:r>
          </w:p>
        </w:tc>
        <w:tc>
          <w:tcPr>
            <w:tcW w:w="1546" w:type="dxa"/>
            <w:noWrap/>
            <w:vAlign w:val="center"/>
          </w:tcPr>
          <w:p w:rsidR="002D6C73" w:rsidRDefault="00FB6868">
            <w:pPr>
              <w:jc w:val="center"/>
              <w:rPr>
                <w:color w:val="1C1C1C"/>
              </w:rPr>
            </w:pPr>
            <w:r>
              <w:rPr>
                <w:rFonts w:hint="eastAsia"/>
                <w:color w:val="1C1C1C"/>
              </w:rPr>
              <w:t>渭南市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469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633.6 </w:t>
            </w:r>
          </w:p>
        </w:tc>
      </w:tr>
      <w:tr w:rsidR="002D6C73">
        <w:trPr>
          <w:trHeight w:val="300"/>
        </w:trPr>
        <w:tc>
          <w:tcPr>
            <w:tcW w:w="764" w:type="dxa"/>
            <w:noWrap/>
            <w:vAlign w:val="center"/>
          </w:tcPr>
          <w:p w:rsidR="002D6C73" w:rsidRDefault="00FB6868">
            <w:pPr>
              <w:jc w:val="center"/>
              <w:rPr>
                <w:color w:val="1C1C1C"/>
              </w:rPr>
            </w:pPr>
            <w:r>
              <w:rPr>
                <w:rFonts w:hint="eastAsia"/>
                <w:color w:val="1C1C1C"/>
              </w:rPr>
              <w:t>89</w:t>
            </w:r>
          </w:p>
        </w:tc>
        <w:tc>
          <w:tcPr>
            <w:tcW w:w="2316" w:type="dxa"/>
            <w:noWrap/>
            <w:vAlign w:val="center"/>
          </w:tcPr>
          <w:p w:rsidR="002D6C73" w:rsidRDefault="00FB6868">
            <w:pPr>
              <w:jc w:val="center"/>
              <w:rPr>
                <w:color w:val="1C1C1C"/>
              </w:rPr>
            </w:pPr>
            <w:r>
              <w:rPr>
                <w:rFonts w:hint="eastAsia"/>
                <w:color w:val="1C1C1C"/>
              </w:rPr>
              <w:t>甘肃省</w:t>
            </w:r>
          </w:p>
        </w:tc>
        <w:tc>
          <w:tcPr>
            <w:tcW w:w="1546" w:type="dxa"/>
            <w:noWrap/>
            <w:vAlign w:val="center"/>
          </w:tcPr>
          <w:p w:rsidR="002D6C73" w:rsidRDefault="00FB6868">
            <w:pPr>
              <w:jc w:val="center"/>
              <w:rPr>
                <w:color w:val="1C1C1C"/>
              </w:rPr>
            </w:pPr>
            <w:r>
              <w:rPr>
                <w:rFonts w:hint="eastAsia"/>
                <w:color w:val="1C1C1C"/>
              </w:rPr>
              <w:t>兰州市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436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1641.2 </w:t>
            </w:r>
          </w:p>
        </w:tc>
      </w:tr>
      <w:tr w:rsidR="002D6C73">
        <w:trPr>
          <w:trHeight w:val="300"/>
        </w:trPr>
        <w:tc>
          <w:tcPr>
            <w:tcW w:w="764" w:type="dxa"/>
            <w:noWrap/>
            <w:vAlign w:val="center"/>
          </w:tcPr>
          <w:p w:rsidR="002D6C73" w:rsidRDefault="00FB6868">
            <w:pPr>
              <w:jc w:val="center"/>
              <w:rPr>
                <w:color w:val="1C1C1C"/>
              </w:rPr>
            </w:pPr>
            <w:r>
              <w:rPr>
                <w:rFonts w:hint="eastAsia"/>
                <w:color w:val="1C1C1C"/>
              </w:rPr>
              <w:t>90</w:t>
            </w:r>
          </w:p>
        </w:tc>
        <w:tc>
          <w:tcPr>
            <w:tcW w:w="2316" w:type="dxa"/>
            <w:noWrap/>
            <w:vAlign w:val="center"/>
          </w:tcPr>
          <w:p w:rsidR="002D6C73" w:rsidRDefault="00FB6868">
            <w:pPr>
              <w:jc w:val="center"/>
              <w:rPr>
                <w:color w:val="1C1C1C"/>
              </w:rPr>
            </w:pPr>
            <w:r>
              <w:rPr>
                <w:rFonts w:hint="eastAsia"/>
                <w:color w:val="1C1C1C"/>
              </w:rPr>
              <w:t>甘肃省</w:t>
            </w:r>
          </w:p>
        </w:tc>
        <w:tc>
          <w:tcPr>
            <w:tcW w:w="1546" w:type="dxa"/>
            <w:noWrap/>
            <w:vAlign w:val="center"/>
          </w:tcPr>
          <w:p w:rsidR="002D6C73" w:rsidRDefault="00FB6868">
            <w:pPr>
              <w:jc w:val="center"/>
              <w:rPr>
                <w:color w:val="1C1C1C"/>
              </w:rPr>
            </w:pPr>
            <w:r>
              <w:rPr>
                <w:rFonts w:hint="eastAsia"/>
                <w:color w:val="1C1C1C"/>
              </w:rPr>
              <w:t>天水市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298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270.9 </w:t>
            </w:r>
          </w:p>
        </w:tc>
      </w:tr>
      <w:tr w:rsidR="002D6C73">
        <w:trPr>
          <w:trHeight w:val="300"/>
        </w:trPr>
        <w:tc>
          <w:tcPr>
            <w:tcW w:w="764" w:type="dxa"/>
            <w:noWrap/>
            <w:vAlign w:val="center"/>
          </w:tcPr>
          <w:p w:rsidR="002D6C73" w:rsidRDefault="00FB6868">
            <w:pPr>
              <w:jc w:val="center"/>
              <w:rPr>
                <w:color w:val="1C1C1C"/>
              </w:rPr>
            </w:pPr>
            <w:r>
              <w:rPr>
                <w:rFonts w:hint="eastAsia"/>
                <w:color w:val="1C1C1C"/>
              </w:rPr>
              <w:t>91</w:t>
            </w:r>
          </w:p>
        </w:tc>
        <w:tc>
          <w:tcPr>
            <w:tcW w:w="2316" w:type="dxa"/>
            <w:noWrap/>
            <w:vAlign w:val="center"/>
          </w:tcPr>
          <w:p w:rsidR="002D6C73" w:rsidRDefault="00FB6868">
            <w:pPr>
              <w:jc w:val="center"/>
              <w:rPr>
                <w:color w:val="1C1C1C"/>
              </w:rPr>
            </w:pPr>
            <w:r>
              <w:rPr>
                <w:rFonts w:hint="eastAsia"/>
                <w:color w:val="1C1C1C"/>
              </w:rPr>
              <w:t>甘肃省</w:t>
            </w:r>
          </w:p>
        </w:tc>
        <w:tc>
          <w:tcPr>
            <w:tcW w:w="1546" w:type="dxa"/>
            <w:noWrap/>
            <w:vAlign w:val="center"/>
          </w:tcPr>
          <w:p w:rsidR="002D6C73" w:rsidRDefault="00FB6868">
            <w:pPr>
              <w:jc w:val="center"/>
              <w:rPr>
                <w:color w:val="1C1C1C"/>
              </w:rPr>
            </w:pPr>
            <w:proofErr w:type="gramStart"/>
            <w:r>
              <w:rPr>
                <w:rFonts w:hint="eastAsia"/>
                <w:color w:val="1C1C1C"/>
              </w:rPr>
              <w:t>庆阳市</w:t>
            </w:r>
            <w:proofErr w:type="gramEnd"/>
          </w:p>
        </w:tc>
        <w:tc>
          <w:tcPr>
            <w:tcW w:w="1915" w:type="dxa"/>
            <w:noWrap/>
            <w:vAlign w:val="center"/>
          </w:tcPr>
          <w:p w:rsidR="002D6C73" w:rsidRDefault="00FB6868">
            <w:pPr>
              <w:jc w:val="center"/>
              <w:textAlignment w:val="center"/>
              <w:rPr>
                <w:color w:val="1C1C1C"/>
              </w:rPr>
            </w:pPr>
            <w:r>
              <w:rPr>
                <w:rFonts w:hint="eastAsia"/>
                <w:color w:val="1C1C1C"/>
                <w:lang w:bidi="ar"/>
              </w:rPr>
              <w:t xml:space="preserve">218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117.0 </w:t>
            </w:r>
          </w:p>
        </w:tc>
      </w:tr>
      <w:tr w:rsidR="002D6C73">
        <w:trPr>
          <w:trHeight w:val="300"/>
        </w:trPr>
        <w:tc>
          <w:tcPr>
            <w:tcW w:w="764" w:type="dxa"/>
            <w:noWrap/>
            <w:vAlign w:val="center"/>
          </w:tcPr>
          <w:p w:rsidR="002D6C73" w:rsidRDefault="00FB6868">
            <w:pPr>
              <w:jc w:val="center"/>
              <w:rPr>
                <w:color w:val="1C1C1C"/>
              </w:rPr>
            </w:pPr>
            <w:r>
              <w:rPr>
                <w:rFonts w:hint="eastAsia"/>
                <w:color w:val="1C1C1C"/>
              </w:rPr>
              <w:t>92</w:t>
            </w:r>
          </w:p>
        </w:tc>
        <w:tc>
          <w:tcPr>
            <w:tcW w:w="2316" w:type="dxa"/>
            <w:noWrap/>
            <w:vAlign w:val="center"/>
          </w:tcPr>
          <w:p w:rsidR="002D6C73" w:rsidRDefault="00FB6868">
            <w:pPr>
              <w:jc w:val="center"/>
              <w:rPr>
                <w:color w:val="1C1C1C"/>
              </w:rPr>
            </w:pPr>
            <w:r>
              <w:rPr>
                <w:rFonts w:hint="eastAsia"/>
                <w:color w:val="1C1C1C"/>
              </w:rPr>
              <w:t>青海省</w:t>
            </w:r>
          </w:p>
        </w:tc>
        <w:tc>
          <w:tcPr>
            <w:tcW w:w="1546" w:type="dxa"/>
            <w:noWrap/>
            <w:vAlign w:val="center"/>
          </w:tcPr>
          <w:p w:rsidR="002D6C73" w:rsidRDefault="00FB6868">
            <w:pPr>
              <w:jc w:val="center"/>
              <w:rPr>
                <w:color w:val="1C1C1C"/>
              </w:rPr>
            </w:pPr>
            <w:r>
              <w:rPr>
                <w:rFonts w:hint="eastAsia"/>
                <w:color w:val="1C1C1C"/>
              </w:rPr>
              <w:t>西宁市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247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573.6 </w:t>
            </w:r>
          </w:p>
        </w:tc>
      </w:tr>
      <w:tr w:rsidR="002D6C73">
        <w:trPr>
          <w:trHeight w:val="300"/>
        </w:trPr>
        <w:tc>
          <w:tcPr>
            <w:tcW w:w="764" w:type="dxa"/>
            <w:noWrap/>
            <w:vAlign w:val="center"/>
          </w:tcPr>
          <w:p w:rsidR="002D6C73" w:rsidRDefault="00FB6868">
            <w:pPr>
              <w:jc w:val="center"/>
              <w:rPr>
                <w:color w:val="1C1C1C"/>
              </w:rPr>
            </w:pPr>
            <w:r>
              <w:rPr>
                <w:rFonts w:hint="eastAsia"/>
                <w:color w:val="1C1C1C"/>
              </w:rPr>
              <w:t>93</w:t>
            </w:r>
          </w:p>
        </w:tc>
        <w:tc>
          <w:tcPr>
            <w:tcW w:w="2316" w:type="dxa"/>
            <w:noWrap/>
            <w:vAlign w:val="center"/>
          </w:tcPr>
          <w:p w:rsidR="002D6C73" w:rsidRDefault="00FB6868">
            <w:pPr>
              <w:jc w:val="center"/>
              <w:rPr>
                <w:color w:val="1C1C1C"/>
              </w:rPr>
            </w:pPr>
            <w:r>
              <w:rPr>
                <w:rFonts w:hint="eastAsia"/>
                <w:color w:val="1C1C1C"/>
              </w:rPr>
              <w:t>青海省</w:t>
            </w:r>
          </w:p>
        </w:tc>
        <w:tc>
          <w:tcPr>
            <w:tcW w:w="1546" w:type="dxa"/>
            <w:noWrap/>
            <w:vAlign w:val="center"/>
          </w:tcPr>
          <w:p w:rsidR="002D6C73" w:rsidRDefault="00FB6868">
            <w:pPr>
              <w:jc w:val="center"/>
              <w:rPr>
                <w:color w:val="1C1C1C"/>
              </w:rPr>
            </w:pPr>
            <w:r>
              <w:rPr>
                <w:rFonts w:hint="eastAsia"/>
                <w:color w:val="1C1C1C"/>
              </w:rPr>
              <w:t>海东市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136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121.3 </w:t>
            </w:r>
          </w:p>
        </w:tc>
      </w:tr>
      <w:tr w:rsidR="002D6C73">
        <w:trPr>
          <w:trHeight w:val="300"/>
        </w:trPr>
        <w:tc>
          <w:tcPr>
            <w:tcW w:w="764" w:type="dxa"/>
            <w:noWrap/>
            <w:vAlign w:val="center"/>
          </w:tcPr>
          <w:p w:rsidR="002D6C73" w:rsidRDefault="00FB6868">
            <w:pPr>
              <w:jc w:val="center"/>
              <w:rPr>
                <w:color w:val="1C1C1C"/>
              </w:rPr>
            </w:pPr>
            <w:r>
              <w:rPr>
                <w:rFonts w:hint="eastAsia"/>
                <w:color w:val="1C1C1C"/>
              </w:rPr>
              <w:t>94</w:t>
            </w:r>
          </w:p>
        </w:tc>
        <w:tc>
          <w:tcPr>
            <w:tcW w:w="2316" w:type="dxa"/>
            <w:noWrap/>
            <w:vAlign w:val="center"/>
          </w:tcPr>
          <w:p w:rsidR="002D6C73" w:rsidRDefault="00FB6868">
            <w:pPr>
              <w:jc w:val="center"/>
              <w:rPr>
                <w:color w:val="1C1C1C"/>
              </w:rPr>
            </w:pPr>
            <w:r>
              <w:rPr>
                <w:rFonts w:hint="eastAsia"/>
                <w:color w:val="1C1C1C"/>
              </w:rPr>
              <w:t>青海省</w:t>
            </w:r>
          </w:p>
        </w:tc>
        <w:tc>
          <w:tcPr>
            <w:tcW w:w="1546" w:type="dxa"/>
            <w:noWrap/>
            <w:vAlign w:val="center"/>
          </w:tcPr>
          <w:p w:rsidR="002D6C73" w:rsidRDefault="00FB6868">
            <w:pPr>
              <w:jc w:val="center"/>
              <w:rPr>
                <w:color w:val="1C1C1C"/>
              </w:rPr>
            </w:pPr>
            <w:r>
              <w:rPr>
                <w:rFonts w:hint="eastAsia"/>
                <w:color w:val="1C1C1C"/>
              </w:rPr>
              <w:t>海西蒙古族藏族自治州</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79.7 </w:t>
            </w:r>
          </w:p>
        </w:tc>
      </w:tr>
      <w:tr w:rsidR="002D6C73">
        <w:trPr>
          <w:trHeight w:val="300"/>
        </w:trPr>
        <w:tc>
          <w:tcPr>
            <w:tcW w:w="764" w:type="dxa"/>
            <w:noWrap/>
            <w:vAlign w:val="center"/>
          </w:tcPr>
          <w:p w:rsidR="002D6C73" w:rsidRDefault="00FB6868">
            <w:pPr>
              <w:jc w:val="center"/>
              <w:rPr>
                <w:color w:val="1C1C1C"/>
              </w:rPr>
            </w:pPr>
            <w:r>
              <w:rPr>
                <w:rFonts w:hint="eastAsia"/>
                <w:color w:val="1C1C1C"/>
              </w:rPr>
              <w:t>95</w:t>
            </w:r>
          </w:p>
        </w:tc>
        <w:tc>
          <w:tcPr>
            <w:tcW w:w="2316" w:type="dxa"/>
            <w:noWrap/>
            <w:vAlign w:val="center"/>
          </w:tcPr>
          <w:p w:rsidR="002D6C73" w:rsidRDefault="00FB6868">
            <w:pPr>
              <w:jc w:val="center"/>
              <w:rPr>
                <w:color w:val="1C1C1C"/>
              </w:rPr>
            </w:pPr>
            <w:r>
              <w:rPr>
                <w:rFonts w:hint="eastAsia"/>
                <w:color w:val="1C1C1C"/>
              </w:rPr>
              <w:t>宁夏回族自治区</w:t>
            </w:r>
          </w:p>
        </w:tc>
        <w:tc>
          <w:tcPr>
            <w:tcW w:w="1546" w:type="dxa"/>
            <w:noWrap/>
            <w:vAlign w:val="center"/>
          </w:tcPr>
          <w:p w:rsidR="002D6C73" w:rsidRDefault="00FB6868">
            <w:pPr>
              <w:jc w:val="center"/>
              <w:rPr>
                <w:color w:val="1C1C1C"/>
              </w:rPr>
            </w:pPr>
            <w:r>
              <w:rPr>
                <w:rFonts w:hint="eastAsia"/>
                <w:color w:val="1C1C1C"/>
              </w:rPr>
              <w:t>银川市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286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770.9 </w:t>
            </w:r>
          </w:p>
        </w:tc>
      </w:tr>
      <w:tr w:rsidR="002D6C73">
        <w:trPr>
          <w:trHeight w:val="300"/>
        </w:trPr>
        <w:tc>
          <w:tcPr>
            <w:tcW w:w="764" w:type="dxa"/>
            <w:noWrap/>
            <w:vAlign w:val="center"/>
          </w:tcPr>
          <w:p w:rsidR="002D6C73" w:rsidRDefault="00FB6868">
            <w:pPr>
              <w:jc w:val="center"/>
              <w:rPr>
                <w:color w:val="1C1C1C"/>
              </w:rPr>
            </w:pPr>
            <w:r>
              <w:rPr>
                <w:rFonts w:hint="eastAsia"/>
                <w:color w:val="1C1C1C"/>
              </w:rPr>
              <w:t>96</w:t>
            </w:r>
          </w:p>
        </w:tc>
        <w:tc>
          <w:tcPr>
            <w:tcW w:w="2316" w:type="dxa"/>
            <w:noWrap/>
            <w:vAlign w:val="center"/>
          </w:tcPr>
          <w:p w:rsidR="002D6C73" w:rsidRDefault="00FB6868">
            <w:pPr>
              <w:jc w:val="center"/>
              <w:rPr>
                <w:color w:val="1C1C1C"/>
              </w:rPr>
            </w:pPr>
            <w:r>
              <w:rPr>
                <w:rFonts w:hint="eastAsia"/>
                <w:color w:val="1C1C1C"/>
              </w:rPr>
              <w:t>宁夏回族自治区</w:t>
            </w:r>
          </w:p>
        </w:tc>
        <w:tc>
          <w:tcPr>
            <w:tcW w:w="1546" w:type="dxa"/>
            <w:noWrap/>
            <w:vAlign w:val="center"/>
          </w:tcPr>
          <w:p w:rsidR="002D6C73" w:rsidRDefault="00FB6868">
            <w:pPr>
              <w:jc w:val="center"/>
              <w:rPr>
                <w:color w:val="1C1C1C"/>
              </w:rPr>
            </w:pPr>
            <w:r>
              <w:rPr>
                <w:rFonts w:hint="eastAsia"/>
                <w:color w:val="1C1C1C"/>
              </w:rPr>
              <w:t>石嘴山市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75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104.5 </w:t>
            </w:r>
          </w:p>
        </w:tc>
      </w:tr>
      <w:tr w:rsidR="002D6C73">
        <w:trPr>
          <w:trHeight w:val="300"/>
        </w:trPr>
        <w:tc>
          <w:tcPr>
            <w:tcW w:w="764" w:type="dxa"/>
            <w:noWrap/>
            <w:vAlign w:val="center"/>
          </w:tcPr>
          <w:p w:rsidR="002D6C73" w:rsidRDefault="00FB6868">
            <w:pPr>
              <w:jc w:val="center"/>
              <w:rPr>
                <w:color w:val="1C1C1C"/>
              </w:rPr>
            </w:pPr>
            <w:r>
              <w:rPr>
                <w:rFonts w:hint="eastAsia"/>
                <w:color w:val="1C1C1C"/>
              </w:rPr>
              <w:t>97</w:t>
            </w:r>
          </w:p>
        </w:tc>
        <w:tc>
          <w:tcPr>
            <w:tcW w:w="2316" w:type="dxa"/>
            <w:noWrap/>
            <w:vAlign w:val="center"/>
          </w:tcPr>
          <w:p w:rsidR="002D6C73" w:rsidRDefault="00FB6868">
            <w:pPr>
              <w:jc w:val="center"/>
              <w:rPr>
                <w:color w:val="1C1C1C"/>
              </w:rPr>
            </w:pPr>
            <w:r>
              <w:rPr>
                <w:rFonts w:hint="eastAsia"/>
                <w:color w:val="1C1C1C"/>
              </w:rPr>
              <w:t>宁夏回族自治区</w:t>
            </w:r>
          </w:p>
        </w:tc>
        <w:tc>
          <w:tcPr>
            <w:tcW w:w="1546" w:type="dxa"/>
            <w:noWrap/>
            <w:vAlign w:val="center"/>
          </w:tcPr>
          <w:p w:rsidR="002D6C73" w:rsidRDefault="00FB6868">
            <w:pPr>
              <w:jc w:val="center"/>
              <w:rPr>
                <w:color w:val="1C1C1C"/>
              </w:rPr>
            </w:pPr>
            <w:r>
              <w:rPr>
                <w:rFonts w:hint="eastAsia"/>
                <w:color w:val="1C1C1C"/>
              </w:rPr>
              <w:t>吴忠市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138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177.0 </w:t>
            </w:r>
          </w:p>
        </w:tc>
      </w:tr>
      <w:tr w:rsidR="002D6C73">
        <w:trPr>
          <w:trHeight w:val="300"/>
        </w:trPr>
        <w:tc>
          <w:tcPr>
            <w:tcW w:w="764" w:type="dxa"/>
            <w:noWrap/>
            <w:vAlign w:val="center"/>
          </w:tcPr>
          <w:p w:rsidR="002D6C73" w:rsidRDefault="00FB6868">
            <w:pPr>
              <w:jc w:val="center"/>
              <w:rPr>
                <w:color w:val="1C1C1C"/>
              </w:rPr>
            </w:pPr>
            <w:r>
              <w:rPr>
                <w:rFonts w:hint="eastAsia"/>
                <w:color w:val="1C1C1C"/>
              </w:rPr>
              <w:t>98</w:t>
            </w:r>
          </w:p>
        </w:tc>
        <w:tc>
          <w:tcPr>
            <w:tcW w:w="2316" w:type="dxa"/>
            <w:noWrap/>
            <w:vAlign w:val="center"/>
          </w:tcPr>
          <w:p w:rsidR="002D6C73" w:rsidRDefault="00FB6868">
            <w:pPr>
              <w:jc w:val="center"/>
              <w:rPr>
                <w:color w:val="1C1C1C"/>
              </w:rPr>
            </w:pPr>
            <w:r>
              <w:rPr>
                <w:rFonts w:hint="eastAsia"/>
                <w:color w:val="1C1C1C"/>
              </w:rPr>
              <w:t>新疆维吾尔自治区</w:t>
            </w:r>
          </w:p>
        </w:tc>
        <w:tc>
          <w:tcPr>
            <w:tcW w:w="1546" w:type="dxa"/>
            <w:noWrap/>
            <w:vAlign w:val="center"/>
          </w:tcPr>
          <w:p w:rsidR="002D6C73" w:rsidRDefault="00FB6868">
            <w:pPr>
              <w:jc w:val="center"/>
              <w:rPr>
                <w:color w:val="1C1C1C"/>
              </w:rPr>
            </w:pPr>
            <w:r>
              <w:rPr>
                <w:rFonts w:hint="eastAsia"/>
                <w:color w:val="1C1C1C"/>
              </w:rPr>
              <w:t>乌鲁木齐市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405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964.4 </w:t>
            </w:r>
          </w:p>
        </w:tc>
      </w:tr>
      <w:tr w:rsidR="002D6C73">
        <w:trPr>
          <w:trHeight w:val="300"/>
        </w:trPr>
        <w:tc>
          <w:tcPr>
            <w:tcW w:w="764" w:type="dxa"/>
            <w:noWrap/>
            <w:vAlign w:val="center"/>
          </w:tcPr>
          <w:p w:rsidR="002D6C73" w:rsidRDefault="00FB6868">
            <w:pPr>
              <w:jc w:val="center"/>
              <w:rPr>
                <w:color w:val="1C1C1C"/>
              </w:rPr>
            </w:pPr>
            <w:r>
              <w:rPr>
                <w:rFonts w:hint="eastAsia"/>
                <w:color w:val="1C1C1C"/>
              </w:rPr>
              <w:t>99</w:t>
            </w:r>
          </w:p>
        </w:tc>
        <w:tc>
          <w:tcPr>
            <w:tcW w:w="2316" w:type="dxa"/>
            <w:noWrap/>
            <w:vAlign w:val="center"/>
          </w:tcPr>
          <w:p w:rsidR="002D6C73" w:rsidRDefault="00FB6868">
            <w:pPr>
              <w:jc w:val="center"/>
              <w:rPr>
                <w:color w:val="1C1C1C"/>
              </w:rPr>
            </w:pPr>
            <w:r>
              <w:rPr>
                <w:rFonts w:hint="eastAsia"/>
                <w:color w:val="1C1C1C"/>
              </w:rPr>
              <w:t>新疆维吾尔自治区</w:t>
            </w:r>
          </w:p>
        </w:tc>
        <w:tc>
          <w:tcPr>
            <w:tcW w:w="1546" w:type="dxa"/>
            <w:noWrap/>
            <w:vAlign w:val="center"/>
          </w:tcPr>
          <w:p w:rsidR="002D6C73" w:rsidRDefault="00FB6868">
            <w:pPr>
              <w:jc w:val="center"/>
              <w:rPr>
                <w:color w:val="1C1C1C"/>
              </w:rPr>
            </w:pPr>
            <w:r>
              <w:rPr>
                <w:rFonts w:hint="eastAsia"/>
                <w:color w:val="1C1C1C"/>
              </w:rPr>
              <w:t>克拉玛依市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49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95.6 </w:t>
            </w:r>
          </w:p>
        </w:tc>
      </w:tr>
      <w:tr w:rsidR="002D6C73">
        <w:trPr>
          <w:trHeight w:val="300"/>
        </w:trPr>
        <w:tc>
          <w:tcPr>
            <w:tcW w:w="764" w:type="dxa"/>
            <w:noWrap/>
            <w:vAlign w:val="center"/>
          </w:tcPr>
          <w:p w:rsidR="002D6C73" w:rsidRDefault="00FB6868">
            <w:pPr>
              <w:jc w:val="center"/>
              <w:rPr>
                <w:color w:val="1C1C1C"/>
              </w:rPr>
            </w:pPr>
            <w:r>
              <w:rPr>
                <w:rFonts w:hint="eastAsia"/>
                <w:color w:val="1C1C1C"/>
              </w:rPr>
              <w:t>100</w:t>
            </w:r>
          </w:p>
        </w:tc>
        <w:tc>
          <w:tcPr>
            <w:tcW w:w="2316" w:type="dxa"/>
            <w:noWrap/>
            <w:vAlign w:val="center"/>
          </w:tcPr>
          <w:p w:rsidR="002D6C73" w:rsidRDefault="00FB6868">
            <w:pPr>
              <w:jc w:val="center"/>
              <w:rPr>
                <w:color w:val="1C1C1C"/>
              </w:rPr>
            </w:pPr>
            <w:r>
              <w:rPr>
                <w:rFonts w:hint="eastAsia"/>
                <w:color w:val="1C1C1C"/>
              </w:rPr>
              <w:t>新疆维吾尔自治区</w:t>
            </w:r>
          </w:p>
        </w:tc>
        <w:tc>
          <w:tcPr>
            <w:tcW w:w="1546" w:type="dxa"/>
            <w:noWrap/>
            <w:vAlign w:val="center"/>
          </w:tcPr>
          <w:p w:rsidR="002D6C73" w:rsidRDefault="00FB6868">
            <w:pPr>
              <w:jc w:val="center"/>
              <w:rPr>
                <w:color w:val="1C1C1C"/>
              </w:rPr>
            </w:pPr>
            <w:r>
              <w:rPr>
                <w:rFonts w:hint="eastAsia"/>
                <w:color w:val="1C1C1C"/>
              </w:rPr>
              <w:t>哈密市</w:t>
            </w:r>
          </w:p>
        </w:tc>
        <w:tc>
          <w:tcPr>
            <w:tcW w:w="1915" w:type="dxa"/>
            <w:noWrap/>
            <w:vAlign w:val="center"/>
          </w:tcPr>
          <w:p w:rsidR="002D6C73" w:rsidRDefault="00FB6868">
            <w:pPr>
              <w:jc w:val="center"/>
              <w:textAlignment w:val="center"/>
              <w:rPr>
                <w:color w:val="1C1C1C"/>
              </w:rPr>
            </w:pPr>
            <w:r>
              <w:rPr>
                <w:rFonts w:hint="eastAsia"/>
                <w:color w:val="1C1C1C"/>
                <w:lang w:bidi="ar"/>
              </w:rPr>
              <w:t xml:space="preserve">67 </w:t>
            </w:r>
          </w:p>
        </w:tc>
        <w:tc>
          <w:tcPr>
            <w:tcW w:w="2502" w:type="dxa"/>
            <w:noWrap/>
            <w:vAlign w:val="center"/>
          </w:tcPr>
          <w:p w:rsidR="002D6C73" w:rsidRDefault="00FB6868">
            <w:pPr>
              <w:jc w:val="center"/>
              <w:textAlignment w:val="center"/>
              <w:rPr>
                <w:color w:val="1C1C1C"/>
              </w:rPr>
            </w:pPr>
            <w:r>
              <w:rPr>
                <w:rFonts w:hint="eastAsia"/>
                <w:color w:val="1C1C1C"/>
                <w:lang w:bidi="ar"/>
              </w:rPr>
              <w:t xml:space="preserve">97.8 </w:t>
            </w:r>
          </w:p>
        </w:tc>
      </w:tr>
    </w:tbl>
    <w:p w:rsidR="002D6C73" w:rsidRDefault="002D6C73">
      <w:pPr>
        <w:rPr>
          <w:color w:val="1C1C1C"/>
          <w:szCs w:val="32"/>
        </w:rPr>
      </w:pPr>
    </w:p>
    <w:p w:rsidR="002D6C73" w:rsidRDefault="00FB6868">
      <w:pPr>
        <w:rPr>
          <w:rFonts w:ascii="楷体" w:eastAsia="楷体" w:hAnsi="楷体" w:cs="楷体"/>
          <w:color w:val="1C1C1C"/>
          <w:szCs w:val="32"/>
        </w:rPr>
        <w:sectPr w:rsidR="002D6C73">
          <w:pgSz w:w="11906" w:h="16838"/>
          <w:pgMar w:top="1531" w:right="1474" w:bottom="1531" w:left="1588" w:header="851" w:footer="992" w:gutter="0"/>
          <w:pgNumType w:fmt="numberInDash"/>
          <w:cols w:space="720"/>
          <w:docGrid w:type="linesAndChars" w:linePitch="312"/>
        </w:sectPr>
      </w:pPr>
      <w:r>
        <w:rPr>
          <w:rFonts w:ascii="楷体" w:eastAsia="楷体" w:hAnsi="楷体" w:cs="楷体" w:hint="eastAsia"/>
          <w:color w:val="1C1C1C"/>
          <w:szCs w:val="32"/>
        </w:rPr>
        <w:t>数据来源：常住人口采用的是第七次全国人口普查数据，社会消费品零售总额，除北京市采用2021年社会消费品零售总额，其他城市均采用2020年社会消费品零售总额。数据来源于各级统计局数据库，各省2021年统计年鉴，及各省市第七次全国人口普查公报。</w:t>
      </w:r>
    </w:p>
    <w:p w:rsidR="002D6C73" w:rsidRDefault="00FB6868">
      <w:pPr>
        <w:pStyle w:val="2"/>
        <w:jc w:val="center"/>
        <w:rPr>
          <w:rFonts w:ascii="黑体" w:eastAsia="黑体" w:hAnsi="黑体" w:cs="黑体"/>
          <w:b w:val="0"/>
          <w:bCs/>
          <w:i w:val="0"/>
          <w:iCs/>
          <w:sz w:val="32"/>
          <w:szCs w:val="28"/>
        </w:rPr>
      </w:pPr>
      <w:bookmarkStart w:id="89" w:name="_Toc33719422"/>
      <w:bookmarkStart w:id="90" w:name="_Toc62721788"/>
      <w:bookmarkStart w:id="91" w:name="_Toc1147523"/>
      <w:bookmarkStart w:id="92" w:name="_Toc30309"/>
      <w:r>
        <w:rPr>
          <w:rFonts w:ascii="黑体" w:eastAsia="黑体" w:hAnsi="黑体" w:cs="黑体" w:hint="eastAsia"/>
          <w:b w:val="0"/>
          <w:bCs/>
          <w:i w:val="0"/>
          <w:iCs/>
          <w:sz w:val="32"/>
          <w:szCs w:val="28"/>
        </w:rPr>
        <w:lastRenderedPageBreak/>
        <w:t>附录2  根据人口与行政层级对城市的划分结果</w:t>
      </w:r>
      <w:bookmarkEnd w:id="89"/>
      <w:bookmarkEnd w:id="90"/>
      <w:bookmarkEnd w:id="91"/>
      <w:bookmarkEnd w:id="92"/>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692"/>
        <w:gridCol w:w="2616"/>
        <w:gridCol w:w="2392"/>
        <w:gridCol w:w="1433"/>
      </w:tblGrid>
      <w:tr w:rsidR="002D6C73">
        <w:trPr>
          <w:trHeight w:val="870"/>
          <w:tblHeader/>
          <w:jc w:val="center"/>
        </w:trPr>
        <w:tc>
          <w:tcPr>
            <w:tcW w:w="453" w:type="pct"/>
            <w:shd w:val="clear" w:color="auto" w:fill="4472C4" w:themeFill="accent5"/>
            <w:noWrap/>
            <w:vAlign w:val="center"/>
          </w:tcPr>
          <w:p w:rsidR="002D6C73" w:rsidRDefault="00FB6868">
            <w:pPr>
              <w:jc w:val="center"/>
              <w:rPr>
                <w:rFonts w:ascii="黑体" w:eastAsia="黑体" w:hAnsi="黑体" w:cs="黑体"/>
                <w:color w:val="1C1C1C"/>
              </w:rPr>
            </w:pPr>
            <w:r>
              <w:rPr>
                <w:rFonts w:ascii="黑体" w:eastAsia="黑体" w:hAnsi="黑体" w:cs="黑体" w:hint="eastAsia"/>
                <w:color w:val="1C1C1C"/>
              </w:rPr>
              <w:t>序号</w:t>
            </w:r>
          </w:p>
        </w:tc>
        <w:tc>
          <w:tcPr>
            <w:tcW w:w="1091" w:type="pct"/>
            <w:shd w:val="clear" w:color="auto" w:fill="4472C4" w:themeFill="accent5"/>
            <w:noWrap/>
            <w:vAlign w:val="center"/>
          </w:tcPr>
          <w:p w:rsidR="002D6C73" w:rsidRDefault="00FB6868">
            <w:pPr>
              <w:jc w:val="center"/>
              <w:rPr>
                <w:rFonts w:ascii="黑体" w:eastAsia="黑体" w:hAnsi="黑体" w:cs="黑体"/>
                <w:color w:val="1C1C1C"/>
              </w:rPr>
            </w:pPr>
            <w:r>
              <w:rPr>
                <w:rFonts w:ascii="黑体" w:eastAsia="黑体" w:hAnsi="黑体" w:cs="黑体" w:hint="eastAsia"/>
                <w:color w:val="1C1C1C"/>
              </w:rPr>
              <w:t>省份</w:t>
            </w:r>
          </w:p>
        </w:tc>
        <w:tc>
          <w:tcPr>
            <w:tcW w:w="1090" w:type="pct"/>
            <w:shd w:val="clear" w:color="auto" w:fill="4472C4" w:themeFill="accent5"/>
            <w:noWrap/>
            <w:vAlign w:val="center"/>
          </w:tcPr>
          <w:p w:rsidR="002D6C73" w:rsidRDefault="00FB6868">
            <w:pPr>
              <w:jc w:val="center"/>
              <w:rPr>
                <w:rFonts w:ascii="黑体" w:eastAsia="黑体" w:hAnsi="黑体" w:cs="黑体"/>
                <w:color w:val="1C1C1C"/>
              </w:rPr>
            </w:pPr>
            <w:r>
              <w:rPr>
                <w:rFonts w:ascii="黑体" w:eastAsia="黑体" w:hAnsi="黑体" w:cs="黑体" w:hint="eastAsia"/>
                <w:color w:val="1C1C1C"/>
              </w:rPr>
              <w:t>城市</w:t>
            </w:r>
          </w:p>
        </w:tc>
        <w:tc>
          <w:tcPr>
            <w:tcW w:w="1454" w:type="pct"/>
            <w:shd w:val="clear" w:color="auto" w:fill="4472C4" w:themeFill="accent5"/>
            <w:vAlign w:val="center"/>
          </w:tcPr>
          <w:p w:rsidR="002D6C73" w:rsidRDefault="00FB6868">
            <w:pPr>
              <w:jc w:val="center"/>
              <w:rPr>
                <w:rFonts w:ascii="黑体" w:eastAsia="黑体" w:hAnsi="黑体" w:cs="黑体"/>
                <w:color w:val="1C1C1C"/>
              </w:rPr>
            </w:pPr>
            <w:proofErr w:type="gramStart"/>
            <w:r>
              <w:rPr>
                <w:rFonts w:ascii="黑体" w:eastAsia="黑体" w:hAnsi="黑体" w:cs="黑体" w:hint="eastAsia"/>
                <w:color w:val="1C1C1C"/>
              </w:rPr>
              <w:t>按七普城区</w:t>
            </w:r>
            <w:proofErr w:type="gramEnd"/>
            <w:r>
              <w:rPr>
                <w:rFonts w:ascii="黑体" w:eastAsia="黑体" w:hAnsi="黑体" w:cs="黑体" w:hint="eastAsia"/>
                <w:color w:val="1C1C1C"/>
              </w:rPr>
              <w:t>人口划分城市规模</w:t>
            </w:r>
          </w:p>
        </w:tc>
        <w:tc>
          <w:tcPr>
            <w:tcW w:w="908" w:type="pct"/>
            <w:shd w:val="clear" w:color="auto" w:fill="4472C4" w:themeFill="accent5"/>
            <w:noWrap/>
            <w:vAlign w:val="center"/>
          </w:tcPr>
          <w:p w:rsidR="002D6C73" w:rsidRDefault="00FB6868">
            <w:pPr>
              <w:jc w:val="center"/>
              <w:rPr>
                <w:rFonts w:ascii="黑体" w:eastAsia="黑体" w:hAnsi="黑体" w:cs="黑体"/>
                <w:color w:val="1C1C1C"/>
              </w:rPr>
            </w:pPr>
            <w:r>
              <w:rPr>
                <w:rFonts w:ascii="黑体" w:eastAsia="黑体" w:hAnsi="黑体" w:cs="黑体" w:hint="eastAsia"/>
                <w:color w:val="1C1C1C"/>
              </w:rPr>
              <w:t>行政级别</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w:t>
            </w:r>
          </w:p>
        </w:tc>
        <w:tc>
          <w:tcPr>
            <w:tcW w:w="1091" w:type="pct"/>
            <w:noWrap/>
            <w:vAlign w:val="center"/>
          </w:tcPr>
          <w:p w:rsidR="002D6C73" w:rsidRDefault="00FB6868">
            <w:pPr>
              <w:jc w:val="center"/>
              <w:rPr>
                <w:color w:val="1C1C1C"/>
              </w:rPr>
            </w:pPr>
            <w:r>
              <w:rPr>
                <w:rFonts w:hint="eastAsia"/>
                <w:color w:val="1C1C1C"/>
              </w:rPr>
              <w:t>北京市</w:t>
            </w:r>
          </w:p>
        </w:tc>
        <w:tc>
          <w:tcPr>
            <w:tcW w:w="1090" w:type="pct"/>
            <w:noWrap/>
            <w:vAlign w:val="center"/>
          </w:tcPr>
          <w:p w:rsidR="002D6C73" w:rsidRDefault="00FB6868">
            <w:pPr>
              <w:jc w:val="center"/>
              <w:rPr>
                <w:color w:val="1C1C1C"/>
              </w:rPr>
            </w:pPr>
            <w:r>
              <w:rPr>
                <w:rFonts w:hint="eastAsia"/>
                <w:color w:val="1C1C1C"/>
              </w:rPr>
              <w:t>北京市</w:t>
            </w:r>
          </w:p>
        </w:tc>
        <w:tc>
          <w:tcPr>
            <w:tcW w:w="1454" w:type="pct"/>
            <w:noWrap/>
            <w:vAlign w:val="center"/>
          </w:tcPr>
          <w:p w:rsidR="002D6C73" w:rsidRDefault="00FB6868">
            <w:pPr>
              <w:jc w:val="center"/>
              <w:rPr>
                <w:color w:val="1C1C1C"/>
              </w:rPr>
            </w:pPr>
            <w:r>
              <w:rPr>
                <w:rFonts w:hint="eastAsia"/>
                <w:color w:val="1C1C1C"/>
              </w:rPr>
              <w:t>超大城市</w:t>
            </w:r>
          </w:p>
        </w:tc>
        <w:tc>
          <w:tcPr>
            <w:tcW w:w="908" w:type="pct"/>
            <w:noWrap/>
            <w:vAlign w:val="center"/>
          </w:tcPr>
          <w:p w:rsidR="002D6C73" w:rsidRDefault="00FB6868">
            <w:pPr>
              <w:jc w:val="center"/>
              <w:rPr>
                <w:color w:val="1C1C1C"/>
              </w:rPr>
            </w:pPr>
            <w:r>
              <w:rPr>
                <w:rFonts w:hint="eastAsia"/>
                <w:color w:val="1C1C1C"/>
              </w:rPr>
              <w:t>直辖市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2</w:t>
            </w:r>
          </w:p>
        </w:tc>
        <w:tc>
          <w:tcPr>
            <w:tcW w:w="1091" w:type="pct"/>
            <w:noWrap/>
            <w:vAlign w:val="center"/>
          </w:tcPr>
          <w:p w:rsidR="002D6C73" w:rsidRDefault="00FB6868">
            <w:pPr>
              <w:jc w:val="center"/>
              <w:rPr>
                <w:color w:val="1C1C1C"/>
              </w:rPr>
            </w:pPr>
            <w:r>
              <w:rPr>
                <w:rFonts w:hint="eastAsia"/>
                <w:color w:val="1C1C1C"/>
              </w:rPr>
              <w:t>天津市</w:t>
            </w:r>
          </w:p>
        </w:tc>
        <w:tc>
          <w:tcPr>
            <w:tcW w:w="1090" w:type="pct"/>
            <w:noWrap/>
            <w:vAlign w:val="center"/>
          </w:tcPr>
          <w:p w:rsidR="002D6C73" w:rsidRDefault="00FB6868">
            <w:pPr>
              <w:jc w:val="center"/>
              <w:rPr>
                <w:color w:val="1C1C1C"/>
              </w:rPr>
            </w:pPr>
            <w:r>
              <w:rPr>
                <w:rFonts w:hint="eastAsia"/>
                <w:color w:val="1C1C1C"/>
              </w:rPr>
              <w:t>天津市</w:t>
            </w:r>
          </w:p>
        </w:tc>
        <w:tc>
          <w:tcPr>
            <w:tcW w:w="1454" w:type="pct"/>
            <w:noWrap/>
            <w:vAlign w:val="center"/>
          </w:tcPr>
          <w:p w:rsidR="002D6C73" w:rsidRDefault="00FB6868">
            <w:pPr>
              <w:jc w:val="center"/>
              <w:rPr>
                <w:color w:val="1C1C1C"/>
              </w:rPr>
            </w:pPr>
            <w:r>
              <w:rPr>
                <w:rFonts w:hint="eastAsia"/>
                <w:color w:val="1C1C1C"/>
              </w:rPr>
              <w:t>超大城市</w:t>
            </w:r>
          </w:p>
        </w:tc>
        <w:tc>
          <w:tcPr>
            <w:tcW w:w="908" w:type="pct"/>
            <w:noWrap/>
            <w:vAlign w:val="center"/>
          </w:tcPr>
          <w:p w:rsidR="002D6C73" w:rsidRDefault="00FB6868">
            <w:pPr>
              <w:jc w:val="center"/>
              <w:rPr>
                <w:color w:val="1C1C1C"/>
              </w:rPr>
            </w:pPr>
            <w:r>
              <w:rPr>
                <w:rFonts w:hint="eastAsia"/>
                <w:color w:val="1C1C1C"/>
              </w:rPr>
              <w:t>直辖市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3</w:t>
            </w:r>
          </w:p>
        </w:tc>
        <w:tc>
          <w:tcPr>
            <w:tcW w:w="1091" w:type="pct"/>
            <w:noWrap/>
            <w:vAlign w:val="center"/>
          </w:tcPr>
          <w:p w:rsidR="002D6C73" w:rsidRDefault="00FB6868">
            <w:pPr>
              <w:jc w:val="center"/>
              <w:rPr>
                <w:color w:val="1C1C1C"/>
              </w:rPr>
            </w:pPr>
            <w:r>
              <w:rPr>
                <w:rFonts w:hint="eastAsia"/>
                <w:color w:val="1C1C1C"/>
              </w:rPr>
              <w:t>河北省</w:t>
            </w:r>
          </w:p>
        </w:tc>
        <w:tc>
          <w:tcPr>
            <w:tcW w:w="1090" w:type="pct"/>
            <w:noWrap/>
            <w:vAlign w:val="center"/>
          </w:tcPr>
          <w:p w:rsidR="002D6C73" w:rsidRDefault="00FB6868">
            <w:pPr>
              <w:jc w:val="center"/>
              <w:rPr>
                <w:color w:val="1C1C1C"/>
              </w:rPr>
            </w:pPr>
            <w:r>
              <w:rPr>
                <w:rFonts w:hint="eastAsia"/>
                <w:color w:val="1C1C1C"/>
              </w:rPr>
              <w:t>石家庄市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4</w:t>
            </w:r>
          </w:p>
        </w:tc>
        <w:tc>
          <w:tcPr>
            <w:tcW w:w="1091" w:type="pct"/>
            <w:noWrap/>
            <w:vAlign w:val="center"/>
          </w:tcPr>
          <w:p w:rsidR="002D6C73" w:rsidRDefault="00FB6868">
            <w:pPr>
              <w:jc w:val="center"/>
              <w:rPr>
                <w:color w:val="1C1C1C"/>
              </w:rPr>
            </w:pPr>
            <w:r>
              <w:rPr>
                <w:rFonts w:hint="eastAsia"/>
                <w:color w:val="1C1C1C"/>
              </w:rPr>
              <w:t>河北省</w:t>
            </w:r>
          </w:p>
        </w:tc>
        <w:tc>
          <w:tcPr>
            <w:tcW w:w="1090" w:type="pct"/>
            <w:noWrap/>
            <w:vAlign w:val="center"/>
          </w:tcPr>
          <w:p w:rsidR="002D6C73" w:rsidRDefault="00FB6868">
            <w:pPr>
              <w:jc w:val="center"/>
              <w:rPr>
                <w:color w:val="1C1C1C"/>
              </w:rPr>
            </w:pPr>
            <w:r>
              <w:rPr>
                <w:rFonts w:hint="eastAsia"/>
                <w:color w:val="1C1C1C"/>
              </w:rPr>
              <w:t>唐山市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5</w:t>
            </w:r>
          </w:p>
        </w:tc>
        <w:tc>
          <w:tcPr>
            <w:tcW w:w="1091" w:type="pct"/>
            <w:noWrap/>
            <w:vAlign w:val="center"/>
          </w:tcPr>
          <w:p w:rsidR="002D6C73" w:rsidRDefault="00FB6868">
            <w:pPr>
              <w:jc w:val="center"/>
              <w:rPr>
                <w:color w:val="1C1C1C"/>
              </w:rPr>
            </w:pPr>
            <w:r>
              <w:rPr>
                <w:rFonts w:hint="eastAsia"/>
                <w:color w:val="1C1C1C"/>
              </w:rPr>
              <w:t>河北省</w:t>
            </w:r>
          </w:p>
        </w:tc>
        <w:tc>
          <w:tcPr>
            <w:tcW w:w="1090" w:type="pct"/>
            <w:noWrap/>
            <w:vAlign w:val="center"/>
          </w:tcPr>
          <w:p w:rsidR="002D6C73" w:rsidRDefault="00FB6868">
            <w:pPr>
              <w:jc w:val="center"/>
              <w:rPr>
                <w:color w:val="1C1C1C"/>
              </w:rPr>
            </w:pPr>
            <w:r>
              <w:rPr>
                <w:rFonts w:hint="eastAsia"/>
                <w:color w:val="1C1C1C"/>
              </w:rPr>
              <w:t>邯郸市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6</w:t>
            </w:r>
          </w:p>
        </w:tc>
        <w:tc>
          <w:tcPr>
            <w:tcW w:w="1091" w:type="pct"/>
            <w:noWrap/>
            <w:vAlign w:val="center"/>
          </w:tcPr>
          <w:p w:rsidR="002D6C73" w:rsidRDefault="00FB6868">
            <w:pPr>
              <w:jc w:val="center"/>
              <w:rPr>
                <w:color w:val="1C1C1C"/>
              </w:rPr>
            </w:pPr>
            <w:r>
              <w:rPr>
                <w:rFonts w:hint="eastAsia"/>
                <w:color w:val="1C1C1C"/>
              </w:rPr>
              <w:t>河北省</w:t>
            </w:r>
          </w:p>
        </w:tc>
        <w:tc>
          <w:tcPr>
            <w:tcW w:w="1090" w:type="pct"/>
            <w:noWrap/>
            <w:vAlign w:val="center"/>
          </w:tcPr>
          <w:p w:rsidR="002D6C73" w:rsidRDefault="00FB6868">
            <w:pPr>
              <w:jc w:val="center"/>
              <w:rPr>
                <w:color w:val="1C1C1C"/>
              </w:rPr>
            </w:pPr>
            <w:r>
              <w:rPr>
                <w:rFonts w:hint="eastAsia"/>
                <w:color w:val="1C1C1C"/>
              </w:rPr>
              <w:t>保定市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7</w:t>
            </w:r>
          </w:p>
        </w:tc>
        <w:tc>
          <w:tcPr>
            <w:tcW w:w="1091" w:type="pct"/>
            <w:noWrap/>
            <w:vAlign w:val="center"/>
          </w:tcPr>
          <w:p w:rsidR="002D6C73" w:rsidRDefault="00FB6868">
            <w:pPr>
              <w:jc w:val="center"/>
              <w:rPr>
                <w:color w:val="1C1C1C"/>
              </w:rPr>
            </w:pPr>
            <w:r>
              <w:rPr>
                <w:rFonts w:hint="eastAsia"/>
                <w:color w:val="1C1C1C"/>
              </w:rPr>
              <w:t>山西省</w:t>
            </w:r>
          </w:p>
        </w:tc>
        <w:tc>
          <w:tcPr>
            <w:tcW w:w="1090" w:type="pct"/>
            <w:noWrap/>
            <w:vAlign w:val="center"/>
          </w:tcPr>
          <w:p w:rsidR="002D6C73" w:rsidRDefault="00FB6868">
            <w:pPr>
              <w:jc w:val="center"/>
              <w:rPr>
                <w:color w:val="1C1C1C"/>
              </w:rPr>
            </w:pPr>
            <w:r>
              <w:rPr>
                <w:rFonts w:hint="eastAsia"/>
                <w:color w:val="1C1C1C"/>
              </w:rPr>
              <w:t>太原市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8</w:t>
            </w:r>
          </w:p>
        </w:tc>
        <w:tc>
          <w:tcPr>
            <w:tcW w:w="1091" w:type="pct"/>
            <w:noWrap/>
            <w:vAlign w:val="center"/>
          </w:tcPr>
          <w:p w:rsidR="002D6C73" w:rsidRDefault="00FB6868">
            <w:pPr>
              <w:jc w:val="center"/>
              <w:rPr>
                <w:color w:val="1C1C1C"/>
              </w:rPr>
            </w:pPr>
            <w:r>
              <w:rPr>
                <w:rFonts w:hint="eastAsia"/>
                <w:color w:val="1C1C1C"/>
              </w:rPr>
              <w:t>山西省</w:t>
            </w:r>
          </w:p>
        </w:tc>
        <w:tc>
          <w:tcPr>
            <w:tcW w:w="1090" w:type="pct"/>
            <w:noWrap/>
            <w:vAlign w:val="center"/>
          </w:tcPr>
          <w:p w:rsidR="002D6C73" w:rsidRDefault="00FB6868">
            <w:pPr>
              <w:jc w:val="center"/>
              <w:rPr>
                <w:color w:val="1C1C1C"/>
              </w:rPr>
            </w:pPr>
            <w:r>
              <w:rPr>
                <w:rFonts w:hint="eastAsia"/>
                <w:color w:val="1C1C1C"/>
              </w:rPr>
              <w:t>大同市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9</w:t>
            </w:r>
          </w:p>
        </w:tc>
        <w:tc>
          <w:tcPr>
            <w:tcW w:w="1091" w:type="pct"/>
            <w:noWrap/>
            <w:vAlign w:val="center"/>
          </w:tcPr>
          <w:p w:rsidR="002D6C73" w:rsidRDefault="00FB6868">
            <w:pPr>
              <w:jc w:val="center"/>
              <w:rPr>
                <w:color w:val="1C1C1C"/>
              </w:rPr>
            </w:pPr>
            <w:r>
              <w:rPr>
                <w:rFonts w:hint="eastAsia"/>
                <w:color w:val="1C1C1C"/>
              </w:rPr>
              <w:t>山西省</w:t>
            </w:r>
          </w:p>
        </w:tc>
        <w:tc>
          <w:tcPr>
            <w:tcW w:w="1090" w:type="pct"/>
            <w:noWrap/>
            <w:vAlign w:val="center"/>
          </w:tcPr>
          <w:p w:rsidR="002D6C73" w:rsidRDefault="00FB6868">
            <w:pPr>
              <w:jc w:val="center"/>
              <w:rPr>
                <w:color w:val="1C1C1C"/>
              </w:rPr>
            </w:pPr>
            <w:r>
              <w:rPr>
                <w:rFonts w:hint="eastAsia"/>
                <w:color w:val="1C1C1C"/>
              </w:rPr>
              <w:t>运城市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10</w:t>
            </w:r>
          </w:p>
        </w:tc>
        <w:tc>
          <w:tcPr>
            <w:tcW w:w="1091" w:type="pct"/>
            <w:noWrap/>
            <w:vAlign w:val="center"/>
          </w:tcPr>
          <w:p w:rsidR="002D6C73" w:rsidRDefault="00FB6868">
            <w:pPr>
              <w:jc w:val="center"/>
              <w:rPr>
                <w:color w:val="1C1C1C"/>
              </w:rPr>
            </w:pPr>
            <w:r>
              <w:rPr>
                <w:rFonts w:hint="eastAsia"/>
                <w:color w:val="1C1C1C"/>
              </w:rPr>
              <w:t>内蒙古自治区</w:t>
            </w:r>
          </w:p>
        </w:tc>
        <w:tc>
          <w:tcPr>
            <w:tcW w:w="1090" w:type="pct"/>
            <w:noWrap/>
            <w:vAlign w:val="center"/>
          </w:tcPr>
          <w:p w:rsidR="002D6C73" w:rsidRDefault="00FB6868">
            <w:pPr>
              <w:jc w:val="center"/>
              <w:rPr>
                <w:color w:val="1C1C1C"/>
              </w:rPr>
            </w:pPr>
            <w:r>
              <w:rPr>
                <w:rFonts w:hint="eastAsia"/>
                <w:color w:val="1C1C1C"/>
              </w:rPr>
              <w:t>呼和浩特市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首府城市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11</w:t>
            </w:r>
          </w:p>
        </w:tc>
        <w:tc>
          <w:tcPr>
            <w:tcW w:w="1091" w:type="pct"/>
            <w:noWrap/>
            <w:vAlign w:val="center"/>
          </w:tcPr>
          <w:p w:rsidR="002D6C73" w:rsidRDefault="00FB6868">
            <w:pPr>
              <w:jc w:val="center"/>
              <w:rPr>
                <w:color w:val="1C1C1C"/>
              </w:rPr>
            </w:pPr>
            <w:r>
              <w:rPr>
                <w:rFonts w:hint="eastAsia"/>
                <w:color w:val="1C1C1C"/>
              </w:rPr>
              <w:t>内蒙古自治区</w:t>
            </w:r>
          </w:p>
        </w:tc>
        <w:tc>
          <w:tcPr>
            <w:tcW w:w="1090" w:type="pct"/>
            <w:noWrap/>
            <w:vAlign w:val="center"/>
          </w:tcPr>
          <w:p w:rsidR="002D6C73" w:rsidRDefault="00FB6868">
            <w:pPr>
              <w:jc w:val="center"/>
              <w:rPr>
                <w:color w:val="1C1C1C"/>
              </w:rPr>
            </w:pPr>
            <w:r>
              <w:rPr>
                <w:rFonts w:hint="eastAsia"/>
                <w:color w:val="1C1C1C"/>
              </w:rPr>
              <w:t>包头市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12</w:t>
            </w:r>
          </w:p>
        </w:tc>
        <w:tc>
          <w:tcPr>
            <w:tcW w:w="1091" w:type="pct"/>
            <w:noWrap/>
            <w:vAlign w:val="center"/>
          </w:tcPr>
          <w:p w:rsidR="002D6C73" w:rsidRDefault="00FB6868">
            <w:pPr>
              <w:jc w:val="center"/>
              <w:rPr>
                <w:color w:val="1C1C1C"/>
              </w:rPr>
            </w:pPr>
            <w:r>
              <w:rPr>
                <w:rFonts w:hint="eastAsia"/>
                <w:color w:val="1C1C1C"/>
              </w:rPr>
              <w:t>内蒙古自治区</w:t>
            </w:r>
          </w:p>
        </w:tc>
        <w:tc>
          <w:tcPr>
            <w:tcW w:w="1090" w:type="pct"/>
            <w:noWrap/>
            <w:vAlign w:val="center"/>
          </w:tcPr>
          <w:p w:rsidR="002D6C73" w:rsidRDefault="00FB6868">
            <w:pPr>
              <w:jc w:val="center"/>
              <w:rPr>
                <w:color w:val="1C1C1C"/>
              </w:rPr>
            </w:pPr>
            <w:r>
              <w:rPr>
                <w:rFonts w:hint="eastAsia"/>
                <w:color w:val="1C1C1C"/>
              </w:rPr>
              <w:t>鄂尔多斯市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13</w:t>
            </w:r>
          </w:p>
        </w:tc>
        <w:tc>
          <w:tcPr>
            <w:tcW w:w="1091" w:type="pct"/>
            <w:noWrap/>
            <w:vAlign w:val="center"/>
          </w:tcPr>
          <w:p w:rsidR="002D6C73" w:rsidRDefault="00FB6868">
            <w:pPr>
              <w:jc w:val="center"/>
              <w:rPr>
                <w:color w:val="1C1C1C"/>
              </w:rPr>
            </w:pPr>
            <w:r>
              <w:rPr>
                <w:rFonts w:hint="eastAsia"/>
                <w:color w:val="1C1C1C"/>
              </w:rPr>
              <w:t>辽宁省</w:t>
            </w:r>
          </w:p>
        </w:tc>
        <w:tc>
          <w:tcPr>
            <w:tcW w:w="1090" w:type="pct"/>
            <w:noWrap/>
            <w:vAlign w:val="center"/>
          </w:tcPr>
          <w:p w:rsidR="002D6C73" w:rsidRDefault="00FB6868">
            <w:pPr>
              <w:jc w:val="center"/>
              <w:rPr>
                <w:color w:val="1C1C1C"/>
              </w:rPr>
            </w:pPr>
            <w:r>
              <w:rPr>
                <w:rFonts w:hint="eastAsia"/>
                <w:color w:val="1C1C1C"/>
              </w:rPr>
              <w:t>沈阳市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14</w:t>
            </w:r>
          </w:p>
        </w:tc>
        <w:tc>
          <w:tcPr>
            <w:tcW w:w="1091" w:type="pct"/>
            <w:noWrap/>
            <w:vAlign w:val="center"/>
          </w:tcPr>
          <w:p w:rsidR="002D6C73" w:rsidRDefault="00FB6868">
            <w:pPr>
              <w:jc w:val="center"/>
              <w:rPr>
                <w:color w:val="1C1C1C"/>
              </w:rPr>
            </w:pPr>
            <w:r>
              <w:rPr>
                <w:rFonts w:hint="eastAsia"/>
                <w:color w:val="1C1C1C"/>
              </w:rPr>
              <w:t>辽宁省</w:t>
            </w:r>
          </w:p>
        </w:tc>
        <w:tc>
          <w:tcPr>
            <w:tcW w:w="1090" w:type="pct"/>
            <w:noWrap/>
            <w:vAlign w:val="center"/>
          </w:tcPr>
          <w:p w:rsidR="002D6C73" w:rsidRDefault="00FB6868">
            <w:pPr>
              <w:jc w:val="center"/>
              <w:rPr>
                <w:color w:val="1C1C1C"/>
              </w:rPr>
            </w:pPr>
            <w:r>
              <w:rPr>
                <w:rFonts w:hint="eastAsia"/>
                <w:color w:val="1C1C1C"/>
              </w:rPr>
              <w:t>大连市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计划单列市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15</w:t>
            </w:r>
          </w:p>
        </w:tc>
        <w:tc>
          <w:tcPr>
            <w:tcW w:w="1091" w:type="pct"/>
            <w:noWrap/>
            <w:vAlign w:val="center"/>
          </w:tcPr>
          <w:p w:rsidR="002D6C73" w:rsidRDefault="00FB6868">
            <w:pPr>
              <w:jc w:val="center"/>
              <w:rPr>
                <w:color w:val="1C1C1C"/>
              </w:rPr>
            </w:pPr>
            <w:r>
              <w:rPr>
                <w:rFonts w:hint="eastAsia"/>
                <w:color w:val="1C1C1C"/>
              </w:rPr>
              <w:t>辽宁省</w:t>
            </w:r>
          </w:p>
        </w:tc>
        <w:tc>
          <w:tcPr>
            <w:tcW w:w="1090" w:type="pct"/>
            <w:noWrap/>
            <w:vAlign w:val="center"/>
          </w:tcPr>
          <w:p w:rsidR="002D6C73" w:rsidRDefault="00FB6868">
            <w:pPr>
              <w:jc w:val="center"/>
              <w:rPr>
                <w:color w:val="1C1C1C"/>
              </w:rPr>
            </w:pPr>
            <w:r>
              <w:rPr>
                <w:rFonts w:hint="eastAsia"/>
                <w:color w:val="1C1C1C"/>
              </w:rPr>
              <w:t>鞍山市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16</w:t>
            </w:r>
          </w:p>
        </w:tc>
        <w:tc>
          <w:tcPr>
            <w:tcW w:w="1091" w:type="pct"/>
            <w:noWrap/>
            <w:vAlign w:val="center"/>
          </w:tcPr>
          <w:p w:rsidR="002D6C73" w:rsidRDefault="00FB6868">
            <w:pPr>
              <w:jc w:val="center"/>
              <w:rPr>
                <w:color w:val="1C1C1C"/>
              </w:rPr>
            </w:pPr>
            <w:r>
              <w:rPr>
                <w:rFonts w:hint="eastAsia"/>
                <w:color w:val="1C1C1C"/>
              </w:rPr>
              <w:t>吉林省</w:t>
            </w:r>
          </w:p>
        </w:tc>
        <w:tc>
          <w:tcPr>
            <w:tcW w:w="1090" w:type="pct"/>
            <w:noWrap/>
            <w:vAlign w:val="center"/>
          </w:tcPr>
          <w:p w:rsidR="002D6C73" w:rsidRDefault="00FB6868">
            <w:pPr>
              <w:jc w:val="center"/>
              <w:rPr>
                <w:color w:val="1C1C1C"/>
              </w:rPr>
            </w:pPr>
            <w:r>
              <w:rPr>
                <w:rFonts w:hint="eastAsia"/>
                <w:color w:val="1C1C1C"/>
              </w:rPr>
              <w:t>长春市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17</w:t>
            </w:r>
          </w:p>
        </w:tc>
        <w:tc>
          <w:tcPr>
            <w:tcW w:w="1091" w:type="pct"/>
            <w:noWrap/>
            <w:vAlign w:val="center"/>
          </w:tcPr>
          <w:p w:rsidR="002D6C73" w:rsidRDefault="00FB6868">
            <w:pPr>
              <w:jc w:val="center"/>
              <w:rPr>
                <w:color w:val="1C1C1C"/>
              </w:rPr>
            </w:pPr>
            <w:r>
              <w:rPr>
                <w:rFonts w:hint="eastAsia"/>
                <w:color w:val="1C1C1C"/>
              </w:rPr>
              <w:t>吉林省</w:t>
            </w:r>
          </w:p>
        </w:tc>
        <w:tc>
          <w:tcPr>
            <w:tcW w:w="1090" w:type="pct"/>
            <w:noWrap/>
            <w:vAlign w:val="center"/>
          </w:tcPr>
          <w:p w:rsidR="002D6C73" w:rsidRDefault="00FB6868">
            <w:pPr>
              <w:jc w:val="center"/>
              <w:rPr>
                <w:color w:val="1C1C1C"/>
              </w:rPr>
            </w:pPr>
            <w:r>
              <w:rPr>
                <w:rFonts w:hint="eastAsia"/>
                <w:color w:val="1C1C1C"/>
              </w:rPr>
              <w:t>吉林市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18</w:t>
            </w:r>
          </w:p>
        </w:tc>
        <w:tc>
          <w:tcPr>
            <w:tcW w:w="1091" w:type="pct"/>
            <w:noWrap/>
            <w:vAlign w:val="center"/>
          </w:tcPr>
          <w:p w:rsidR="002D6C73" w:rsidRDefault="00FB6868">
            <w:pPr>
              <w:jc w:val="center"/>
              <w:rPr>
                <w:color w:val="1C1C1C"/>
              </w:rPr>
            </w:pPr>
            <w:r>
              <w:rPr>
                <w:rFonts w:hint="eastAsia"/>
                <w:color w:val="1C1C1C"/>
              </w:rPr>
              <w:t>吉林省</w:t>
            </w:r>
          </w:p>
        </w:tc>
        <w:tc>
          <w:tcPr>
            <w:tcW w:w="1090" w:type="pct"/>
            <w:noWrap/>
            <w:vAlign w:val="center"/>
          </w:tcPr>
          <w:p w:rsidR="002D6C73" w:rsidRDefault="00FB6868">
            <w:pPr>
              <w:jc w:val="center"/>
              <w:rPr>
                <w:color w:val="1C1C1C"/>
              </w:rPr>
            </w:pPr>
            <w:r>
              <w:rPr>
                <w:rFonts w:hint="eastAsia"/>
                <w:color w:val="1C1C1C"/>
              </w:rPr>
              <w:t>松原市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19</w:t>
            </w:r>
          </w:p>
        </w:tc>
        <w:tc>
          <w:tcPr>
            <w:tcW w:w="1091" w:type="pct"/>
            <w:noWrap/>
            <w:vAlign w:val="center"/>
          </w:tcPr>
          <w:p w:rsidR="002D6C73" w:rsidRDefault="00FB6868">
            <w:pPr>
              <w:jc w:val="center"/>
              <w:rPr>
                <w:color w:val="1C1C1C"/>
              </w:rPr>
            </w:pPr>
            <w:r>
              <w:rPr>
                <w:rFonts w:hint="eastAsia"/>
                <w:color w:val="1C1C1C"/>
              </w:rPr>
              <w:t>黑龙江省</w:t>
            </w:r>
          </w:p>
        </w:tc>
        <w:tc>
          <w:tcPr>
            <w:tcW w:w="1090" w:type="pct"/>
            <w:noWrap/>
            <w:vAlign w:val="center"/>
          </w:tcPr>
          <w:p w:rsidR="002D6C73" w:rsidRDefault="00FB6868">
            <w:pPr>
              <w:jc w:val="center"/>
              <w:rPr>
                <w:color w:val="1C1C1C"/>
              </w:rPr>
            </w:pPr>
            <w:r>
              <w:rPr>
                <w:rFonts w:hint="eastAsia"/>
                <w:color w:val="1C1C1C"/>
              </w:rPr>
              <w:t>哈尔滨市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20</w:t>
            </w:r>
          </w:p>
        </w:tc>
        <w:tc>
          <w:tcPr>
            <w:tcW w:w="1091" w:type="pct"/>
            <w:noWrap/>
            <w:vAlign w:val="center"/>
          </w:tcPr>
          <w:p w:rsidR="002D6C73" w:rsidRDefault="00FB6868">
            <w:pPr>
              <w:jc w:val="center"/>
              <w:rPr>
                <w:color w:val="1C1C1C"/>
              </w:rPr>
            </w:pPr>
            <w:r>
              <w:rPr>
                <w:rFonts w:hint="eastAsia"/>
                <w:color w:val="1C1C1C"/>
              </w:rPr>
              <w:t>黑龙江省</w:t>
            </w:r>
          </w:p>
        </w:tc>
        <w:tc>
          <w:tcPr>
            <w:tcW w:w="1090" w:type="pct"/>
            <w:noWrap/>
            <w:vAlign w:val="center"/>
          </w:tcPr>
          <w:p w:rsidR="002D6C73" w:rsidRDefault="00FB6868">
            <w:pPr>
              <w:jc w:val="center"/>
              <w:rPr>
                <w:color w:val="1C1C1C"/>
              </w:rPr>
            </w:pPr>
            <w:r>
              <w:rPr>
                <w:rFonts w:hint="eastAsia"/>
                <w:color w:val="1C1C1C"/>
              </w:rPr>
              <w:t>齐齐哈尔市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21</w:t>
            </w:r>
          </w:p>
        </w:tc>
        <w:tc>
          <w:tcPr>
            <w:tcW w:w="1091" w:type="pct"/>
            <w:noWrap/>
            <w:vAlign w:val="center"/>
          </w:tcPr>
          <w:p w:rsidR="002D6C73" w:rsidRDefault="00FB6868">
            <w:pPr>
              <w:jc w:val="center"/>
              <w:rPr>
                <w:color w:val="1C1C1C"/>
              </w:rPr>
            </w:pPr>
            <w:r>
              <w:rPr>
                <w:rFonts w:hint="eastAsia"/>
                <w:color w:val="1C1C1C"/>
              </w:rPr>
              <w:t>黑龙江省</w:t>
            </w:r>
          </w:p>
        </w:tc>
        <w:tc>
          <w:tcPr>
            <w:tcW w:w="1090" w:type="pct"/>
            <w:noWrap/>
            <w:vAlign w:val="center"/>
          </w:tcPr>
          <w:p w:rsidR="002D6C73" w:rsidRDefault="00FB6868">
            <w:pPr>
              <w:jc w:val="center"/>
              <w:rPr>
                <w:color w:val="1C1C1C"/>
              </w:rPr>
            </w:pPr>
            <w:r>
              <w:rPr>
                <w:rFonts w:hint="eastAsia"/>
                <w:color w:val="1C1C1C"/>
              </w:rPr>
              <w:t>大庆市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22</w:t>
            </w:r>
          </w:p>
        </w:tc>
        <w:tc>
          <w:tcPr>
            <w:tcW w:w="1091" w:type="pct"/>
            <w:noWrap/>
            <w:vAlign w:val="center"/>
          </w:tcPr>
          <w:p w:rsidR="002D6C73" w:rsidRDefault="00FB6868">
            <w:pPr>
              <w:jc w:val="center"/>
              <w:rPr>
                <w:color w:val="1C1C1C"/>
              </w:rPr>
            </w:pPr>
            <w:r>
              <w:rPr>
                <w:rFonts w:hint="eastAsia"/>
                <w:color w:val="1C1C1C"/>
              </w:rPr>
              <w:t>上海市</w:t>
            </w:r>
          </w:p>
        </w:tc>
        <w:tc>
          <w:tcPr>
            <w:tcW w:w="1090" w:type="pct"/>
            <w:noWrap/>
            <w:vAlign w:val="center"/>
          </w:tcPr>
          <w:p w:rsidR="002D6C73" w:rsidRDefault="00FB6868">
            <w:pPr>
              <w:jc w:val="center"/>
              <w:rPr>
                <w:color w:val="1C1C1C"/>
              </w:rPr>
            </w:pPr>
            <w:r>
              <w:rPr>
                <w:rFonts w:hint="eastAsia"/>
                <w:color w:val="1C1C1C"/>
              </w:rPr>
              <w:t>上海市</w:t>
            </w:r>
          </w:p>
        </w:tc>
        <w:tc>
          <w:tcPr>
            <w:tcW w:w="1454" w:type="pct"/>
            <w:noWrap/>
            <w:vAlign w:val="center"/>
          </w:tcPr>
          <w:p w:rsidR="002D6C73" w:rsidRDefault="00FB6868">
            <w:pPr>
              <w:jc w:val="center"/>
              <w:rPr>
                <w:color w:val="1C1C1C"/>
              </w:rPr>
            </w:pPr>
            <w:r>
              <w:rPr>
                <w:rFonts w:hint="eastAsia"/>
                <w:color w:val="1C1C1C"/>
              </w:rPr>
              <w:t>超大城市</w:t>
            </w:r>
          </w:p>
        </w:tc>
        <w:tc>
          <w:tcPr>
            <w:tcW w:w="908" w:type="pct"/>
            <w:noWrap/>
            <w:vAlign w:val="center"/>
          </w:tcPr>
          <w:p w:rsidR="002D6C73" w:rsidRDefault="00FB6868">
            <w:pPr>
              <w:jc w:val="center"/>
              <w:rPr>
                <w:color w:val="1C1C1C"/>
              </w:rPr>
            </w:pPr>
            <w:r>
              <w:rPr>
                <w:rFonts w:hint="eastAsia"/>
                <w:color w:val="1C1C1C"/>
              </w:rPr>
              <w:t>直辖市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23</w:t>
            </w:r>
          </w:p>
        </w:tc>
        <w:tc>
          <w:tcPr>
            <w:tcW w:w="1091" w:type="pct"/>
            <w:noWrap/>
            <w:vAlign w:val="center"/>
          </w:tcPr>
          <w:p w:rsidR="002D6C73" w:rsidRDefault="00FB6868">
            <w:pPr>
              <w:jc w:val="center"/>
              <w:rPr>
                <w:color w:val="1C1C1C"/>
              </w:rPr>
            </w:pPr>
            <w:r>
              <w:rPr>
                <w:rFonts w:hint="eastAsia"/>
                <w:color w:val="1C1C1C"/>
              </w:rPr>
              <w:t>江苏省</w:t>
            </w:r>
          </w:p>
        </w:tc>
        <w:tc>
          <w:tcPr>
            <w:tcW w:w="1090" w:type="pct"/>
            <w:noWrap/>
            <w:vAlign w:val="center"/>
          </w:tcPr>
          <w:p w:rsidR="002D6C73" w:rsidRDefault="00FB6868">
            <w:pPr>
              <w:jc w:val="center"/>
              <w:rPr>
                <w:color w:val="1C1C1C"/>
              </w:rPr>
            </w:pPr>
            <w:r>
              <w:rPr>
                <w:rFonts w:hint="eastAsia"/>
                <w:color w:val="1C1C1C"/>
              </w:rPr>
              <w:t>南京市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24</w:t>
            </w:r>
          </w:p>
        </w:tc>
        <w:tc>
          <w:tcPr>
            <w:tcW w:w="1091" w:type="pct"/>
            <w:noWrap/>
            <w:vAlign w:val="center"/>
          </w:tcPr>
          <w:p w:rsidR="002D6C73" w:rsidRDefault="00FB6868">
            <w:pPr>
              <w:jc w:val="center"/>
              <w:rPr>
                <w:color w:val="1C1C1C"/>
              </w:rPr>
            </w:pPr>
            <w:r>
              <w:rPr>
                <w:rFonts w:hint="eastAsia"/>
                <w:color w:val="1C1C1C"/>
              </w:rPr>
              <w:t>江苏省</w:t>
            </w:r>
          </w:p>
        </w:tc>
        <w:tc>
          <w:tcPr>
            <w:tcW w:w="1090" w:type="pct"/>
            <w:noWrap/>
            <w:vAlign w:val="center"/>
          </w:tcPr>
          <w:p w:rsidR="002D6C73" w:rsidRDefault="00FB6868">
            <w:pPr>
              <w:jc w:val="center"/>
              <w:rPr>
                <w:color w:val="1C1C1C"/>
              </w:rPr>
            </w:pPr>
            <w:r>
              <w:rPr>
                <w:rFonts w:hint="eastAsia"/>
                <w:color w:val="1C1C1C"/>
              </w:rPr>
              <w:t>无锡市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25</w:t>
            </w:r>
          </w:p>
        </w:tc>
        <w:tc>
          <w:tcPr>
            <w:tcW w:w="1091" w:type="pct"/>
            <w:noWrap/>
            <w:vAlign w:val="center"/>
          </w:tcPr>
          <w:p w:rsidR="002D6C73" w:rsidRDefault="00FB6868">
            <w:pPr>
              <w:jc w:val="center"/>
              <w:rPr>
                <w:color w:val="1C1C1C"/>
              </w:rPr>
            </w:pPr>
            <w:r>
              <w:rPr>
                <w:rFonts w:hint="eastAsia"/>
                <w:color w:val="1C1C1C"/>
              </w:rPr>
              <w:t>江苏省</w:t>
            </w:r>
          </w:p>
        </w:tc>
        <w:tc>
          <w:tcPr>
            <w:tcW w:w="1090" w:type="pct"/>
            <w:noWrap/>
            <w:vAlign w:val="center"/>
          </w:tcPr>
          <w:p w:rsidR="002D6C73" w:rsidRDefault="00FB6868">
            <w:pPr>
              <w:jc w:val="center"/>
              <w:rPr>
                <w:color w:val="1C1C1C"/>
              </w:rPr>
            </w:pPr>
            <w:r>
              <w:rPr>
                <w:rFonts w:hint="eastAsia"/>
                <w:color w:val="1C1C1C"/>
              </w:rPr>
              <w:t>徐州市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26</w:t>
            </w:r>
          </w:p>
        </w:tc>
        <w:tc>
          <w:tcPr>
            <w:tcW w:w="1091" w:type="pct"/>
            <w:noWrap/>
            <w:vAlign w:val="center"/>
          </w:tcPr>
          <w:p w:rsidR="002D6C73" w:rsidRDefault="00FB6868">
            <w:pPr>
              <w:jc w:val="center"/>
              <w:rPr>
                <w:color w:val="1C1C1C"/>
              </w:rPr>
            </w:pPr>
            <w:r>
              <w:rPr>
                <w:rFonts w:hint="eastAsia"/>
                <w:color w:val="1C1C1C"/>
              </w:rPr>
              <w:t>江苏省</w:t>
            </w:r>
          </w:p>
        </w:tc>
        <w:tc>
          <w:tcPr>
            <w:tcW w:w="1090" w:type="pct"/>
            <w:noWrap/>
            <w:vAlign w:val="center"/>
          </w:tcPr>
          <w:p w:rsidR="002D6C73" w:rsidRDefault="00FB6868">
            <w:pPr>
              <w:jc w:val="center"/>
              <w:rPr>
                <w:color w:val="1C1C1C"/>
              </w:rPr>
            </w:pPr>
            <w:r>
              <w:rPr>
                <w:rFonts w:hint="eastAsia"/>
                <w:color w:val="1C1C1C"/>
              </w:rPr>
              <w:t>常州市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27</w:t>
            </w:r>
          </w:p>
        </w:tc>
        <w:tc>
          <w:tcPr>
            <w:tcW w:w="1091" w:type="pct"/>
            <w:noWrap/>
            <w:vAlign w:val="center"/>
          </w:tcPr>
          <w:p w:rsidR="002D6C73" w:rsidRDefault="00FB6868">
            <w:pPr>
              <w:jc w:val="center"/>
              <w:rPr>
                <w:color w:val="1C1C1C"/>
              </w:rPr>
            </w:pPr>
            <w:r>
              <w:rPr>
                <w:rFonts w:hint="eastAsia"/>
                <w:color w:val="1C1C1C"/>
              </w:rPr>
              <w:t>江苏省</w:t>
            </w:r>
          </w:p>
        </w:tc>
        <w:tc>
          <w:tcPr>
            <w:tcW w:w="1090" w:type="pct"/>
            <w:noWrap/>
            <w:vAlign w:val="center"/>
          </w:tcPr>
          <w:p w:rsidR="002D6C73" w:rsidRDefault="00FB6868">
            <w:pPr>
              <w:jc w:val="center"/>
              <w:rPr>
                <w:color w:val="1C1C1C"/>
              </w:rPr>
            </w:pPr>
            <w:r>
              <w:rPr>
                <w:rFonts w:hint="eastAsia"/>
                <w:color w:val="1C1C1C"/>
              </w:rPr>
              <w:t>苏州市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28</w:t>
            </w:r>
          </w:p>
        </w:tc>
        <w:tc>
          <w:tcPr>
            <w:tcW w:w="1091" w:type="pct"/>
            <w:noWrap/>
            <w:vAlign w:val="center"/>
          </w:tcPr>
          <w:p w:rsidR="002D6C73" w:rsidRDefault="00FB6868">
            <w:pPr>
              <w:jc w:val="center"/>
              <w:rPr>
                <w:color w:val="1C1C1C"/>
              </w:rPr>
            </w:pPr>
            <w:r>
              <w:rPr>
                <w:rFonts w:hint="eastAsia"/>
                <w:color w:val="1C1C1C"/>
              </w:rPr>
              <w:t>江苏省</w:t>
            </w:r>
          </w:p>
        </w:tc>
        <w:tc>
          <w:tcPr>
            <w:tcW w:w="1090" w:type="pct"/>
            <w:noWrap/>
            <w:vAlign w:val="center"/>
          </w:tcPr>
          <w:p w:rsidR="002D6C73" w:rsidRDefault="00FB6868">
            <w:pPr>
              <w:jc w:val="center"/>
              <w:rPr>
                <w:color w:val="1C1C1C"/>
              </w:rPr>
            </w:pPr>
            <w:r>
              <w:rPr>
                <w:rFonts w:hint="eastAsia"/>
                <w:color w:val="1C1C1C"/>
              </w:rPr>
              <w:t>南通市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29</w:t>
            </w:r>
          </w:p>
        </w:tc>
        <w:tc>
          <w:tcPr>
            <w:tcW w:w="1091" w:type="pct"/>
            <w:noWrap/>
            <w:vAlign w:val="center"/>
          </w:tcPr>
          <w:p w:rsidR="002D6C73" w:rsidRDefault="00FB6868">
            <w:pPr>
              <w:jc w:val="center"/>
              <w:rPr>
                <w:color w:val="1C1C1C"/>
              </w:rPr>
            </w:pPr>
            <w:r>
              <w:rPr>
                <w:rFonts w:hint="eastAsia"/>
                <w:color w:val="1C1C1C"/>
              </w:rPr>
              <w:t>江苏省</w:t>
            </w:r>
          </w:p>
        </w:tc>
        <w:tc>
          <w:tcPr>
            <w:tcW w:w="1090" w:type="pct"/>
            <w:noWrap/>
            <w:vAlign w:val="center"/>
          </w:tcPr>
          <w:p w:rsidR="002D6C73" w:rsidRDefault="00FB6868">
            <w:pPr>
              <w:jc w:val="center"/>
              <w:rPr>
                <w:color w:val="1C1C1C"/>
              </w:rPr>
            </w:pPr>
            <w:r>
              <w:rPr>
                <w:rFonts w:hint="eastAsia"/>
                <w:color w:val="1C1C1C"/>
              </w:rPr>
              <w:t>盐城市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30</w:t>
            </w:r>
          </w:p>
        </w:tc>
        <w:tc>
          <w:tcPr>
            <w:tcW w:w="1091" w:type="pct"/>
            <w:noWrap/>
            <w:vAlign w:val="center"/>
          </w:tcPr>
          <w:p w:rsidR="002D6C73" w:rsidRDefault="00FB6868">
            <w:pPr>
              <w:jc w:val="center"/>
              <w:rPr>
                <w:color w:val="1C1C1C"/>
              </w:rPr>
            </w:pPr>
            <w:r>
              <w:rPr>
                <w:rFonts w:hint="eastAsia"/>
                <w:color w:val="1C1C1C"/>
              </w:rPr>
              <w:t>浙江省</w:t>
            </w:r>
          </w:p>
        </w:tc>
        <w:tc>
          <w:tcPr>
            <w:tcW w:w="1090" w:type="pct"/>
            <w:noWrap/>
            <w:vAlign w:val="center"/>
          </w:tcPr>
          <w:p w:rsidR="002D6C73" w:rsidRDefault="00FB6868">
            <w:pPr>
              <w:jc w:val="center"/>
              <w:rPr>
                <w:color w:val="1C1C1C"/>
              </w:rPr>
            </w:pPr>
            <w:r>
              <w:rPr>
                <w:rFonts w:hint="eastAsia"/>
                <w:color w:val="1C1C1C"/>
              </w:rPr>
              <w:t>杭州市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31</w:t>
            </w:r>
          </w:p>
        </w:tc>
        <w:tc>
          <w:tcPr>
            <w:tcW w:w="1091" w:type="pct"/>
            <w:noWrap/>
            <w:vAlign w:val="center"/>
          </w:tcPr>
          <w:p w:rsidR="002D6C73" w:rsidRDefault="00FB6868">
            <w:pPr>
              <w:jc w:val="center"/>
              <w:rPr>
                <w:color w:val="1C1C1C"/>
              </w:rPr>
            </w:pPr>
            <w:r>
              <w:rPr>
                <w:rFonts w:hint="eastAsia"/>
                <w:color w:val="1C1C1C"/>
              </w:rPr>
              <w:t>浙江省</w:t>
            </w:r>
          </w:p>
        </w:tc>
        <w:tc>
          <w:tcPr>
            <w:tcW w:w="1090" w:type="pct"/>
            <w:noWrap/>
            <w:vAlign w:val="center"/>
          </w:tcPr>
          <w:p w:rsidR="002D6C73" w:rsidRDefault="00FB6868">
            <w:pPr>
              <w:jc w:val="center"/>
              <w:rPr>
                <w:color w:val="1C1C1C"/>
              </w:rPr>
            </w:pPr>
            <w:r>
              <w:rPr>
                <w:rFonts w:hint="eastAsia"/>
                <w:color w:val="1C1C1C"/>
              </w:rPr>
              <w:t>宁波市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计划单列市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32</w:t>
            </w:r>
          </w:p>
        </w:tc>
        <w:tc>
          <w:tcPr>
            <w:tcW w:w="1091" w:type="pct"/>
            <w:noWrap/>
            <w:vAlign w:val="center"/>
          </w:tcPr>
          <w:p w:rsidR="002D6C73" w:rsidRDefault="00FB6868">
            <w:pPr>
              <w:jc w:val="center"/>
              <w:rPr>
                <w:color w:val="1C1C1C"/>
              </w:rPr>
            </w:pPr>
            <w:r>
              <w:rPr>
                <w:rFonts w:hint="eastAsia"/>
                <w:color w:val="1C1C1C"/>
              </w:rPr>
              <w:t>浙江省</w:t>
            </w:r>
          </w:p>
        </w:tc>
        <w:tc>
          <w:tcPr>
            <w:tcW w:w="1090" w:type="pct"/>
            <w:noWrap/>
            <w:vAlign w:val="center"/>
          </w:tcPr>
          <w:p w:rsidR="002D6C73" w:rsidRDefault="00FB6868">
            <w:pPr>
              <w:jc w:val="center"/>
              <w:rPr>
                <w:color w:val="1C1C1C"/>
              </w:rPr>
            </w:pPr>
            <w:r>
              <w:rPr>
                <w:rFonts w:hint="eastAsia"/>
                <w:color w:val="1C1C1C"/>
              </w:rPr>
              <w:t>温州市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33</w:t>
            </w:r>
          </w:p>
        </w:tc>
        <w:tc>
          <w:tcPr>
            <w:tcW w:w="1091" w:type="pct"/>
            <w:noWrap/>
            <w:vAlign w:val="center"/>
          </w:tcPr>
          <w:p w:rsidR="002D6C73" w:rsidRDefault="00FB6868">
            <w:pPr>
              <w:jc w:val="center"/>
              <w:rPr>
                <w:color w:val="1C1C1C"/>
              </w:rPr>
            </w:pPr>
            <w:r>
              <w:rPr>
                <w:rFonts w:hint="eastAsia"/>
                <w:color w:val="1C1C1C"/>
              </w:rPr>
              <w:t>浙江省</w:t>
            </w:r>
          </w:p>
        </w:tc>
        <w:tc>
          <w:tcPr>
            <w:tcW w:w="1090" w:type="pct"/>
            <w:noWrap/>
            <w:vAlign w:val="center"/>
          </w:tcPr>
          <w:p w:rsidR="002D6C73" w:rsidRDefault="00FB6868">
            <w:pPr>
              <w:jc w:val="center"/>
              <w:rPr>
                <w:color w:val="1C1C1C"/>
              </w:rPr>
            </w:pPr>
            <w:r>
              <w:rPr>
                <w:rFonts w:hint="eastAsia"/>
                <w:color w:val="1C1C1C"/>
              </w:rPr>
              <w:t>嘉兴市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34</w:t>
            </w:r>
          </w:p>
        </w:tc>
        <w:tc>
          <w:tcPr>
            <w:tcW w:w="1091" w:type="pct"/>
            <w:noWrap/>
            <w:vAlign w:val="center"/>
          </w:tcPr>
          <w:p w:rsidR="002D6C73" w:rsidRDefault="00FB6868">
            <w:pPr>
              <w:jc w:val="center"/>
              <w:rPr>
                <w:color w:val="1C1C1C"/>
              </w:rPr>
            </w:pPr>
            <w:r>
              <w:rPr>
                <w:rFonts w:hint="eastAsia"/>
                <w:color w:val="1C1C1C"/>
              </w:rPr>
              <w:t>浙江省</w:t>
            </w:r>
          </w:p>
        </w:tc>
        <w:tc>
          <w:tcPr>
            <w:tcW w:w="1090" w:type="pct"/>
            <w:noWrap/>
            <w:vAlign w:val="center"/>
          </w:tcPr>
          <w:p w:rsidR="002D6C73" w:rsidRDefault="00FB6868">
            <w:pPr>
              <w:jc w:val="center"/>
              <w:rPr>
                <w:color w:val="1C1C1C"/>
              </w:rPr>
            </w:pPr>
            <w:r>
              <w:rPr>
                <w:rFonts w:hint="eastAsia"/>
                <w:color w:val="1C1C1C"/>
              </w:rPr>
              <w:t>绍兴市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35</w:t>
            </w:r>
          </w:p>
        </w:tc>
        <w:tc>
          <w:tcPr>
            <w:tcW w:w="1091" w:type="pct"/>
            <w:noWrap/>
            <w:vAlign w:val="center"/>
          </w:tcPr>
          <w:p w:rsidR="002D6C73" w:rsidRDefault="00FB6868">
            <w:pPr>
              <w:jc w:val="center"/>
              <w:rPr>
                <w:color w:val="1C1C1C"/>
              </w:rPr>
            </w:pPr>
            <w:r>
              <w:rPr>
                <w:rFonts w:hint="eastAsia"/>
                <w:color w:val="1C1C1C"/>
              </w:rPr>
              <w:t>浙江省</w:t>
            </w:r>
          </w:p>
        </w:tc>
        <w:tc>
          <w:tcPr>
            <w:tcW w:w="1090" w:type="pct"/>
            <w:noWrap/>
            <w:vAlign w:val="center"/>
          </w:tcPr>
          <w:p w:rsidR="002D6C73" w:rsidRDefault="00FB6868">
            <w:pPr>
              <w:jc w:val="center"/>
              <w:rPr>
                <w:color w:val="1C1C1C"/>
              </w:rPr>
            </w:pPr>
            <w:r>
              <w:rPr>
                <w:rFonts w:hint="eastAsia"/>
                <w:color w:val="1C1C1C"/>
              </w:rPr>
              <w:t>金华市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36</w:t>
            </w:r>
          </w:p>
        </w:tc>
        <w:tc>
          <w:tcPr>
            <w:tcW w:w="1091" w:type="pct"/>
            <w:noWrap/>
            <w:vAlign w:val="center"/>
          </w:tcPr>
          <w:p w:rsidR="002D6C73" w:rsidRDefault="00FB6868">
            <w:pPr>
              <w:jc w:val="center"/>
              <w:rPr>
                <w:color w:val="1C1C1C"/>
              </w:rPr>
            </w:pPr>
            <w:r>
              <w:rPr>
                <w:rFonts w:hint="eastAsia"/>
                <w:color w:val="1C1C1C"/>
              </w:rPr>
              <w:t>浙江省</w:t>
            </w:r>
          </w:p>
        </w:tc>
        <w:tc>
          <w:tcPr>
            <w:tcW w:w="1090" w:type="pct"/>
            <w:noWrap/>
            <w:vAlign w:val="center"/>
          </w:tcPr>
          <w:p w:rsidR="002D6C73" w:rsidRDefault="00FB6868">
            <w:pPr>
              <w:jc w:val="center"/>
              <w:rPr>
                <w:color w:val="1C1C1C"/>
              </w:rPr>
            </w:pPr>
            <w:r>
              <w:rPr>
                <w:rFonts w:hint="eastAsia"/>
                <w:color w:val="1C1C1C"/>
              </w:rPr>
              <w:t>台州市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37</w:t>
            </w:r>
          </w:p>
        </w:tc>
        <w:tc>
          <w:tcPr>
            <w:tcW w:w="1091" w:type="pct"/>
            <w:noWrap/>
            <w:vAlign w:val="center"/>
          </w:tcPr>
          <w:p w:rsidR="002D6C73" w:rsidRDefault="00FB6868">
            <w:pPr>
              <w:jc w:val="center"/>
              <w:rPr>
                <w:color w:val="1C1C1C"/>
              </w:rPr>
            </w:pPr>
            <w:r>
              <w:rPr>
                <w:rFonts w:hint="eastAsia"/>
                <w:color w:val="1C1C1C"/>
              </w:rPr>
              <w:t>安徽省</w:t>
            </w:r>
          </w:p>
        </w:tc>
        <w:tc>
          <w:tcPr>
            <w:tcW w:w="1090" w:type="pct"/>
            <w:noWrap/>
            <w:vAlign w:val="center"/>
          </w:tcPr>
          <w:p w:rsidR="002D6C73" w:rsidRDefault="00FB6868">
            <w:pPr>
              <w:jc w:val="center"/>
              <w:rPr>
                <w:color w:val="1C1C1C"/>
              </w:rPr>
            </w:pPr>
            <w:r>
              <w:rPr>
                <w:rFonts w:hint="eastAsia"/>
                <w:color w:val="1C1C1C"/>
              </w:rPr>
              <w:t>合肥市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38</w:t>
            </w:r>
          </w:p>
        </w:tc>
        <w:tc>
          <w:tcPr>
            <w:tcW w:w="1091" w:type="pct"/>
            <w:noWrap/>
            <w:vAlign w:val="center"/>
          </w:tcPr>
          <w:p w:rsidR="002D6C73" w:rsidRDefault="00FB6868">
            <w:pPr>
              <w:jc w:val="center"/>
              <w:rPr>
                <w:color w:val="1C1C1C"/>
              </w:rPr>
            </w:pPr>
            <w:r>
              <w:rPr>
                <w:rFonts w:hint="eastAsia"/>
                <w:color w:val="1C1C1C"/>
              </w:rPr>
              <w:t>安徽省</w:t>
            </w:r>
          </w:p>
        </w:tc>
        <w:tc>
          <w:tcPr>
            <w:tcW w:w="1090" w:type="pct"/>
            <w:noWrap/>
            <w:vAlign w:val="center"/>
          </w:tcPr>
          <w:p w:rsidR="002D6C73" w:rsidRDefault="00FB6868">
            <w:pPr>
              <w:jc w:val="center"/>
              <w:rPr>
                <w:color w:val="1C1C1C"/>
              </w:rPr>
            </w:pPr>
            <w:r>
              <w:rPr>
                <w:rFonts w:hint="eastAsia"/>
                <w:color w:val="1C1C1C"/>
              </w:rPr>
              <w:t>芜湖市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lastRenderedPageBreak/>
              <w:t>39</w:t>
            </w:r>
          </w:p>
        </w:tc>
        <w:tc>
          <w:tcPr>
            <w:tcW w:w="1091" w:type="pct"/>
            <w:noWrap/>
            <w:vAlign w:val="center"/>
          </w:tcPr>
          <w:p w:rsidR="002D6C73" w:rsidRDefault="00FB6868">
            <w:pPr>
              <w:jc w:val="center"/>
              <w:rPr>
                <w:color w:val="1C1C1C"/>
              </w:rPr>
            </w:pPr>
            <w:r>
              <w:rPr>
                <w:rFonts w:hint="eastAsia"/>
                <w:color w:val="1C1C1C"/>
              </w:rPr>
              <w:t>安徽省</w:t>
            </w:r>
          </w:p>
        </w:tc>
        <w:tc>
          <w:tcPr>
            <w:tcW w:w="1090" w:type="pct"/>
            <w:noWrap/>
            <w:vAlign w:val="center"/>
          </w:tcPr>
          <w:p w:rsidR="002D6C73" w:rsidRDefault="00FB6868">
            <w:pPr>
              <w:jc w:val="center"/>
              <w:rPr>
                <w:color w:val="1C1C1C"/>
              </w:rPr>
            </w:pPr>
            <w:r>
              <w:rPr>
                <w:rFonts w:hint="eastAsia"/>
                <w:color w:val="1C1C1C"/>
              </w:rPr>
              <w:t>阜阳市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40</w:t>
            </w:r>
          </w:p>
        </w:tc>
        <w:tc>
          <w:tcPr>
            <w:tcW w:w="1091" w:type="pct"/>
            <w:noWrap/>
            <w:vAlign w:val="center"/>
          </w:tcPr>
          <w:p w:rsidR="002D6C73" w:rsidRDefault="00FB6868">
            <w:pPr>
              <w:jc w:val="center"/>
              <w:rPr>
                <w:color w:val="1C1C1C"/>
              </w:rPr>
            </w:pPr>
            <w:r>
              <w:rPr>
                <w:rFonts w:hint="eastAsia"/>
                <w:color w:val="1C1C1C"/>
              </w:rPr>
              <w:t>福建省</w:t>
            </w:r>
          </w:p>
        </w:tc>
        <w:tc>
          <w:tcPr>
            <w:tcW w:w="1090" w:type="pct"/>
            <w:noWrap/>
            <w:vAlign w:val="center"/>
          </w:tcPr>
          <w:p w:rsidR="002D6C73" w:rsidRDefault="00FB6868">
            <w:pPr>
              <w:jc w:val="center"/>
              <w:rPr>
                <w:color w:val="1C1C1C"/>
              </w:rPr>
            </w:pPr>
            <w:r>
              <w:rPr>
                <w:rFonts w:hint="eastAsia"/>
                <w:color w:val="1C1C1C"/>
              </w:rPr>
              <w:t>福州市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41</w:t>
            </w:r>
          </w:p>
        </w:tc>
        <w:tc>
          <w:tcPr>
            <w:tcW w:w="1091" w:type="pct"/>
            <w:noWrap/>
            <w:vAlign w:val="center"/>
          </w:tcPr>
          <w:p w:rsidR="002D6C73" w:rsidRDefault="00FB6868">
            <w:pPr>
              <w:jc w:val="center"/>
              <w:rPr>
                <w:color w:val="1C1C1C"/>
              </w:rPr>
            </w:pPr>
            <w:r>
              <w:rPr>
                <w:rFonts w:hint="eastAsia"/>
                <w:color w:val="1C1C1C"/>
              </w:rPr>
              <w:t>福建省</w:t>
            </w:r>
          </w:p>
        </w:tc>
        <w:tc>
          <w:tcPr>
            <w:tcW w:w="1090" w:type="pct"/>
            <w:noWrap/>
            <w:vAlign w:val="center"/>
          </w:tcPr>
          <w:p w:rsidR="002D6C73" w:rsidRDefault="00FB6868">
            <w:pPr>
              <w:jc w:val="center"/>
              <w:rPr>
                <w:color w:val="1C1C1C"/>
              </w:rPr>
            </w:pPr>
            <w:r>
              <w:rPr>
                <w:rFonts w:hint="eastAsia"/>
                <w:color w:val="1C1C1C"/>
              </w:rPr>
              <w:t>厦门市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计划单列市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42</w:t>
            </w:r>
          </w:p>
        </w:tc>
        <w:tc>
          <w:tcPr>
            <w:tcW w:w="1091" w:type="pct"/>
            <w:noWrap/>
            <w:vAlign w:val="center"/>
          </w:tcPr>
          <w:p w:rsidR="002D6C73" w:rsidRDefault="00FB6868">
            <w:pPr>
              <w:jc w:val="center"/>
              <w:rPr>
                <w:color w:val="1C1C1C"/>
              </w:rPr>
            </w:pPr>
            <w:r>
              <w:rPr>
                <w:rFonts w:hint="eastAsia"/>
                <w:color w:val="1C1C1C"/>
              </w:rPr>
              <w:t>福建省</w:t>
            </w:r>
          </w:p>
        </w:tc>
        <w:tc>
          <w:tcPr>
            <w:tcW w:w="1090" w:type="pct"/>
            <w:noWrap/>
            <w:vAlign w:val="center"/>
          </w:tcPr>
          <w:p w:rsidR="002D6C73" w:rsidRDefault="00FB6868">
            <w:pPr>
              <w:jc w:val="center"/>
              <w:rPr>
                <w:color w:val="1C1C1C"/>
              </w:rPr>
            </w:pPr>
            <w:r>
              <w:rPr>
                <w:rFonts w:hint="eastAsia"/>
                <w:color w:val="1C1C1C"/>
              </w:rPr>
              <w:t>泉州市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43</w:t>
            </w:r>
          </w:p>
        </w:tc>
        <w:tc>
          <w:tcPr>
            <w:tcW w:w="1091" w:type="pct"/>
            <w:noWrap/>
            <w:vAlign w:val="center"/>
          </w:tcPr>
          <w:p w:rsidR="002D6C73" w:rsidRDefault="00FB6868">
            <w:pPr>
              <w:jc w:val="center"/>
              <w:rPr>
                <w:color w:val="1C1C1C"/>
              </w:rPr>
            </w:pPr>
            <w:r>
              <w:rPr>
                <w:rFonts w:hint="eastAsia"/>
                <w:color w:val="1C1C1C"/>
              </w:rPr>
              <w:t>江西省</w:t>
            </w:r>
          </w:p>
        </w:tc>
        <w:tc>
          <w:tcPr>
            <w:tcW w:w="1090" w:type="pct"/>
            <w:noWrap/>
            <w:vAlign w:val="center"/>
          </w:tcPr>
          <w:p w:rsidR="002D6C73" w:rsidRDefault="00FB6868">
            <w:pPr>
              <w:jc w:val="center"/>
              <w:rPr>
                <w:color w:val="1C1C1C"/>
              </w:rPr>
            </w:pPr>
            <w:r>
              <w:rPr>
                <w:rFonts w:hint="eastAsia"/>
                <w:color w:val="1C1C1C"/>
              </w:rPr>
              <w:t>南昌市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44</w:t>
            </w:r>
          </w:p>
        </w:tc>
        <w:tc>
          <w:tcPr>
            <w:tcW w:w="1091" w:type="pct"/>
            <w:noWrap/>
            <w:vAlign w:val="center"/>
          </w:tcPr>
          <w:p w:rsidR="002D6C73" w:rsidRDefault="00FB6868">
            <w:pPr>
              <w:jc w:val="center"/>
              <w:rPr>
                <w:color w:val="1C1C1C"/>
              </w:rPr>
            </w:pPr>
            <w:r>
              <w:rPr>
                <w:rFonts w:hint="eastAsia"/>
                <w:color w:val="1C1C1C"/>
              </w:rPr>
              <w:t>江西省</w:t>
            </w:r>
          </w:p>
        </w:tc>
        <w:tc>
          <w:tcPr>
            <w:tcW w:w="1090" w:type="pct"/>
            <w:noWrap/>
            <w:vAlign w:val="center"/>
          </w:tcPr>
          <w:p w:rsidR="002D6C73" w:rsidRDefault="00FB6868">
            <w:pPr>
              <w:jc w:val="center"/>
              <w:rPr>
                <w:color w:val="1C1C1C"/>
              </w:rPr>
            </w:pPr>
            <w:r>
              <w:rPr>
                <w:rFonts w:hint="eastAsia"/>
                <w:color w:val="1C1C1C"/>
              </w:rPr>
              <w:t>赣州市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45</w:t>
            </w:r>
          </w:p>
        </w:tc>
        <w:tc>
          <w:tcPr>
            <w:tcW w:w="1091" w:type="pct"/>
            <w:noWrap/>
            <w:vAlign w:val="center"/>
          </w:tcPr>
          <w:p w:rsidR="002D6C73" w:rsidRDefault="00FB6868">
            <w:pPr>
              <w:jc w:val="center"/>
              <w:rPr>
                <w:color w:val="1C1C1C"/>
              </w:rPr>
            </w:pPr>
            <w:r>
              <w:rPr>
                <w:rFonts w:hint="eastAsia"/>
                <w:color w:val="1C1C1C"/>
              </w:rPr>
              <w:t>江西省</w:t>
            </w:r>
          </w:p>
        </w:tc>
        <w:tc>
          <w:tcPr>
            <w:tcW w:w="1090" w:type="pct"/>
            <w:noWrap/>
            <w:vAlign w:val="center"/>
          </w:tcPr>
          <w:p w:rsidR="002D6C73" w:rsidRDefault="00FB6868">
            <w:pPr>
              <w:jc w:val="center"/>
              <w:rPr>
                <w:color w:val="1C1C1C"/>
              </w:rPr>
            </w:pPr>
            <w:r>
              <w:rPr>
                <w:rFonts w:hint="eastAsia"/>
                <w:color w:val="1C1C1C"/>
              </w:rPr>
              <w:t>上饶市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46</w:t>
            </w:r>
          </w:p>
        </w:tc>
        <w:tc>
          <w:tcPr>
            <w:tcW w:w="1091" w:type="pct"/>
            <w:noWrap/>
            <w:vAlign w:val="center"/>
          </w:tcPr>
          <w:p w:rsidR="002D6C73" w:rsidRDefault="00FB6868">
            <w:pPr>
              <w:jc w:val="center"/>
              <w:rPr>
                <w:color w:val="1C1C1C"/>
              </w:rPr>
            </w:pPr>
            <w:r>
              <w:rPr>
                <w:rFonts w:hint="eastAsia"/>
                <w:color w:val="1C1C1C"/>
              </w:rPr>
              <w:t>山东省</w:t>
            </w:r>
          </w:p>
        </w:tc>
        <w:tc>
          <w:tcPr>
            <w:tcW w:w="1090" w:type="pct"/>
            <w:noWrap/>
            <w:vAlign w:val="center"/>
          </w:tcPr>
          <w:p w:rsidR="002D6C73" w:rsidRDefault="00FB6868">
            <w:pPr>
              <w:jc w:val="center"/>
              <w:rPr>
                <w:color w:val="1C1C1C"/>
              </w:rPr>
            </w:pPr>
            <w:r>
              <w:rPr>
                <w:rFonts w:hint="eastAsia"/>
                <w:color w:val="1C1C1C"/>
              </w:rPr>
              <w:t>济南市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47</w:t>
            </w:r>
          </w:p>
        </w:tc>
        <w:tc>
          <w:tcPr>
            <w:tcW w:w="1091" w:type="pct"/>
            <w:noWrap/>
            <w:vAlign w:val="center"/>
          </w:tcPr>
          <w:p w:rsidR="002D6C73" w:rsidRDefault="00FB6868">
            <w:pPr>
              <w:jc w:val="center"/>
              <w:rPr>
                <w:color w:val="1C1C1C"/>
              </w:rPr>
            </w:pPr>
            <w:r>
              <w:rPr>
                <w:rFonts w:hint="eastAsia"/>
                <w:color w:val="1C1C1C"/>
              </w:rPr>
              <w:t>山东省</w:t>
            </w:r>
          </w:p>
        </w:tc>
        <w:tc>
          <w:tcPr>
            <w:tcW w:w="1090" w:type="pct"/>
            <w:noWrap/>
            <w:vAlign w:val="center"/>
          </w:tcPr>
          <w:p w:rsidR="002D6C73" w:rsidRDefault="00FB6868">
            <w:pPr>
              <w:jc w:val="center"/>
              <w:rPr>
                <w:color w:val="1C1C1C"/>
              </w:rPr>
            </w:pPr>
            <w:r>
              <w:rPr>
                <w:rFonts w:hint="eastAsia"/>
                <w:color w:val="1C1C1C"/>
              </w:rPr>
              <w:t>青岛市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计划单列市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48</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山东省</w:t>
            </w:r>
          </w:p>
        </w:tc>
        <w:tc>
          <w:tcPr>
            <w:tcW w:w="1090" w:type="pct"/>
            <w:noWrap/>
            <w:vAlign w:val="center"/>
          </w:tcPr>
          <w:p w:rsidR="002D6C73" w:rsidRDefault="00FB6868">
            <w:pPr>
              <w:jc w:val="center"/>
              <w:rPr>
                <w:color w:val="1C1C1C"/>
              </w:rPr>
            </w:pPr>
            <w:r>
              <w:rPr>
                <w:rFonts w:hint="eastAsia"/>
                <w:color w:val="1C1C1C"/>
              </w:rPr>
              <w:t>淄博市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49</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山东省</w:t>
            </w:r>
          </w:p>
        </w:tc>
        <w:tc>
          <w:tcPr>
            <w:tcW w:w="1090" w:type="pct"/>
            <w:noWrap/>
            <w:vAlign w:val="center"/>
          </w:tcPr>
          <w:p w:rsidR="002D6C73" w:rsidRDefault="00FB6868">
            <w:pPr>
              <w:jc w:val="center"/>
              <w:rPr>
                <w:color w:val="1C1C1C"/>
              </w:rPr>
            </w:pPr>
            <w:r>
              <w:rPr>
                <w:rFonts w:hint="eastAsia"/>
                <w:color w:val="1C1C1C"/>
              </w:rPr>
              <w:t>烟台市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50</w:t>
            </w:r>
          </w:p>
        </w:tc>
        <w:tc>
          <w:tcPr>
            <w:tcW w:w="1091" w:type="pct"/>
            <w:noWrap/>
            <w:vAlign w:val="center"/>
          </w:tcPr>
          <w:p w:rsidR="002D6C73" w:rsidRDefault="00FB6868">
            <w:pPr>
              <w:jc w:val="center"/>
              <w:rPr>
                <w:color w:val="1C1C1C"/>
              </w:rPr>
            </w:pPr>
            <w:r>
              <w:rPr>
                <w:rFonts w:hint="eastAsia"/>
                <w:color w:val="1C1C1C"/>
              </w:rPr>
              <w:t>山东省</w:t>
            </w:r>
          </w:p>
        </w:tc>
        <w:tc>
          <w:tcPr>
            <w:tcW w:w="1090" w:type="pct"/>
            <w:noWrap/>
            <w:vAlign w:val="center"/>
          </w:tcPr>
          <w:p w:rsidR="002D6C73" w:rsidRDefault="00FB6868">
            <w:pPr>
              <w:jc w:val="center"/>
              <w:rPr>
                <w:color w:val="1C1C1C"/>
              </w:rPr>
            </w:pPr>
            <w:r>
              <w:rPr>
                <w:rFonts w:hint="eastAsia"/>
                <w:color w:val="1C1C1C"/>
              </w:rPr>
              <w:t>潍坊市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51</w:t>
            </w:r>
          </w:p>
        </w:tc>
        <w:tc>
          <w:tcPr>
            <w:tcW w:w="1091" w:type="pct"/>
            <w:noWrap/>
            <w:vAlign w:val="center"/>
          </w:tcPr>
          <w:p w:rsidR="002D6C73" w:rsidRDefault="00FB6868">
            <w:pPr>
              <w:jc w:val="center"/>
              <w:rPr>
                <w:color w:val="1C1C1C"/>
              </w:rPr>
            </w:pPr>
            <w:r>
              <w:rPr>
                <w:rFonts w:hint="eastAsia"/>
                <w:color w:val="1C1C1C"/>
              </w:rPr>
              <w:t>山东省</w:t>
            </w:r>
          </w:p>
        </w:tc>
        <w:tc>
          <w:tcPr>
            <w:tcW w:w="1090" w:type="pct"/>
            <w:noWrap/>
            <w:vAlign w:val="center"/>
          </w:tcPr>
          <w:p w:rsidR="002D6C73" w:rsidRDefault="00FB6868">
            <w:pPr>
              <w:jc w:val="center"/>
              <w:rPr>
                <w:color w:val="1C1C1C"/>
              </w:rPr>
            </w:pPr>
            <w:r>
              <w:rPr>
                <w:rFonts w:hint="eastAsia"/>
                <w:color w:val="1C1C1C"/>
              </w:rPr>
              <w:t>济宁市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52</w:t>
            </w:r>
          </w:p>
        </w:tc>
        <w:tc>
          <w:tcPr>
            <w:tcW w:w="1091" w:type="pct"/>
            <w:noWrap/>
            <w:vAlign w:val="center"/>
          </w:tcPr>
          <w:p w:rsidR="002D6C73" w:rsidRDefault="00FB6868">
            <w:pPr>
              <w:jc w:val="center"/>
              <w:rPr>
                <w:color w:val="1C1C1C"/>
              </w:rPr>
            </w:pPr>
            <w:r>
              <w:rPr>
                <w:rFonts w:hint="eastAsia"/>
                <w:color w:val="1C1C1C"/>
              </w:rPr>
              <w:t>山东省</w:t>
            </w:r>
          </w:p>
        </w:tc>
        <w:tc>
          <w:tcPr>
            <w:tcW w:w="1090" w:type="pct"/>
            <w:noWrap/>
            <w:vAlign w:val="center"/>
          </w:tcPr>
          <w:p w:rsidR="002D6C73" w:rsidRDefault="00FB6868">
            <w:pPr>
              <w:jc w:val="center"/>
              <w:rPr>
                <w:color w:val="1C1C1C"/>
              </w:rPr>
            </w:pPr>
            <w:r>
              <w:rPr>
                <w:rFonts w:hint="eastAsia"/>
                <w:color w:val="1C1C1C"/>
              </w:rPr>
              <w:t>临沂市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53</w:t>
            </w:r>
          </w:p>
        </w:tc>
        <w:tc>
          <w:tcPr>
            <w:tcW w:w="1091" w:type="pct"/>
            <w:noWrap/>
            <w:vAlign w:val="center"/>
          </w:tcPr>
          <w:p w:rsidR="002D6C73" w:rsidRDefault="00FB6868">
            <w:pPr>
              <w:jc w:val="center"/>
              <w:rPr>
                <w:color w:val="1C1C1C"/>
              </w:rPr>
            </w:pPr>
            <w:r>
              <w:rPr>
                <w:rFonts w:hint="eastAsia"/>
                <w:color w:val="1C1C1C"/>
              </w:rPr>
              <w:t>河南省</w:t>
            </w:r>
          </w:p>
        </w:tc>
        <w:tc>
          <w:tcPr>
            <w:tcW w:w="1090" w:type="pct"/>
            <w:noWrap/>
            <w:vAlign w:val="center"/>
          </w:tcPr>
          <w:p w:rsidR="002D6C73" w:rsidRDefault="00FB6868">
            <w:pPr>
              <w:jc w:val="center"/>
              <w:rPr>
                <w:color w:val="1C1C1C"/>
              </w:rPr>
            </w:pPr>
            <w:r>
              <w:rPr>
                <w:rFonts w:hint="eastAsia"/>
                <w:color w:val="1C1C1C"/>
              </w:rPr>
              <w:t>郑州市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54</w:t>
            </w:r>
          </w:p>
        </w:tc>
        <w:tc>
          <w:tcPr>
            <w:tcW w:w="1091" w:type="pct"/>
            <w:noWrap/>
            <w:vAlign w:val="center"/>
          </w:tcPr>
          <w:p w:rsidR="002D6C73" w:rsidRDefault="00FB6868">
            <w:pPr>
              <w:jc w:val="center"/>
              <w:rPr>
                <w:color w:val="1C1C1C"/>
              </w:rPr>
            </w:pPr>
            <w:r>
              <w:rPr>
                <w:rFonts w:hint="eastAsia"/>
                <w:color w:val="1C1C1C"/>
              </w:rPr>
              <w:t>河南省</w:t>
            </w:r>
          </w:p>
        </w:tc>
        <w:tc>
          <w:tcPr>
            <w:tcW w:w="1090" w:type="pct"/>
            <w:noWrap/>
            <w:vAlign w:val="center"/>
          </w:tcPr>
          <w:p w:rsidR="002D6C73" w:rsidRDefault="00FB6868">
            <w:pPr>
              <w:jc w:val="center"/>
              <w:rPr>
                <w:color w:val="1C1C1C"/>
              </w:rPr>
            </w:pPr>
            <w:r>
              <w:rPr>
                <w:rFonts w:hint="eastAsia"/>
                <w:color w:val="1C1C1C"/>
              </w:rPr>
              <w:t>洛阳市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55</w:t>
            </w:r>
          </w:p>
        </w:tc>
        <w:tc>
          <w:tcPr>
            <w:tcW w:w="1091" w:type="pct"/>
            <w:noWrap/>
            <w:vAlign w:val="center"/>
          </w:tcPr>
          <w:p w:rsidR="002D6C73" w:rsidRDefault="00FB6868">
            <w:pPr>
              <w:jc w:val="center"/>
              <w:rPr>
                <w:color w:val="1C1C1C"/>
              </w:rPr>
            </w:pPr>
            <w:r>
              <w:rPr>
                <w:rFonts w:hint="eastAsia"/>
                <w:color w:val="1C1C1C"/>
              </w:rPr>
              <w:t>河南省</w:t>
            </w:r>
          </w:p>
        </w:tc>
        <w:tc>
          <w:tcPr>
            <w:tcW w:w="1090" w:type="pct"/>
            <w:noWrap/>
            <w:vAlign w:val="center"/>
          </w:tcPr>
          <w:p w:rsidR="002D6C73" w:rsidRDefault="00FB6868">
            <w:pPr>
              <w:jc w:val="center"/>
              <w:rPr>
                <w:color w:val="1C1C1C"/>
              </w:rPr>
            </w:pPr>
            <w:r>
              <w:rPr>
                <w:rFonts w:hint="eastAsia"/>
                <w:color w:val="1C1C1C"/>
              </w:rPr>
              <w:t>南阳市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56</w:t>
            </w:r>
          </w:p>
        </w:tc>
        <w:tc>
          <w:tcPr>
            <w:tcW w:w="1091" w:type="pct"/>
            <w:noWrap/>
            <w:vAlign w:val="center"/>
          </w:tcPr>
          <w:p w:rsidR="002D6C73" w:rsidRDefault="00FB6868">
            <w:pPr>
              <w:jc w:val="center"/>
              <w:rPr>
                <w:color w:val="1C1C1C"/>
              </w:rPr>
            </w:pPr>
            <w:r>
              <w:rPr>
                <w:rFonts w:hint="eastAsia"/>
                <w:color w:val="1C1C1C"/>
              </w:rPr>
              <w:t>湖北省</w:t>
            </w:r>
          </w:p>
        </w:tc>
        <w:tc>
          <w:tcPr>
            <w:tcW w:w="1090" w:type="pct"/>
            <w:noWrap/>
            <w:vAlign w:val="center"/>
          </w:tcPr>
          <w:p w:rsidR="002D6C73" w:rsidRDefault="00FB6868">
            <w:pPr>
              <w:jc w:val="center"/>
              <w:rPr>
                <w:color w:val="1C1C1C"/>
              </w:rPr>
            </w:pPr>
            <w:r>
              <w:rPr>
                <w:rFonts w:hint="eastAsia"/>
                <w:color w:val="1C1C1C"/>
              </w:rPr>
              <w:t>武汉市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57</w:t>
            </w:r>
          </w:p>
        </w:tc>
        <w:tc>
          <w:tcPr>
            <w:tcW w:w="1091" w:type="pct"/>
            <w:noWrap/>
            <w:vAlign w:val="center"/>
          </w:tcPr>
          <w:p w:rsidR="002D6C73" w:rsidRDefault="00FB6868">
            <w:pPr>
              <w:jc w:val="center"/>
              <w:rPr>
                <w:color w:val="1C1C1C"/>
              </w:rPr>
            </w:pPr>
            <w:r>
              <w:rPr>
                <w:rFonts w:hint="eastAsia"/>
                <w:color w:val="1C1C1C"/>
              </w:rPr>
              <w:t>湖北省</w:t>
            </w:r>
          </w:p>
        </w:tc>
        <w:tc>
          <w:tcPr>
            <w:tcW w:w="1090" w:type="pct"/>
            <w:noWrap/>
            <w:vAlign w:val="center"/>
          </w:tcPr>
          <w:p w:rsidR="002D6C73" w:rsidRDefault="00FB6868">
            <w:pPr>
              <w:jc w:val="center"/>
              <w:rPr>
                <w:color w:val="1C1C1C"/>
              </w:rPr>
            </w:pPr>
            <w:r>
              <w:rPr>
                <w:rFonts w:hint="eastAsia"/>
                <w:color w:val="1C1C1C"/>
              </w:rPr>
              <w:t>宜昌市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58</w:t>
            </w:r>
          </w:p>
        </w:tc>
        <w:tc>
          <w:tcPr>
            <w:tcW w:w="1091" w:type="pct"/>
            <w:noWrap/>
            <w:vAlign w:val="center"/>
          </w:tcPr>
          <w:p w:rsidR="002D6C73" w:rsidRDefault="00FB6868">
            <w:pPr>
              <w:jc w:val="center"/>
              <w:rPr>
                <w:color w:val="1C1C1C"/>
              </w:rPr>
            </w:pPr>
            <w:r>
              <w:rPr>
                <w:rFonts w:hint="eastAsia"/>
                <w:color w:val="1C1C1C"/>
              </w:rPr>
              <w:t>湖北省</w:t>
            </w:r>
          </w:p>
        </w:tc>
        <w:tc>
          <w:tcPr>
            <w:tcW w:w="1090" w:type="pct"/>
            <w:noWrap/>
            <w:vAlign w:val="center"/>
          </w:tcPr>
          <w:p w:rsidR="002D6C73" w:rsidRDefault="00FB6868">
            <w:pPr>
              <w:jc w:val="center"/>
              <w:rPr>
                <w:color w:val="1C1C1C"/>
              </w:rPr>
            </w:pPr>
            <w:r>
              <w:rPr>
                <w:rFonts w:hint="eastAsia"/>
                <w:color w:val="1C1C1C"/>
              </w:rPr>
              <w:t>襄阳市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59</w:t>
            </w:r>
          </w:p>
        </w:tc>
        <w:tc>
          <w:tcPr>
            <w:tcW w:w="1091" w:type="pct"/>
            <w:noWrap/>
            <w:vAlign w:val="center"/>
          </w:tcPr>
          <w:p w:rsidR="002D6C73" w:rsidRDefault="00FB6868">
            <w:pPr>
              <w:jc w:val="center"/>
              <w:rPr>
                <w:color w:val="1C1C1C"/>
              </w:rPr>
            </w:pPr>
            <w:r>
              <w:rPr>
                <w:rFonts w:hint="eastAsia"/>
                <w:color w:val="1C1C1C"/>
              </w:rPr>
              <w:t>湖南省</w:t>
            </w:r>
          </w:p>
        </w:tc>
        <w:tc>
          <w:tcPr>
            <w:tcW w:w="1090" w:type="pct"/>
            <w:noWrap/>
            <w:vAlign w:val="center"/>
          </w:tcPr>
          <w:p w:rsidR="002D6C73" w:rsidRDefault="00FB6868">
            <w:pPr>
              <w:jc w:val="center"/>
              <w:rPr>
                <w:color w:val="1C1C1C"/>
              </w:rPr>
            </w:pPr>
            <w:r>
              <w:rPr>
                <w:rFonts w:hint="eastAsia"/>
                <w:color w:val="1C1C1C"/>
              </w:rPr>
              <w:t>长沙市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60</w:t>
            </w:r>
          </w:p>
        </w:tc>
        <w:tc>
          <w:tcPr>
            <w:tcW w:w="1091" w:type="pct"/>
            <w:noWrap/>
            <w:vAlign w:val="center"/>
          </w:tcPr>
          <w:p w:rsidR="002D6C73" w:rsidRDefault="00FB6868">
            <w:pPr>
              <w:jc w:val="center"/>
              <w:rPr>
                <w:color w:val="1C1C1C"/>
              </w:rPr>
            </w:pPr>
            <w:r>
              <w:rPr>
                <w:rFonts w:hint="eastAsia"/>
                <w:color w:val="1C1C1C"/>
              </w:rPr>
              <w:t>湖南省</w:t>
            </w:r>
          </w:p>
        </w:tc>
        <w:tc>
          <w:tcPr>
            <w:tcW w:w="1090" w:type="pct"/>
            <w:noWrap/>
            <w:vAlign w:val="center"/>
          </w:tcPr>
          <w:p w:rsidR="002D6C73" w:rsidRDefault="00FB6868">
            <w:pPr>
              <w:jc w:val="center"/>
              <w:rPr>
                <w:color w:val="1C1C1C"/>
              </w:rPr>
            </w:pPr>
            <w:r>
              <w:rPr>
                <w:rFonts w:hint="eastAsia"/>
                <w:color w:val="1C1C1C"/>
              </w:rPr>
              <w:t>衡阳市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61</w:t>
            </w:r>
          </w:p>
        </w:tc>
        <w:tc>
          <w:tcPr>
            <w:tcW w:w="1091" w:type="pct"/>
            <w:noWrap/>
            <w:vAlign w:val="center"/>
          </w:tcPr>
          <w:p w:rsidR="002D6C73" w:rsidRDefault="00FB6868">
            <w:pPr>
              <w:jc w:val="center"/>
              <w:rPr>
                <w:color w:val="1C1C1C"/>
              </w:rPr>
            </w:pPr>
            <w:r>
              <w:rPr>
                <w:rFonts w:hint="eastAsia"/>
                <w:color w:val="1C1C1C"/>
              </w:rPr>
              <w:t>湖南省</w:t>
            </w:r>
          </w:p>
        </w:tc>
        <w:tc>
          <w:tcPr>
            <w:tcW w:w="1090" w:type="pct"/>
            <w:noWrap/>
            <w:vAlign w:val="center"/>
          </w:tcPr>
          <w:p w:rsidR="002D6C73" w:rsidRDefault="00FB6868">
            <w:pPr>
              <w:jc w:val="center"/>
              <w:rPr>
                <w:color w:val="1C1C1C"/>
              </w:rPr>
            </w:pPr>
            <w:r>
              <w:rPr>
                <w:rFonts w:hint="eastAsia"/>
                <w:color w:val="1C1C1C"/>
              </w:rPr>
              <w:t>岳阳市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62</w:t>
            </w:r>
          </w:p>
        </w:tc>
        <w:tc>
          <w:tcPr>
            <w:tcW w:w="1091" w:type="pct"/>
            <w:noWrap/>
            <w:vAlign w:val="center"/>
          </w:tcPr>
          <w:p w:rsidR="002D6C73" w:rsidRDefault="00FB6868">
            <w:pPr>
              <w:jc w:val="center"/>
              <w:rPr>
                <w:color w:val="1C1C1C"/>
              </w:rPr>
            </w:pPr>
            <w:r>
              <w:rPr>
                <w:rFonts w:hint="eastAsia"/>
                <w:color w:val="1C1C1C"/>
              </w:rPr>
              <w:t>广东省</w:t>
            </w:r>
          </w:p>
        </w:tc>
        <w:tc>
          <w:tcPr>
            <w:tcW w:w="1090" w:type="pct"/>
            <w:noWrap/>
            <w:vAlign w:val="center"/>
          </w:tcPr>
          <w:p w:rsidR="002D6C73" w:rsidRDefault="00FB6868">
            <w:pPr>
              <w:jc w:val="center"/>
              <w:rPr>
                <w:color w:val="1C1C1C"/>
              </w:rPr>
            </w:pPr>
            <w:r>
              <w:rPr>
                <w:rFonts w:hint="eastAsia"/>
                <w:color w:val="1C1C1C"/>
              </w:rPr>
              <w:t>广州市</w:t>
            </w:r>
          </w:p>
        </w:tc>
        <w:tc>
          <w:tcPr>
            <w:tcW w:w="1454" w:type="pct"/>
            <w:noWrap/>
            <w:vAlign w:val="center"/>
          </w:tcPr>
          <w:p w:rsidR="002D6C73" w:rsidRDefault="00FB6868">
            <w:pPr>
              <w:jc w:val="center"/>
              <w:rPr>
                <w:color w:val="1C1C1C"/>
              </w:rPr>
            </w:pPr>
            <w:r>
              <w:rPr>
                <w:rFonts w:hint="eastAsia"/>
                <w:color w:val="1C1C1C"/>
              </w:rPr>
              <w:t>超大城市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63</w:t>
            </w:r>
          </w:p>
        </w:tc>
        <w:tc>
          <w:tcPr>
            <w:tcW w:w="1091" w:type="pct"/>
            <w:noWrap/>
            <w:vAlign w:val="center"/>
          </w:tcPr>
          <w:p w:rsidR="002D6C73" w:rsidRDefault="00FB6868">
            <w:pPr>
              <w:jc w:val="center"/>
              <w:rPr>
                <w:color w:val="1C1C1C"/>
              </w:rPr>
            </w:pPr>
            <w:r>
              <w:rPr>
                <w:rFonts w:hint="eastAsia"/>
                <w:color w:val="1C1C1C"/>
              </w:rPr>
              <w:t>广东省</w:t>
            </w:r>
          </w:p>
        </w:tc>
        <w:tc>
          <w:tcPr>
            <w:tcW w:w="1090" w:type="pct"/>
            <w:noWrap/>
            <w:vAlign w:val="center"/>
          </w:tcPr>
          <w:p w:rsidR="002D6C73" w:rsidRDefault="00FB6868">
            <w:pPr>
              <w:jc w:val="center"/>
              <w:rPr>
                <w:color w:val="1C1C1C"/>
              </w:rPr>
            </w:pPr>
            <w:r>
              <w:rPr>
                <w:rFonts w:hint="eastAsia"/>
                <w:color w:val="1C1C1C"/>
              </w:rPr>
              <w:t>深圳市</w:t>
            </w:r>
          </w:p>
        </w:tc>
        <w:tc>
          <w:tcPr>
            <w:tcW w:w="1454" w:type="pct"/>
            <w:noWrap/>
            <w:vAlign w:val="center"/>
          </w:tcPr>
          <w:p w:rsidR="002D6C73" w:rsidRDefault="00FB6868">
            <w:pPr>
              <w:jc w:val="center"/>
              <w:rPr>
                <w:color w:val="1C1C1C"/>
              </w:rPr>
            </w:pPr>
            <w:r>
              <w:rPr>
                <w:rFonts w:hint="eastAsia"/>
                <w:color w:val="1C1C1C"/>
              </w:rPr>
              <w:t>超大城市</w:t>
            </w:r>
          </w:p>
        </w:tc>
        <w:tc>
          <w:tcPr>
            <w:tcW w:w="908" w:type="pct"/>
            <w:noWrap/>
            <w:vAlign w:val="center"/>
          </w:tcPr>
          <w:p w:rsidR="002D6C73" w:rsidRDefault="00FB6868">
            <w:pPr>
              <w:jc w:val="center"/>
              <w:rPr>
                <w:color w:val="1C1C1C"/>
              </w:rPr>
            </w:pPr>
            <w:r>
              <w:rPr>
                <w:rFonts w:hint="eastAsia"/>
                <w:color w:val="1C1C1C"/>
              </w:rPr>
              <w:t>计划单列市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64</w:t>
            </w:r>
          </w:p>
        </w:tc>
        <w:tc>
          <w:tcPr>
            <w:tcW w:w="1091" w:type="pct"/>
            <w:noWrap/>
            <w:vAlign w:val="center"/>
          </w:tcPr>
          <w:p w:rsidR="002D6C73" w:rsidRDefault="00FB6868">
            <w:pPr>
              <w:jc w:val="center"/>
              <w:rPr>
                <w:color w:val="1C1C1C"/>
              </w:rPr>
            </w:pPr>
            <w:r>
              <w:rPr>
                <w:rFonts w:hint="eastAsia"/>
                <w:color w:val="1C1C1C"/>
              </w:rPr>
              <w:t>广东省</w:t>
            </w:r>
          </w:p>
        </w:tc>
        <w:tc>
          <w:tcPr>
            <w:tcW w:w="1090" w:type="pct"/>
            <w:noWrap/>
            <w:vAlign w:val="center"/>
          </w:tcPr>
          <w:p w:rsidR="002D6C73" w:rsidRDefault="00FB6868">
            <w:pPr>
              <w:jc w:val="center"/>
              <w:rPr>
                <w:color w:val="1C1C1C"/>
              </w:rPr>
            </w:pPr>
            <w:r>
              <w:rPr>
                <w:rFonts w:hint="eastAsia"/>
                <w:color w:val="1C1C1C"/>
              </w:rPr>
              <w:t>汕头市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65</w:t>
            </w:r>
          </w:p>
        </w:tc>
        <w:tc>
          <w:tcPr>
            <w:tcW w:w="1091" w:type="pct"/>
            <w:noWrap/>
            <w:vAlign w:val="center"/>
          </w:tcPr>
          <w:p w:rsidR="002D6C73" w:rsidRDefault="00FB6868">
            <w:pPr>
              <w:jc w:val="center"/>
              <w:rPr>
                <w:color w:val="1C1C1C"/>
              </w:rPr>
            </w:pPr>
            <w:r>
              <w:rPr>
                <w:rFonts w:hint="eastAsia"/>
                <w:color w:val="1C1C1C"/>
              </w:rPr>
              <w:t>广东省</w:t>
            </w:r>
          </w:p>
        </w:tc>
        <w:tc>
          <w:tcPr>
            <w:tcW w:w="1090" w:type="pct"/>
            <w:noWrap/>
            <w:vAlign w:val="center"/>
          </w:tcPr>
          <w:p w:rsidR="002D6C73" w:rsidRDefault="00FB6868">
            <w:pPr>
              <w:jc w:val="center"/>
              <w:rPr>
                <w:color w:val="1C1C1C"/>
              </w:rPr>
            </w:pPr>
            <w:r>
              <w:rPr>
                <w:rFonts w:hint="eastAsia"/>
                <w:color w:val="1C1C1C"/>
              </w:rPr>
              <w:t>佛山市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66</w:t>
            </w:r>
          </w:p>
        </w:tc>
        <w:tc>
          <w:tcPr>
            <w:tcW w:w="1091" w:type="pct"/>
            <w:noWrap/>
            <w:vAlign w:val="center"/>
          </w:tcPr>
          <w:p w:rsidR="002D6C73" w:rsidRDefault="00FB6868">
            <w:pPr>
              <w:jc w:val="center"/>
              <w:rPr>
                <w:color w:val="1C1C1C"/>
              </w:rPr>
            </w:pPr>
            <w:r>
              <w:rPr>
                <w:rFonts w:hint="eastAsia"/>
                <w:color w:val="1C1C1C"/>
              </w:rPr>
              <w:t>广东省</w:t>
            </w:r>
          </w:p>
        </w:tc>
        <w:tc>
          <w:tcPr>
            <w:tcW w:w="1090" w:type="pct"/>
            <w:noWrap/>
            <w:vAlign w:val="center"/>
          </w:tcPr>
          <w:p w:rsidR="002D6C73" w:rsidRDefault="00FB6868">
            <w:pPr>
              <w:jc w:val="center"/>
              <w:rPr>
                <w:color w:val="1C1C1C"/>
              </w:rPr>
            </w:pPr>
            <w:r>
              <w:rPr>
                <w:rFonts w:hint="eastAsia"/>
                <w:color w:val="1C1C1C"/>
              </w:rPr>
              <w:t>东莞市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67</w:t>
            </w:r>
          </w:p>
        </w:tc>
        <w:tc>
          <w:tcPr>
            <w:tcW w:w="1091" w:type="pct"/>
            <w:noWrap/>
            <w:tcMar>
              <w:left w:w="28" w:type="dxa"/>
              <w:right w:w="28" w:type="dxa"/>
            </w:tcMar>
            <w:vAlign w:val="center"/>
          </w:tcPr>
          <w:p w:rsidR="002D6C73" w:rsidRDefault="00FB6868">
            <w:pPr>
              <w:jc w:val="center"/>
              <w:rPr>
                <w:color w:val="1C1C1C"/>
                <w:spacing w:val="-8"/>
              </w:rPr>
            </w:pPr>
            <w:r>
              <w:rPr>
                <w:rFonts w:hint="eastAsia"/>
                <w:color w:val="1C1C1C"/>
                <w:spacing w:val="-8"/>
              </w:rPr>
              <w:t>广西壮族自治区</w:t>
            </w:r>
          </w:p>
        </w:tc>
        <w:tc>
          <w:tcPr>
            <w:tcW w:w="1090" w:type="pct"/>
            <w:noWrap/>
            <w:vAlign w:val="center"/>
          </w:tcPr>
          <w:p w:rsidR="002D6C73" w:rsidRDefault="00FB6868">
            <w:pPr>
              <w:jc w:val="center"/>
              <w:rPr>
                <w:color w:val="1C1C1C"/>
              </w:rPr>
            </w:pPr>
            <w:r>
              <w:rPr>
                <w:rFonts w:hint="eastAsia"/>
                <w:color w:val="1C1C1C"/>
              </w:rPr>
              <w:t>南宁市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首府城市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68</w:t>
            </w:r>
          </w:p>
        </w:tc>
        <w:tc>
          <w:tcPr>
            <w:tcW w:w="1091" w:type="pct"/>
            <w:noWrap/>
            <w:tcMar>
              <w:left w:w="28" w:type="dxa"/>
              <w:right w:w="28" w:type="dxa"/>
            </w:tcMar>
            <w:vAlign w:val="center"/>
          </w:tcPr>
          <w:p w:rsidR="002D6C73" w:rsidRDefault="00FB6868">
            <w:pPr>
              <w:jc w:val="center"/>
              <w:rPr>
                <w:color w:val="1C1C1C"/>
              </w:rPr>
            </w:pPr>
            <w:r>
              <w:rPr>
                <w:rFonts w:hint="eastAsia"/>
                <w:color w:val="1C1C1C"/>
                <w:spacing w:val="-8"/>
              </w:rPr>
              <w:t>广西壮族自治区</w:t>
            </w:r>
          </w:p>
        </w:tc>
        <w:tc>
          <w:tcPr>
            <w:tcW w:w="1090" w:type="pct"/>
            <w:noWrap/>
            <w:vAlign w:val="center"/>
          </w:tcPr>
          <w:p w:rsidR="002D6C73" w:rsidRDefault="00FB6868">
            <w:pPr>
              <w:jc w:val="center"/>
              <w:rPr>
                <w:color w:val="1C1C1C"/>
              </w:rPr>
            </w:pPr>
            <w:r>
              <w:rPr>
                <w:rFonts w:hint="eastAsia"/>
                <w:color w:val="1C1C1C"/>
              </w:rPr>
              <w:t>柳州市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69</w:t>
            </w:r>
          </w:p>
        </w:tc>
        <w:tc>
          <w:tcPr>
            <w:tcW w:w="1091" w:type="pct"/>
            <w:noWrap/>
            <w:tcMar>
              <w:left w:w="28" w:type="dxa"/>
              <w:right w:w="28" w:type="dxa"/>
            </w:tcMar>
            <w:vAlign w:val="center"/>
          </w:tcPr>
          <w:p w:rsidR="002D6C73" w:rsidRDefault="00FB6868">
            <w:pPr>
              <w:jc w:val="center"/>
              <w:rPr>
                <w:color w:val="1C1C1C"/>
              </w:rPr>
            </w:pPr>
            <w:r>
              <w:rPr>
                <w:rFonts w:hint="eastAsia"/>
                <w:color w:val="1C1C1C"/>
                <w:spacing w:val="-8"/>
              </w:rPr>
              <w:t>广西壮族自治区</w:t>
            </w:r>
          </w:p>
        </w:tc>
        <w:tc>
          <w:tcPr>
            <w:tcW w:w="1090" w:type="pct"/>
            <w:noWrap/>
            <w:vAlign w:val="center"/>
          </w:tcPr>
          <w:p w:rsidR="002D6C73" w:rsidRDefault="00FB6868">
            <w:pPr>
              <w:jc w:val="center"/>
              <w:rPr>
                <w:color w:val="1C1C1C"/>
              </w:rPr>
            </w:pPr>
            <w:r>
              <w:rPr>
                <w:rFonts w:hint="eastAsia"/>
                <w:color w:val="1C1C1C"/>
              </w:rPr>
              <w:t>桂林市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70</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海南省</w:t>
            </w:r>
          </w:p>
        </w:tc>
        <w:tc>
          <w:tcPr>
            <w:tcW w:w="1090" w:type="pct"/>
            <w:noWrap/>
            <w:vAlign w:val="center"/>
          </w:tcPr>
          <w:p w:rsidR="002D6C73" w:rsidRDefault="00FB6868">
            <w:pPr>
              <w:jc w:val="center"/>
              <w:rPr>
                <w:color w:val="1C1C1C"/>
              </w:rPr>
            </w:pPr>
            <w:r>
              <w:rPr>
                <w:rFonts w:hint="eastAsia"/>
                <w:color w:val="1C1C1C"/>
              </w:rPr>
              <w:t>海口市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71</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海南省</w:t>
            </w:r>
          </w:p>
        </w:tc>
        <w:tc>
          <w:tcPr>
            <w:tcW w:w="1090" w:type="pct"/>
            <w:noWrap/>
            <w:vAlign w:val="center"/>
          </w:tcPr>
          <w:p w:rsidR="002D6C73" w:rsidRDefault="00FB6868">
            <w:pPr>
              <w:jc w:val="center"/>
              <w:rPr>
                <w:color w:val="1C1C1C"/>
              </w:rPr>
            </w:pPr>
            <w:r>
              <w:rPr>
                <w:rFonts w:hint="eastAsia"/>
                <w:color w:val="1C1C1C"/>
              </w:rPr>
              <w:t>三亚市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72</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海南省</w:t>
            </w:r>
          </w:p>
        </w:tc>
        <w:tc>
          <w:tcPr>
            <w:tcW w:w="1090" w:type="pct"/>
            <w:noWrap/>
            <w:vAlign w:val="center"/>
          </w:tcPr>
          <w:p w:rsidR="002D6C73" w:rsidRDefault="00FB6868">
            <w:pPr>
              <w:jc w:val="center"/>
              <w:rPr>
                <w:color w:val="1C1C1C"/>
              </w:rPr>
            </w:pPr>
            <w:r>
              <w:rPr>
                <w:rFonts w:hint="eastAsia"/>
                <w:color w:val="1C1C1C"/>
              </w:rPr>
              <w:t>儋州市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73</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重庆市</w:t>
            </w:r>
          </w:p>
        </w:tc>
        <w:tc>
          <w:tcPr>
            <w:tcW w:w="1090" w:type="pct"/>
            <w:noWrap/>
            <w:vAlign w:val="center"/>
          </w:tcPr>
          <w:p w:rsidR="002D6C73" w:rsidRDefault="00FB6868">
            <w:pPr>
              <w:jc w:val="center"/>
              <w:rPr>
                <w:color w:val="1C1C1C"/>
              </w:rPr>
            </w:pPr>
            <w:r>
              <w:rPr>
                <w:rFonts w:hint="eastAsia"/>
                <w:color w:val="1C1C1C"/>
              </w:rPr>
              <w:t>重庆市</w:t>
            </w:r>
          </w:p>
        </w:tc>
        <w:tc>
          <w:tcPr>
            <w:tcW w:w="1454" w:type="pct"/>
            <w:noWrap/>
            <w:vAlign w:val="center"/>
          </w:tcPr>
          <w:p w:rsidR="002D6C73" w:rsidRDefault="00FB6868">
            <w:pPr>
              <w:jc w:val="center"/>
              <w:rPr>
                <w:color w:val="1C1C1C"/>
              </w:rPr>
            </w:pPr>
            <w:r>
              <w:rPr>
                <w:rFonts w:hint="eastAsia"/>
                <w:color w:val="1C1C1C"/>
              </w:rPr>
              <w:t>超大城市</w:t>
            </w:r>
          </w:p>
        </w:tc>
        <w:tc>
          <w:tcPr>
            <w:tcW w:w="908" w:type="pct"/>
            <w:noWrap/>
            <w:vAlign w:val="center"/>
          </w:tcPr>
          <w:p w:rsidR="002D6C73" w:rsidRDefault="00FB6868">
            <w:pPr>
              <w:jc w:val="center"/>
              <w:rPr>
                <w:color w:val="1C1C1C"/>
              </w:rPr>
            </w:pPr>
            <w:r>
              <w:rPr>
                <w:rFonts w:hint="eastAsia"/>
                <w:color w:val="1C1C1C"/>
              </w:rPr>
              <w:t>直辖市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74</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四川省</w:t>
            </w:r>
          </w:p>
        </w:tc>
        <w:tc>
          <w:tcPr>
            <w:tcW w:w="1090" w:type="pct"/>
            <w:noWrap/>
            <w:vAlign w:val="center"/>
          </w:tcPr>
          <w:p w:rsidR="002D6C73" w:rsidRDefault="00FB6868">
            <w:pPr>
              <w:jc w:val="center"/>
              <w:rPr>
                <w:color w:val="1C1C1C"/>
              </w:rPr>
            </w:pPr>
            <w:r>
              <w:rPr>
                <w:rFonts w:hint="eastAsia"/>
                <w:color w:val="1C1C1C"/>
              </w:rPr>
              <w:t>成都市</w:t>
            </w:r>
          </w:p>
        </w:tc>
        <w:tc>
          <w:tcPr>
            <w:tcW w:w="1454" w:type="pct"/>
            <w:noWrap/>
            <w:vAlign w:val="center"/>
          </w:tcPr>
          <w:p w:rsidR="002D6C73" w:rsidRDefault="00FB6868">
            <w:pPr>
              <w:jc w:val="center"/>
              <w:rPr>
                <w:color w:val="1C1C1C"/>
              </w:rPr>
            </w:pPr>
            <w:r>
              <w:rPr>
                <w:rFonts w:hint="eastAsia"/>
                <w:color w:val="1C1C1C"/>
              </w:rPr>
              <w:t>超大城市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75</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四川省</w:t>
            </w:r>
          </w:p>
        </w:tc>
        <w:tc>
          <w:tcPr>
            <w:tcW w:w="1090" w:type="pct"/>
            <w:noWrap/>
            <w:vAlign w:val="center"/>
          </w:tcPr>
          <w:p w:rsidR="002D6C73" w:rsidRDefault="00FB6868">
            <w:pPr>
              <w:jc w:val="center"/>
              <w:rPr>
                <w:color w:val="1C1C1C"/>
              </w:rPr>
            </w:pPr>
            <w:r>
              <w:rPr>
                <w:rFonts w:hint="eastAsia"/>
                <w:color w:val="1C1C1C"/>
              </w:rPr>
              <w:t>绵阳市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76</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四川省</w:t>
            </w:r>
          </w:p>
        </w:tc>
        <w:tc>
          <w:tcPr>
            <w:tcW w:w="1090" w:type="pct"/>
            <w:noWrap/>
            <w:vAlign w:val="center"/>
          </w:tcPr>
          <w:p w:rsidR="002D6C73" w:rsidRDefault="00FB6868">
            <w:pPr>
              <w:jc w:val="center"/>
              <w:rPr>
                <w:color w:val="1C1C1C"/>
              </w:rPr>
            </w:pPr>
            <w:r>
              <w:rPr>
                <w:rFonts w:hint="eastAsia"/>
                <w:color w:val="1C1C1C"/>
              </w:rPr>
              <w:t>南充市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77</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贵州省</w:t>
            </w:r>
          </w:p>
        </w:tc>
        <w:tc>
          <w:tcPr>
            <w:tcW w:w="1090" w:type="pct"/>
            <w:noWrap/>
            <w:vAlign w:val="center"/>
          </w:tcPr>
          <w:p w:rsidR="002D6C73" w:rsidRDefault="00FB6868">
            <w:pPr>
              <w:jc w:val="center"/>
              <w:rPr>
                <w:color w:val="1C1C1C"/>
              </w:rPr>
            </w:pPr>
            <w:r>
              <w:rPr>
                <w:rFonts w:hint="eastAsia"/>
                <w:color w:val="1C1C1C"/>
              </w:rPr>
              <w:t>贵阳市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78</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贵州省</w:t>
            </w:r>
          </w:p>
        </w:tc>
        <w:tc>
          <w:tcPr>
            <w:tcW w:w="1090" w:type="pct"/>
            <w:noWrap/>
            <w:vAlign w:val="center"/>
          </w:tcPr>
          <w:p w:rsidR="002D6C73" w:rsidRDefault="00FB6868">
            <w:pPr>
              <w:jc w:val="center"/>
              <w:rPr>
                <w:color w:val="1C1C1C"/>
              </w:rPr>
            </w:pPr>
            <w:r>
              <w:rPr>
                <w:rFonts w:hint="eastAsia"/>
                <w:color w:val="1C1C1C"/>
              </w:rPr>
              <w:t>遵义市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lastRenderedPageBreak/>
              <w:t>79</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贵州省</w:t>
            </w:r>
          </w:p>
        </w:tc>
        <w:tc>
          <w:tcPr>
            <w:tcW w:w="1090" w:type="pct"/>
            <w:noWrap/>
            <w:vAlign w:val="center"/>
          </w:tcPr>
          <w:p w:rsidR="002D6C73" w:rsidRDefault="00FB6868">
            <w:pPr>
              <w:jc w:val="center"/>
              <w:rPr>
                <w:color w:val="1C1C1C"/>
              </w:rPr>
            </w:pPr>
            <w:r>
              <w:rPr>
                <w:rFonts w:hint="eastAsia"/>
                <w:color w:val="1C1C1C"/>
              </w:rPr>
              <w:t>毕节市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80</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云南省</w:t>
            </w:r>
          </w:p>
        </w:tc>
        <w:tc>
          <w:tcPr>
            <w:tcW w:w="1090" w:type="pct"/>
            <w:noWrap/>
            <w:vAlign w:val="center"/>
          </w:tcPr>
          <w:p w:rsidR="002D6C73" w:rsidRDefault="00FB6868">
            <w:pPr>
              <w:jc w:val="center"/>
              <w:rPr>
                <w:color w:val="1C1C1C"/>
              </w:rPr>
            </w:pPr>
            <w:r>
              <w:rPr>
                <w:rFonts w:hint="eastAsia"/>
                <w:color w:val="1C1C1C"/>
              </w:rPr>
              <w:t>昆明市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81</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云南省</w:t>
            </w:r>
          </w:p>
        </w:tc>
        <w:tc>
          <w:tcPr>
            <w:tcW w:w="1090" w:type="pct"/>
            <w:noWrap/>
            <w:vAlign w:val="center"/>
          </w:tcPr>
          <w:p w:rsidR="002D6C73" w:rsidRDefault="00FB6868">
            <w:pPr>
              <w:jc w:val="center"/>
              <w:rPr>
                <w:color w:val="1C1C1C"/>
              </w:rPr>
            </w:pPr>
            <w:r>
              <w:rPr>
                <w:rFonts w:hint="eastAsia"/>
                <w:color w:val="1C1C1C"/>
              </w:rPr>
              <w:t>曲靖市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82</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云南省</w:t>
            </w:r>
          </w:p>
        </w:tc>
        <w:tc>
          <w:tcPr>
            <w:tcW w:w="1090" w:type="pct"/>
            <w:noWrap/>
            <w:vAlign w:val="center"/>
          </w:tcPr>
          <w:p w:rsidR="002D6C73" w:rsidRDefault="00FB6868">
            <w:pPr>
              <w:jc w:val="center"/>
              <w:rPr>
                <w:color w:val="1C1C1C"/>
              </w:rPr>
            </w:pPr>
            <w:r>
              <w:rPr>
                <w:rFonts w:hint="eastAsia"/>
                <w:color w:val="1C1C1C"/>
              </w:rPr>
              <w:t>玉溪市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83</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西藏自治区</w:t>
            </w:r>
          </w:p>
        </w:tc>
        <w:tc>
          <w:tcPr>
            <w:tcW w:w="1090" w:type="pct"/>
            <w:noWrap/>
            <w:vAlign w:val="center"/>
          </w:tcPr>
          <w:p w:rsidR="002D6C73" w:rsidRDefault="00FB6868">
            <w:pPr>
              <w:jc w:val="center"/>
              <w:rPr>
                <w:color w:val="1C1C1C"/>
              </w:rPr>
            </w:pPr>
            <w:r>
              <w:rPr>
                <w:rFonts w:hint="eastAsia"/>
                <w:color w:val="1C1C1C"/>
              </w:rPr>
              <w:t>拉萨市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首府城市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84</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西藏自治区</w:t>
            </w:r>
          </w:p>
        </w:tc>
        <w:tc>
          <w:tcPr>
            <w:tcW w:w="1090" w:type="pct"/>
            <w:noWrap/>
            <w:vAlign w:val="center"/>
          </w:tcPr>
          <w:p w:rsidR="002D6C73" w:rsidRDefault="00FB6868">
            <w:pPr>
              <w:jc w:val="center"/>
              <w:rPr>
                <w:color w:val="1C1C1C"/>
              </w:rPr>
            </w:pPr>
            <w:r>
              <w:rPr>
                <w:rFonts w:hint="eastAsia"/>
                <w:color w:val="1C1C1C"/>
              </w:rPr>
              <w:t>日喀则市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85</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西藏自治区</w:t>
            </w:r>
          </w:p>
        </w:tc>
        <w:tc>
          <w:tcPr>
            <w:tcW w:w="1090" w:type="pct"/>
            <w:noWrap/>
            <w:vAlign w:val="center"/>
          </w:tcPr>
          <w:p w:rsidR="002D6C73" w:rsidRDefault="00FB6868">
            <w:pPr>
              <w:jc w:val="center"/>
              <w:rPr>
                <w:color w:val="1C1C1C"/>
              </w:rPr>
            </w:pPr>
            <w:r>
              <w:rPr>
                <w:rFonts w:hint="eastAsia"/>
                <w:color w:val="1C1C1C"/>
              </w:rPr>
              <w:t>山南市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86</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陕西省</w:t>
            </w:r>
          </w:p>
        </w:tc>
        <w:tc>
          <w:tcPr>
            <w:tcW w:w="1090" w:type="pct"/>
            <w:noWrap/>
            <w:vAlign w:val="center"/>
          </w:tcPr>
          <w:p w:rsidR="002D6C73" w:rsidRDefault="00FB6868">
            <w:pPr>
              <w:jc w:val="center"/>
              <w:rPr>
                <w:color w:val="1C1C1C"/>
              </w:rPr>
            </w:pPr>
            <w:r>
              <w:rPr>
                <w:rFonts w:hint="eastAsia"/>
                <w:color w:val="1C1C1C"/>
              </w:rPr>
              <w:t>西安市</w:t>
            </w:r>
          </w:p>
        </w:tc>
        <w:tc>
          <w:tcPr>
            <w:tcW w:w="1454" w:type="pct"/>
            <w:noWrap/>
            <w:vAlign w:val="center"/>
          </w:tcPr>
          <w:p w:rsidR="002D6C73" w:rsidRDefault="00FB6868">
            <w:pPr>
              <w:jc w:val="center"/>
              <w:rPr>
                <w:color w:val="1C1C1C"/>
              </w:rPr>
            </w:pPr>
            <w:r>
              <w:rPr>
                <w:rFonts w:hint="eastAsia"/>
                <w:color w:val="1C1C1C"/>
              </w:rPr>
              <w:t>特大城市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87</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陕西省</w:t>
            </w:r>
          </w:p>
        </w:tc>
        <w:tc>
          <w:tcPr>
            <w:tcW w:w="1090" w:type="pct"/>
            <w:noWrap/>
            <w:vAlign w:val="center"/>
          </w:tcPr>
          <w:p w:rsidR="002D6C73" w:rsidRDefault="00FB6868">
            <w:pPr>
              <w:jc w:val="center"/>
              <w:rPr>
                <w:color w:val="1C1C1C"/>
              </w:rPr>
            </w:pPr>
            <w:r>
              <w:rPr>
                <w:rFonts w:hint="eastAsia"/>
                <w:color w:val="1C1C1C"/>
              </w:rPr>
              <w:t>宝鸡市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88</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陕西省</w:t>
            </w:r>
          </w:p>
        </w:tc>
        <w:tc>
          <w:tcPr>
            <w:tcW w:w="1090" w:type="pct"/>
            <w:noWrap/>
            <w:vAlign w:val="center"/>
          </w:tcPr>
          <w:p w:rsidR="002D6C73" w:rsidRDefault="00FB6868">
            <w:pPr>
              <w:jc w:val="center"/>
              <w:rPr>
                <w:color w:val="1C1C1C"/>
              </w:rPr>
            </w:pPr>
            <w:r>
              <w:rPr>
                <w:rFonts w:hint="eastAsia"/>
                <w:color w:val="1C1C1C"/>
              </w:rPr>
              <w:t>渭南市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89</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甘肃省</w:t>
            </w:r>
          </w:p>
        </w:tc>
        <w:tc>
          <w:tcPr>
            <w:tcW w:w="1090" w:type="pct"/>
            <w:noWrap/>
            <w:vAlign w:val="center"/>
          </w:tcPr>
          <w:p w:rsidR="002D6C73" w:rsidRDefault="00FB6868">
            <w:pPr>
              <w:jc w:val="center"/>
              <w:rPr>
                <w:color w:val="1C1C1C"/>
              </w:rPr>
            </w:pPr>
            <w:r>
              <w:rPr>
                <w:rFonts w:hint="eastAsia"/>
                <w:color w:val="1C1C1C"/>
              </w:rPr>
              <w:t>兰州市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90</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甘肃省</w:t>
            </w:r>
          </w:p>
        </w:tc>
        <w:tc>
          <w:tcPr>
            <w:tcW w:w="1090" w:type="pct"/>
            <w:noWrap/>
            <w:vAlign w:val="center"/>
          </w:tcPr>
          <w:p w:rsidR="002D6C73" w:rsidRDefault="00FB6868">
            <w:pPr>
              <w:jc w:val="center"/>
              <w:rPr>
                <w:color w:val="1C1C1C"/>
              </w:rPr>
            </w:pPr>
            <w:r>
              <w:rPr>
                <w:rFonts w:hint="eastAsia"/>
                <w:color w:val="1C1C1C"/>
              </w:rPr>
              <w:t>天水市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91</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甘肃省</w:t>
            </w:r>
          </w:p>
        </w:tc>
        <w:tc>
          <w:tcPr>
            <w:tcW w:w="1090" w:type="pct"/>
            <w:noWrap/>
            <w:vAlign w:val="center"/>
          </w:tcPr>
          <w:p w:rsidR="002D6C73" w:rsidRDefault="00FB6868">
            <w:pPr>
              <w:jc w:val="center"/>
              <w:rPr>
                <w:color w:val="1C1C1C"/>
              </w:rPr>
            </w:pPr>
            <w:proofErr w:type="gramStart"/>
            <w:r>
              <w:rPr>
                <w:rFonts w:hint="eastAsia"/>
                <w:color w:val="1C1C1C"/>
              </w:rPr>
              <w:t>庆阳市</w:t>
            </w:r>
            <w:proofErr w:type="gramEnd"/>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92</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青海省</w:t>
            </w:r>
          </w:p>
        </w:tc>
        <w:tc>
          <w:tcPr>
            <w:tcW w:w="1090" w:type="pct"/>
            <w:noWrap/>
            <w:vAlign w:val="center"/>
          </w:tcPr>
          <w:p w:rsidR="002D6C73" w:rsidRDefault="00FB6868">
            <w:pPr>
              <w:jc w:val="center"/>
              <w:rPr>
                <w:color w:val="1C1C1C"/>
              </w:rPr>
            </w:pPr>
            <w:r>
              <w:rPr>
                <w:rFonts w:hint="eastAsia"/>
                <w:color w:val="1C1C1C"/>
              </w:rPr>
              <w:t>西宁市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省会城市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93</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青海省</w:t>
            </w:r>
          </w:p>
        </w:tc>
        <w:tc>
          <w:tcPr>
            <w:tcW w:w="1090" w:type="pct"/>
            <w:noWrap/>
            <w:vAlign w:val="center"/>
          </w:tcPr>
          <w:p w:rsidR="002D6C73" w:rsidRDefault="00FB6868">
            <w:pPr>
              <w:jc w:val="center"/>
              <w:rPr>
                <w:color w:val="1C1C1C"/>
              </w:rPr>
            </w:pPr>
            <w:r>
              <w:rPr>
                <w:rFonts w:hint="eastAsia"/>
                <w:color w:val="1C1C1C"/>
              </w:rPr>
              <w:t>海东市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94</w:t>
            </w:r>
          </w:p>
        </w:tc>
        <w:tc>
          <w:tcPr>
            <w:tcW w:w="1091" w:type="pct"/>
            <w:noWrap/>
            <w:tcMar>
              <w:left w:w="28" w:type="dxa"/>
              <w:right w:w="28" w:type="dxa"/>
            </w:tcMar>
            <w:vAlign w:val="center"/>
          </w:tcPr>
          <w:p w:rsidR="002D6C73" w:rsidRDefault="00FB6868">
            <w:pPr>
              <w:jc w:val="center"/>
              <w:rPr>
                <w:color w:val="1C1C1C"/>
              </w:rPr>
            </w:pPr>
            <w:r>
              <w:rPr>
                <w:rFonts w:hint="eastAsia"/>
                <w:color w:val="1C1C1C"/>
              </w:rPr>
              <w:t>青海省</w:t>
            </w:r>
          </w:p>
        </w:tc>
        <w:tc>
          <w:tcPr>
            <w:tcW w:w="1090" w:type="pct"/>
            <w:noWrap/>
            <w:vAlign w:val="center"/>
          </w:tcPr>
          <w:p w:rsidR="002D6C73" w:rsidRDefault="00FB6868">
            <w:pPr>
              <w:jc w:val="center"/>
              <w:rPr>
                <w:color w:val="1C1C1C"/>
              </w:rPr>
            </w:pPr>
            <w:r>
              <w:rPr>
                <w:rFonts w:hint="eastAsia"/>
                <w:color w:val="1C1C1C"/>
              </w:rPr>
              <w:t>海西蒙古族藏族自治州</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95</w:t>
            </w:r>
          </w:p>
        </w:tc>
        <w:tc>
          <w:tcPr>
            <w:tcW w:w="1091" w:type="pct"/>
            <w:noWrap/>
            <w:tcMar>
              <w:left w:w="28" w:type="dxa"/>
              <w:right w:w="28" w:type="dxa"/>
            </w:tcMar>
            <w:vAlign w:val="center"/>
          </w:tcPr>
          <w:p w:rsidR="002D6C73" w:rsidRDefault="00FB6868">
            <w:pPr>
              <w:jc w:val="center"/>
              <w:rPr>
                <w:color w:val="1C1C1C"/>
              </w:rPr>
            </w:pPr>
            <w:r>
              <w:rPr>
                <w:rFonts w:hint="eastAsia"/>
                <w:color w:val="1C1C1C"/>
                <w:spacing w:val="-8"/>
              </w:rPr>
              <w:t>宁夏回族自治区</w:t>
            </w:r>
          </w:p>
        </w:tc>
        <w:tc>
          <w:tcPr>
            <w:tcW w:w="1090" w:type="pct"/>
            <w:noWrap/>
            <w:vAlign w:val="center"/>
          </w:tcPr>
          <w:p w:rsidR="002D6C73" w:rsidRDefault="00FB6868">
            <w:pPr>
              <w:jc w:val="center"/>
              <w:rPr>
                <w:color w:val="1C1C1C"/>
              </w:rPr>
            </w:pPr>
            <w:r>
              <w:rPr>
                <w:rFonts w:hint="eastAsia"/>
                <w:color w:val="1C1C1C"/>
              </w:rPr>
              <w:t>银川市</w:t>
            </w:r>
          </w:p>
        </w:tc>
        <w:tc>
          <w:tcPr>
            <w:tcW w:w="1454" w:type="pct"/>
            <w:noWrap/>
            <w:vAlign w:val="center"/>
          </w:tcPr>
          <w:p w:rsidR="002D6C73" w:rsidRDefault="00FB6868">
            <w:pPr>
              <w:jc w:val="center"/>
              <w:rPr>
                <w:color w:val="1C1C1C"/>
              </w:rPr>
            </w:pPr>
            <w:r>
              <w:rPr>
                <w:rFonts w:hint="eastAsia"/>
                <w:color w:val="1C1C1C"/>
              </w:rPr>
              <w:t>Ⅱ型大城市</w:t>
            </w:r>
          </w:p>
        </w:tc>
        <w:tc>
          <w:tcPr>
            <w:tcW w:w="908" w:type="pct"/>
            <w:noWrap/>
            <w:vAlign w:val="center"/>
          </w:tcPr>
          <w:p w:rsidR="002D6C73" w:rsidRDefault="00FB6868">
            <w:pPr>
              <w:jc w:val="center"/>
              <w:rPr>
                <w:color w:val="1C1C1C"/>
              </w:rPr>
            </w:pPr>
            <w:r>
              <w:rPr>
                <w:rFonts w:hint="eastAsia"/>
                <w:color w:val="1C1C1C"/>
              </w:rPr>
              <w:t>首府城市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96</w:t>
            </w:r>
          </w:p>
        </w:tc>
        <w:tc>
          <w:tcPr>
            <w:tcW w:w="1091" w:type="pct"/>
            <w:noWrap/>
            <w:tcMar>
              <w:left w:w="28" w:type="dxa"/>
              <w:right w:w="28" w:type="dxa"/>
            </w:tcMar>
            <w:vAlign w:val="center"/>
          </w:tcPr>
          <w:p w:rsidR="002D6C73" w:rsidRDefault="00FB6868">
            <w:pPr>
              <w:jc w:val="center"/>
              <w:rPr>
                <w:color w:val="1C1C1C"/>
              </w:rPr>
            </w:pPr>
            <w:r>
              <w:rPr>
                <w:rFonts w:hint="eastAsia"/>
                <w:color w:val="1C1C1C"/>
                <w:spacing w:val="-8"/>
              </w:rPr>
              <w:t>宁夏回族自治区</w:t>
            </w:r>
          </w:p>
        </w:tc>
        <w:tc>
          <w:tcPr>
            <w:tcW w:w="1090" w:type="pct"/>
            <w:noWrap/>
            <w:vAlign w:val="center"/>
          </w:tcPr>
          <w:p w:rsidR="002D6C73" w:rsidRDefault="00FB6868">
            <w:pPr>
              <w:jc w:val="center"/>
              <w:rPr>
                <w:color w:val="1C1C1C"/>
              </w:rPr>
            </w:pPr>
            <w:r>
              <w:rPr>
                <w:rFonts w:hint="eastAsia"/>
                <w:color w:val="1C1C1C"/>
              </w:rPr>
              <w:t>石嘴山市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spacing w:val="-8"/>
              </w:rPr>
            </w:pPr>
            <w:r>
              <w:rPr>
                <w:rFonts w:hint="eastAsia"/>
                <w:color w:val="1C1C1C"/>
                <w:spacing w:val="-8"/>
              </w:rPr>
              <w:t>97</w:t>
            </w:r>
          </w:p>
        </w:tc>
        <w:tc>
          <w:tcPr>
            <w:tcW w:w="1091" w:type="pct"/>
            <w:noWrap/>
            <w:tcMar>
              <w:left w:w="28" w:type="dxa"/>
              <w:right w:w="28" w:type="dxa"/>
            </w:tcMar>
            <w:vAlign w:val="center"/>
          </w:tcPr>
          <w:p w:rsidR="002D6C73" w:rsidRDefault="00FB6868">
            <w:pPr>
              <w:jc w:val="center"/>
              <w:rPr>
                <w:color w:val="1C1C1C"/>
                <w:spacing w:val="-8"/>
              </w:rPr>
            </w:pPr>
            <w:r>
              <w:rPr>
                <w:rFonts w:hint="eastAsia"/>
                <w:color w:val="1C1C1C"/>
                <w:spacing w:val="-8"/>
              </w:rPr>
              <w:t>宁夏回族自治区</w:t>
            </w:r>
          </w:p>
        </w:tc>
        <w:tc>
          <w:tcPr>
            <w:tcW w:w="1090" w:type="pct"/>
            <w:noWrap/>
            <w:vAlign w:val="center"/>
          </w:tcPr>
          <w:p w:rsidR="002D6C73" w:rsidRDefault="00FB6868">
            <w:pPr>
              <w:jc w:val="center"/>
              <w:rPr>
                <w:color w:val="1C1C1C"/>
              </w:rPr>
            </w:pPr>
            <w:r>
              <w:rPr>
                <w:rFonts w:hint="eastAsia"/>
                <w:color w:val="1C1C1C"/>
              </w:rPr>
              <w:t>吴忠市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spacing w:val="-8"/>
              </w:rPr>
            </w:pPr>
            <w:r>
              <w:rPr>
                <w:rFonts w:hint="eastAsia"/>
                <w:color w:val="1C1C1C"/>
                <w:spacing w:val="-8"/>
              </w:rPr>
              <w:t>98</w:t>
            </w:r>
          </w:p>
        </w:tc>
        <w:tc>
          <w:tcPr>
            <w:tcW w:w="1091" w:type="pct"/>
            <w:noWrap/>
            <w:tcMar>
              <w:left w:w="28" w:type="dxa"/>
              <w:right w:w="0" w:type="dxa"/>
            </w:tcMar>
            <w:vAlign w:val="center"/>
          </w:tcPr>
          <w:p w:rsidR="002D6C73" w:rsidRDefault="00FB6868">
            <w:pPr>
              <w:jc w:val="center"/>
              <w:rPr>
                <w:color w:val="1C1C1C"/>
                <w:spacing w:val="-16"/>
              </w:rPr>
            </w:pPr>
            <w:r>
              <w:rPr>
                <w:rFonts w:hint="eastAsia"/>
                <w:color w:val="1C1C1C"/>
                <w:spacing w:val="-16"/>
              </w:rPr>
              <w:t>新疆维吾尔自治区</w:t>
            </w:r>
          </w:p>
        </w:tc>
        <w:tc>
          <w:tcPr>
            <w:tcW w:w="1090" w:type="pct"/>
            <w:noWrap/>
            <w:vAlign w:val="center"/>
          </w:tcPr>
          <w:p w:rsidR="002D6C73" w:rsidRDefault="00FB6868">
            <w:pPr>
              <w:jc w:val="center"/>
              <w:rPr>
                <w:color w:val="1C1C1C"/>
              </w:rPr>
            </w:pPr>
            <w:r>
              <w:rPr>
                <w:rFonts w:hint="eastAsia"/>
                <w:color w:val="1C1C1C"/>
              </w:rPr>
              <w:t>乌鲁木齐市</w:t>
            </w:r>
          </w:p>
        </w:tc>
        <w:tc>
          <w:tcPr>
            <w:tcW w:w="1454" w:type="pct"/>
            <w:noWrap/>
            <w:vAlign w:val="center"/>
          </w:tcPr>
          <w:p w:rsidR="002D6C73" w:rsidRDefault="00FB6868">
            <w:pPr>
              <w:jc w:val="center"/>
              <w:rPr>
                <w:color w:val="1C1C1C"/>
              </w:rPr>
            </w:pPr>
            <w:r>
              <w:rPr>
                <w:rFonts w:hint="eastAsia"/>
                <w:color w:val="1C1C1C"/>
              </w:rPr>
              <w:t>Ⅰ型大城市</w:t>
            </w:r>
          </w:p>
        </w:tc>
        <w:tc>
          <w:tcPr>
            <w:tcW w:w="908" w:type="pct"/>
            <w:noWrap/>
            <w:vAlign w:val="center"/>
          </w:tcPr>
          <w:p w:rsidR="002D6C73" w:rsidRDefault="00FB6868">
            <w:pPr>
              <w:jc w:val="center"/>
              <w:rPr>
                <w:color w:val="1C1C1C"/>
              </w:rPr>
            </w:pPr>
            <w:r>
              <w:rPr>
                <w:rFonts w:hint="eastAsia"/>
                <w:color w:val="1C1C1C"/>
              </w:rPr>
              <w:t>首府城市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99</w:t>
            </w:r>
          </w:p>
        </w:tc>
        <w:tc>
          <w:tcPr>
            <w:tcW w:w="1091" w:type="pct"/>
            <w:noWrap/>
            <w:tcMar>
              <w:left w:w="28" w:type="dxa"/>
              <w:right w:w="0" w:type="dxa"/>
            </w:tcMar>
            <w:vAlign w:val="center"/>
          </w:tcPr>
          <w:p w:rsidR="002D6C73" w:rsidRDefault="00FB6868">
            <w:pPr>
              <w:jc w:val="center"/>
              <w:rPr>
                <w:color w:val="1C1C1C"/>
                <w:spacing w:val="-16"/>
              </w:rPr>
            </w:pPr>
            <w:r>
              <w:rPr>
                <w:rFonts w:hint="eastAsia"/>
                <w:color w:val="1C1C1C"/>
                <w:spacing w:val="-16"/>
              </w:rPr>
              <w:t>新疆维吾尔自治区</w:t>
            </w:r>
          </w:p>
        </w:tc>
        <w:tc>
          <w:tcPr>
            <w:tcW w:w="1090" w:type="pct"/>
            <w:noWrap/>
            <w:vAlign w:val="center"/>
          </w:tcPr>
          <w:p w:rsidR="002D6C73" w:rsidRDefault="00FB6868">
            <w:pPr>
              <w:jc w:val="center"/>
              <w:rPr>
                <w:color w:val="1C1C1C"/>
              </w:rPr>
            </w:pPr>
            <w:r>
              <w:rPr>
                <w:rFonts w:hint="eastAsia"/>
                <w:color w:val="1C1C1C"/>
              </w:rPr>
              <w:t>克拉玛依市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r w:rsidR="002D6C73">
        <w:trPr>
          <w:trHeight w:val="300"/>
          <w:jc w:val="center"/>
        </w:trPr>
        <w:tc>
          <w:tcPr>
            <w:tcW w:w="453" w:type="pct"/>
            <w:noWrap/>
            <w:vAlign w:val="center"/>
          </w:tcPr>
          <w:p w:rsidR="002D6C73" w:rsidRDefault="00FB6868">
            <w:pPr>
              <w:jc w:val="center"/>
              <w:rPr>
                <w:color w:val="1C1C1C"/>
              </w:rPr>
            </w:pPr>
            <w:r>
              <w:rPr>
                <w:rFonts w:hint="eastAsia"/>
                <w:color w:val="1C1C1C"/>
              </w:rPr>
              <w:t>100</w:t>
            </w:r>
          </w:p>
        </w:tc>
        <w:tc>
          <w:tcPr>
            <w:tcW w:w="1091" w:type="pct"/>
            <w:noWrap/>
            <w:tcMar>
              <w:left w:w="28" w:type="dxa"/>
              <w:right w:w="0" w:type="dxa"/>
            </w:tcMar>
            <w:vAlign w:val="center"/>
          </w:tcPr>
          <w:p w:rsidR="002D6C73" w:rsidRDefault="00FB6868">
            <w:pPr>
              <w:jc w:val="center"/>
              <w:rPr>
                <w:color w:val="1C1C1C"/>
                <w:spacing w:val="-16"/>
              </w:rPr>
            </w:pPr>
            <w:r>
              <w:rPr>
                <w:rFonts w:hint="eastAsia"/>
                <w:color w:val="1C1C1C"/>
                <w:spacing w:val="-16"/>
              </w:rPr>
              <w:t>新疆维吾尔自治区</w:t>
            </w:r>
          </w:p>
        </w:tc>
        <w:tc>
          <w:tcPr>
            <w:tcW w:w="1090" w:type="pct"/>
            <w:noWrap/>
            <w:vAlign w:val="center"/>
          </w:tcPr>
          <w:p w:rsidR="002D6C73" w:rsidRDefault="00FB6868">
            <w:pPr>
              <w:jc w:val="center"/>
              <w:rPr>
                <w:color w:val="1C1C1C"/>
              </w:rPr>
            </w:pPr>
            <w:r>
              <w:rPr>
                <w:rFonts w:hint="eastAsia"/>
                <w:color w:val="1C1C1C"/>
              </w:rPr>
              <w:t>哈密市</w:t>
            </w:r>
          </w:p>
        </w:tc>
        <w:tc>
          <w:tcPr>
            <w:tcW w:w="1454" w:type="pct"/>
            <w:noWrap/>
            <w:vAlign w:val="center"/>
          </w:tcPr>
          <w:p w:rsidR="002D6C73" w:rsidRDefault="00FB6868">
            <w:pPr>
              <w:jc w:val="center"/>
              <w:rPr>
                <w:color w:val="1C1C1C"/>
              </w:rPr>
            </w:pPr>
            <w:r>
              <w:rPr>
                <w:rFonts w:hint="eastAsia"/>
                <w:color w:val="1C1C1C"/>
              </w:rPr>
              <w:t>中小型城市</w:t>
            </w:r>
          </w:p>
        </w:tc>
        <w:tc>
          <w:tcPr>
            <w:tcW w:w="908" w:type="pct"/>
            <w:noWrap/>
            <w:vAlign w:val="center"/>
          </w:tcPr>
          <w:p w:rsidR="002D6C73" w:rsidRDefault="00FB6868">
            <w:pPr>
              <w:jc w:val="center"/>
              <w:rPr>
                <w:color w:val="1C1C1C"/>
              </w:rPr>
            </w:pPr>
            <w:r>
              <w:rPr>
                <w:rFonts w:hint="eastAsia"/>
                <w:color w:val="1C1C1C"/>
              </w:rPr>
              <w:t>其他城市</w:t>
            </w:r>
          </w:p>
        </w:tc>
      </w:tr>
    </w:tbl>
    <w:p w:rsidR="002D6C73" w:rsidRDefault="002D6C73">
      <w:pPr>
        <w:rPr>
          <w:color w:val="1C1C1C"/>
          <w:szCs w:val="32"/>
        </w:rPr>
        <w:sectPr w:rsidR="002D6C73">
          <w:pgSz w:w="11906" w:h="16838"/>
          <w:pgMar w:top="1531" w:right="1474" w:bottom="1531" w:left="1588" w:header="851" w:footer="992" w:gutter="0"/>
          <w:pgNumType w:fmt="numberInDash"/>
          <w:cols w:space="720"/>
          <w:docGrid w:type="linesAndChars" w:linePitch="312"/>
        </w:sectPr>
      </w:pPr>
    </w:p>
    <w:p w:rsidR="002D6C73" w:rsidRDefault="00FB6868">
      <w:pPr>
        <w:spacing w:beforeLines="50" w:before="156" w:afterLines="50" w:after="156" w:line="700" w:lineRule="exact"/>
        <w:rPr>
          <w:rFonts w:ascii="黑体" w:eastAsia="黑体" w:hAnsi="黑体"/>
          <w:color w:val="1C1C1C"/>
        </w:rPr>
      </w:pPr>
      <w:r>
        <w:rPr>
          <w:rFonts w:ascii="黑体" w:eastAsia="黑体" w:hAnsi="黑体" w:hint="eastAsia"/>
          <w:color w:val="1C1C1C"/>
        </w:rPr>
        <w:lastRenderedPageBreak/>
        <w:t>说  明：</w:t>
      </w:r>
    </w:p>
    <w:p w:rsidR="002D6C73" w:rsidRDefault="00FB6868">
      <w:pPr>
        <w:spacing w:line="600" w:lineRule="exact"/>
        <w:ind w:firstLineChars="200" w:firstLine="480"/>
        <w:jc w:val="both"/>
        <w:rPr>
          <w:color w:val="1C1C1C"/>
          <w:szCs w:val="32"/>
        </w:rPr>
      </w:pPr>
      <w:r>
        <w:rPr>
          <w:rFonts w:hint="eastAsia"/>
          <w:color w:val="1C1C1C"/>
          <w:szCs w:val="32"/>
        </w:rPr>
        <w:t>城市规模划分依据2014年国务院《关于调整城市规模划分标准的通知》。以城区常住人口为统计口径，将城市划分为五类七档。城区常住人口50万以下的城市为小城市，其中20万以上50万以下的城市为Ⅰ型小城市，20万以下的城市为Ⅱ型小城市；城区常住人口50万以上100万以下的城市为中等城市；城区常住人口100万以上500万以下的城市为大城市，其中300万以上500万以下的城市为Ⅰ型大城市，100万以上300万以下的城市为Ⅱ型大城市；城区常住人口500万以上1,000万以下的城市为特大城市；城区常住人口1,000万以上的城市为超大城市。本文将Ⅰ型小城市、Ⅱ型小城市和中等城市合并为中小型城市。</w:t>
      </w:r>
    </w:p>
    <w:p w:rsidR="002D6C73" w:rsidRDefault="00FB6868">
      <w:pPr>
        <w:spacing w:line="600" w:lineRule="exact"/>
        <w:ind w:firstLineChars="200" w:firstLine="480"/>
        <w:jc w:val="both"/>
        <w:rPr>
          <w:color w:val="1C1C1C"/>
          <w:szCs w:val="32"/>
        </w:rPr>
      </w:pPr>
      <w:r>
        <w:rPr>
          <w:rFonts w:hint="eastAsia"/>
          <w:color w:val="1C1C1C"/>
          <w:szCs w:val="32"/>
        </w:rPr>
        <w:t>城区常住人口数量主要依据</w:t>
      </w:r>
      <w:proofErr w:type="gramStart"/>
      <w:r>
        <w:rPr>
          <w:rFonts w:hint="eastAsia"/>
          <w:color w:val="1C1C1C"/>
          <w:szCs w:val="32"/>
        </w:rPr>
        <w:t>七普数据</w:t>
      </w:r>
      <w:proofErr w:type="gramEnd"/>
      <w:r>
        <w:rPr>
          <w:rFonts w:hint="eastAsia"/>
          <w:color w:val="1C1C1C"/>
          <w:szCs w:val="32"/>
        </w:rPr>
        <w:t>中城区人口</w:t>
      </w:r>
      <w:proofErr w:type="gramStart"/>
      <w:r>
        <w:rPr>
          <w:rFonts w:hint="eastAsia"/>
          <w:color w:val="1C1C1C"/>
          <w:szCs w:val="32"/>
        </w:rPr>
        <w:t>加总</w:t>
      </w:r>
      <w:proofErr w:type="gramEnd"/>
      <w:r>
        <w:rPr>
          <w:rFonts w:hint="eastAsia"/>
          <w:color w:val="1C1C1C"/>
          <w:szCs w:val="32"/>
        </w:rPr>
        <w:t>统计而来，只有5个城市由于特殊情况，统计口径略有不同，具体如下：儋州市不设区，</w:t>
      </w:r>
      <w:proofErr w:type="gramStart"/>
      <w:r>
        <w:rPr>
          <w:rFonts w:hint="eastAsia"/>
          <w:color w:val="1C1C1C"/>
          <w:szCs w:val="32"/>
        </w:rPr>
        <w:t>根据七普儋州</w:t>
      </w:r>
      <w:proofErr w:type="gramEnd"/>
      <w:r>
        <w:rPr>
          <w:rFonts w:hint="eastAsia"/>
          <w:color w:val="1C1C1C"/>
          <w:szCs w:val="32"/>
        </w:rPr>
        <w:t>市常住人口统计，海西蒙古族藏族自治州根据其州政府所在地德令哈市</w:t>
      </w:r>
      <w:proofErr w:type="gramStart"/>
      <w:r>
        <w:rPr>
          <w:rFonts w:hint="eastAsia"/>
          <w:color w:val="1C1C1C"/>
          <w:szCs w:val="32"/>
        </w:rPr>
        <w:t>的七普常住人</w:t>
      </w:r>
      <w:proofErr w:type="gramEnd"/>
      <w:r>
        <w:rPr>
          <w:rFonts w:hint="eastAsia"/>
          <w:color w:val="1C1C1C"/>
          <w:szCs w:val="32"/>
        </w:rPr>
        <w:t>口统计，乌鲁木齐市、克拉玛依市、哈密市分别根据</w:t>
      </w:r>
      <w:proofErr w:type="gramStart"/>
      <w:r>
        <w:rPr>
          <w:rFonts w:hint="eastAsia"/>
          <w:color w:val="1C1C1C"/>
          <w:szCs w:val="32"/>
        </w:rPr>
        <w:t>其七普常住人</w:t>
      </w:r>
      <w:proofErr w:type="gramEnd"/>
      <w:r>
        <w:rPr>
          <w:rFonts w:hint="eastAsia"/>
          <w:color w:val="1C1C1C"/>
          <w:szCs w:val="32"/>
        </w:rPr>
        <w:t>口统计。</w:t>
      </w:r>
    </w:p>
    <w:p w:rsidR="002D6C73" w:rsidRDefault="00FB6868">
      <w:pPr>
        <w:pStyle w:val="2"/>
        <w:jc w:val="center"/>
        <w:rPr>
          <w:rFonts w:ascii="黑体" w:eastAsia="黑体" w:hAnsi="黑体" w:cs="黑体"/>
          <w:b w:val="0"/>
          <w:bCs/>
          <w:i w:val="0"/>
          <w:iCs/>
          <w:sz w:val="32"/>
          <w:szCs w:val="28"/>
        </w:rPr>
      </w:pPr>
      <w:r>
        <w:rPr>
          <w:color w:val="1C1C1C"/>
        </w:rPr>
        <w:br w:type="page"/>
      </w:r>
      <w:bookmarkStart w:id="93" w:name="_Toc33719423"/>
      <w:bookmarkStart w:id="94" w:name="_Toc20586"/>
      <w:bookmarkStart w:id="95" w:name="_Toc1147524"/>
      <w:bookmarkStart w:id="96" w:name="_Toc62721789"/>
      <w:r>
        <w:rPr>
          <w:rFonts w:ascii="黑体" w:eastAsia="黑体" w:hAnsi="黑体" w:cs="黑体" w:hint="eastAsia"/>
          <w:b w:val="0"/>
          <w:bCs/>
          <w:i w:val="0"/>
          <w:iCs/>
          <w:sz w:val="32"/>
          <w:szCs w:val="28"/>
        </w:rPr>
        <w:lastRenderedPageBreak/>
        <w:t>附录3  根据地理位置对城市的划分结果</w:t>
      </w:r>
      <w:bookmarkEnd w:id="93"/>
      <w:bookmarkEnd w:id="94"/>
      <w:bookmarkEnd w:id="95"/>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330"/>
        <w:gridCol w:w="1544"/>
        <w:gridCol w:w="2681"/>
        <w:gridCol w:w="2681"/>
      </w:tblGrid>
      <w:tr w:rsidR="002D6C73">
        <w:trPr>
          <w:trHeight w:val="617"/>
          <w:tblHeader/>
          <w:jc w:val="center"/>
        </w:trPr>
        <w:tc>
          <w:tcPr>
            <w:tcW w:w="766" w:type="dxa"/>
            <w:shd w:val="clear" w:color="auto" w:fill="4472C4" w:themeFill="accent5"/>
            <w:noWrap/>
            <w:vAlign w:val="center"/>
          </w:tcPr>
          <w:p w:rsidR="002D6C73" w:rsidRDefault="00FB6868">
            <w:pPr>
              <w:spacing w:line="320" w:lineRule="exact"/>
              <w:jc w:val="center"/>
              <w:rPr>
                <w:rFonts w:ascii="黑体" w:eastAsia="黑体" w:hAnsi="黑体" w:cs="黑体"/>
                <w:bCs/>
                <w:color w:val="1C1C1C"/>
              </w:rPr>
            </w:pPr>
            <w:r>
              <w:rPr>
                <w:rFonts w:ascii="黑体" w:eastAsia="黑体" w:hAnsi="黑体" w:cs="黑体" w:hint="eastAsia"/>
                <w:bCs/>
                <w:color w:val="1C1C1C"/>
              </w:rPr>
              <w:t>序号</w:t>
            </w:r>
          </w:p>
        </w:tc>
        <w:tc>
          <w:tcPr>
            <w:tcW w:w="2330" w:type="dxa"/>
            <w:shd w:val="clear" w:color="auto" w:fill="4472C4" w:themeFill="accent5"/>
            <w:noWrap/>
            <w:vAlign w:val="center"/>
          </w:tcPr>
          <w:p w:rsidR="002D6C73" w:rsidRDefault="00FB6868">
            <w:pPr>
              <w:spacing w:line="320" w:lineRule="exact"/>
              <w:jc w:val="center"/>
              <w:rPr>
                <w:rFonts w:ascii="黑体" w:eastAsia="黑体" w:hAnsi="黑体" w:cs="黑体"/>
                <w:bCs/>
                <w:color w:val="1C1C1C"/>
              </w:rPr>
            </w:pPr>
            <w:r>
              <w:rPr>
                <w:rFonts w:ascii="黑体" w:eastAsia="黑体" w:hAnsi="黑体" w:cs="黑体" w:hint="eastAsia"/>
                <w:bCs/>
                <w:color w:val="1C1C1C"/>
              </w:rPr>
              <w:t>省份</w:t>
            </w:r>
          </w:p>
        </w:tc>
        <w:tc>
          <w:tcPr>
            <w:tcW w:w="1544" w:type="dxa"/>
            <w:shd w:val="clear" w:color="auto" w:fill="4472C4" w:themeFill="accent5"/>
            <w:noWrap/>
            <w:vAlign w:val="center"/>
          </w:tcPr>
          <w:p w:rsidR="002D6C73" w:rsidRDefault="00FB6868">
            <w:pPr>
              <w:spacing w:line="320" w:lineRule="exact"/>
              <w:jc w:val="center"/>
              <w:rPr>
                <w:rFonts w:ascii="黑体" w:eastAsia="黑体" w:hAnsi="黑体" w:cs="黑体"/>
                <w:bCs/>
                <w:color w:val="1C1C1C"/>
              </w:rPr>
            </w:pPr>
            <w:r>
              <w:rPr>
                <w:rFonts w:ascii="黑体" w:eastAsia="黑体" w:hAnsi="黑体" w:cs="黑体" w:hint="eastAsia"/>
                <w:bCs/>
                <w:color w:val="1C1C1C"/>
              </w:rPr>
              <w:t>城市</w:t>
            </w:r>
          </w:p>
        </w:tc>
        <w:tc>
          <w:tcPr>
            <w:tcW w:w="2681" w:type="dxa"/>
            <w:shd w:val="clear" w:color="auto" w:fill="4472C4" w:themeFill="accent5"/>
            <w:vAlign w:val="center"/>
          </w:tcPr>
          <w:p w:rsidR="002D6C73" w:rsidRDefault="00FB6868">
            <w:pPr>
              <w:spacing w:line="320" w:lineRule="exact"/>
              <w:jc w:val="center"/>
              <w:rPr>
                <w:rFonts w:ascii="黑体" w:eastAsia="黑体" w:hAnsi="黑体" w:cs="黑体"/>
                <w:bCs/>
                <w:color w:val="1C1C1C"/>
              </w:rPr>
            </w:pPr>
            <w:r>
              <w:rPr>
                <w:rFonts w:ascii="黑体" w:eastAsia="黑体" w:hAnsi="黑体" w:cs="黑体" w:hint="eastAsia"/>
                <w:bCs/>
                <w:color w:val="1C1C1C"/>
              </w:rPr>
              <w:t>按照三大地理区域划分</w:t>
            </w:r>
          </w:p>
        </w:tc>
        <w:tc>
          <w:tcPr>
            <w:tcW w:w="2681" w:type="dxa"/>
            <w:shd w:val="clear" w:color="auto" w:fill="4472C4" w:themeFill="accent5"/>
            <w:vAlign w:val="center"/>
          </w:tcPr>
          <w:p w:rsidR="002D6C73" w:rsidRDefault="00FB6868">
            <w:pPr>
              <w:spacing w:line="320" w:lineRule="exact"/>
              <w:jc w:val="center"/>
              <w:rPr>
                <w:rFonts w:ascii="黑体" w:eastAsia="黑体" w:hAnsi="黑体" w:cs="黑体"/>
                <w:bCs/>
                <w:color w:val="1C1C1C"/>
              </w:rPr>
            </w:pPr>
            <w:r>
              <w:rPr>
                <w:rFonts w:ascii="黑体" w:eastAsia="黑体" w:hAnsi="黑体" w:cs="黑体" w:hint="eastAsia"/>
                <w:bCs/>
                <w:color w:val="1C1C1C"/>
              </w:rPr>
              <w:t>按照七大地理区域划分</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w:t>
            </w:r>
          </w:p>
        </w:tc>
        <w:tc>
          <w:tcPr>
            <w:tcW w:w="2330" w:type="dxa"/>
            <w:noWrap/>
            <w:vAlign w:val="center"/>
          </w:tcPr>
          <w:p w:rsidR="002D6C73" w:rsidRDefault="00FB6868">
            <w:pPr>
              <w:jc w:val="center"/>
              <w:rPr>
                <w:color w:val="1C1C1C"/>
              </w:rPr>
            </w:pPr>
            <w:r>
              <w:rPr>
                <w:rFonts w:hint="eastAsia"/>
                <w:color w:val="1C1C1C"/>
              </w:rPr>
              <w:t>北京市</w:t>
            </w:r>
          </w:p>
        </w:tc>
        <w:tc>
          <w:tcPr>
            <w:tcW w:w="1544" w:type="dxa"/>
            <w:noWrap/>
            <w:vAlign w:val="center"/>
          </w:tcPr>
          <w:p w:rsidR="002D6C73" w:rsidRDefault="00FB6868">
            <w:pPr>
              <w:jc w:val="center"/>
              <w:rPr>
                <w:color w:val="1C1C1C"/>
              </w:rPr>
            </w:pPr>
            <w:r>
              <w:rPr>
                <w:rFonts w:hint="eastAsia"/>
                <w:color w:val="1C1C1C"/>
              </w:rPr>
              <w:t>北京市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2</w:t>
            </w:r>
          </w:p>
        </w:tc>
        <w:tc>
          <w:tcPr>
            <w:tcW w:w="2330" w:type="dxa"/>
            <w:noWrap/>
            <w:vAlign w:val="center"/>
          </w:tcPr>
          <w:p w:rsidR="002D6C73" w:rsidRDefault="00FB6868">
            <w:pPr>
              <w:jc w:val="center"/>
              <w:rPr>
                <w:color w:val="1C1C1C"/>
              </w:rPr>
            </w:pPr>
            <w:r>
              <w:rPr>
                <w:rFonts w:hint="eastAsia"/>
                <w:color w:val="1C1C1C"/>
              </w:rPr>
              <w:t>天津市</w:t>
            </w:r>
          </w:p>
        </w:tc>
        <w:tc>
          <w:tcPr>
            <w:tcW w:w="1544" w:type="dxa"/>
            <w:noWrap/>
            <w:vAlign w:val="center"/>
          </w:tcPr>
          <w:p w:rsidR="002D6C73" w:rsidRDefault="00FB6868">
            <w:pPr>
              <w:jc w:val="center"/>
              <w:rPr>
                <w:color w:val="1C1C1C"/>
              </w:rPr>
            </w:pPr>
            <w:r>
              <w:rPr>
                <w:rFonts w:hint="eastAsia"/>
                <w:color w:val="1C1C1C"/>
              </w:rPr>
              <w:t>天津市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3</w:t>
            </w:r>
          </w:p>
        </w:tc>
        <w:tc>
          <w:tcPr>
            <w:tcW w:w="2330" w:type="dxa"/>
            <w:noWrap/>
            <w:vAlign w:val="center"/>
          </w:tcPr>
          <w:p w:rsidR="002D6C73" w:rsidRDefault="00FB6868">
            <w:pPr>
              <w:jc w:val="center"/>
              <w:rPr>
                <w:color w:val="1C1C1C"/>
              </w:rPr>
            </w:pPr>
            <w:r>
              <w:rPr>
                <w:rFonts w:hint="eastAsia"/>
                <w:color w:val="1C1C1C"/>
              </w:rPr>
              <w:t>河北省</w:t>
            </w:r>
          </w:p>
        </w:tc>
        <w:tc>
          <w:tcPr>
            <w:tcW w:w="1544" w:type="dxa"/>
            <w:noWrap/>
            <w:vAlign w:val="center"/>
          </w:tcPr>
          <w:p w:rsidR="002D6C73" w:rsidRDefault="00FB6868">
            <w:pPr>
              <w:jc w:val="center"/>
              <w:rPr>
                <w:color w:val="1C1C1C"/>
              </w:rPr>
            </w:pPr>
            <w:r>
              <w:rPr>
                <w:rFonts w:hint="eastAsia"/>
                <w:color w:val="1C1C1C"/>
              </w:rPr>
              <w:t>石家庄市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4</w:t>
            </w:r>
          </w:p>
        </w:tc>
        <w:tc>
          <w:tcPr>
            <w:tcW w:w="2330" w:type="dxa"/>
            <w:noWrap/>
            <w:vAlign w:val="center"/>
          </w:tcPr>
          <w:p w:rsidR="002D6C73" w:rsidRDefault="00FB6868">
            <w:pPr>
              <w:jc w:val="center"/>
              <w:rPr>
                <w:color w:val="1C1C1C"/>
              </w:rPr>
            </w:pPr>
            <w:r>
              <w:rPr>
                <w:rFonts w:hint="eastAsia"/>
                <w:color w:val="1C1C1C"/>
              </w:rPr>
              <w:t>河北省</w:t>
            </w:r>
          </w:p>
        </w:tc>
        <w:tc>
          <w:tcPr>
            <w:tcW w:w="1544" w:type="dxa"/>
            <w:noWrap/>
            <w:vAlign w:val="center"/>
          </w:tcPr>
          <w:p w:rsidR="002D6C73" w:rsidRDefault="00FB6868">
            <w:pPr>
              <w:jc w:val="center"/>
              <w:rPr>
                <w:color w:val="1C1C1C"/>
              </w:rPr>
            </w:pPr>
            <w:r>
              <w:rPr>
                <w:rFonts w:hint="eastAsia"/>
                <w:color w:val="1C1C1C"/>
              </w:rPr>
              <w:t>唐山市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5</w:t>
            </w:r>
          </w:p>
        </w:tc>
        <w:tc>
          <w:tcPr>
            <w:tcW w:w="2330" w:type="dxa"/>
            <w:noWrap/>
            <w:vAlign w:val="center"/>
          </w:tcPr>
          <w:p w:rsidR="002D6C73" w:rsidRDefault="00FB6868">
            <w:pPr>
              <w:jc w:val="center"/>
              <w:rPr>
                <w:color w:val="1C1C1C"/>
              </w:rPr>
            </w:pPr>
            <w:r>
              <w:rPr>
                <w:rFonts w:hint="eastAsia"/>
                <w:color w:val="1C1C1C"/>
              </w:rPr>
              <w:t>河北省</w:t>
            </w:r>
          </w:p>
        </w:tc>
        <w:tc>
          <w:tcPr>
            <w:tcW w:w="1544" w:type="dxa"/>
            <w:noWrap/>
            <w:vAlign w:val="center"/>
          </w:tcPr>
          <w:p w:rsidR="002D6C73" w:rsidRDefault="00FB6868">
            <w:pPr>
              <w:jc w:val="center"/>
              <w:rPr>
                <w:color w:val="1C1C1C"/>
              </w:rPr>
            </w:pPr>
            <w:r>
              <w:rPr>
                <w:rFonts w:hint="eastAsia"/>
                <w:color w:val="1C1C1C"/>
              </w:rPr>
              <w:t>邯郸市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6</w:t>
            </w:r>
          </w:p>
        </w:tc>
        <w:tc>
          <w:tcPr>
            <w:tcW w:w="2330" w:type="dxa"/>
            <w:noWrap/>
            <w:vAlign w:val="center"/>
          </w:tcPr>
          <w:p w:rsidR="002D6C73" w:rsidRDefault="00FB6868">
            <w:pPr>
              <w:jc w:val="center"/>
              <w:rPr>
                <w:color w:val="1C1C1C"/>
              </w:rPr>
            </w:pPr>
            <w:r>
              <w:rPr>
                <w:rFonts w:hint="eastAsia"/>
                <w:color w:val="1C1C1C"/>
              </w:rPr>
              <w:t>河北省</w:t>
            </w:r>
          </w:p>
        </w:tc>
        <w:tc>
          <w:tcPr>
            <w:tcW w:w="1544" w:type="dxa"/>
            <w:noWrap/>
            <w:vAlign w:val="center"/>
          </w:tcPr>
          <w:p w:rsidR="002D6C73" w:rsidRDefault="00FB6868">
            <w:pPr>
              <w:jc w:val="center"/>
              <w:rPr>
                <w:color w:val="1C1C1C"/>
              </w:rPr>
            </w:pPr>
            <w:r>
              <w:rPr>
                <w:rFonts w:hint="eastAsia"/>
                <w:color w:val="1C1C1C"/>
              </w:rPr>
              <w:t>保定市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7</w:t>
            </w:r>
          </w:p>
        </w:tc>
        <w:tc>
          <w:tcPr>
            <w:tcW w:w="2330" w:type="dxa"/>
            <w:noWrap/>
            <w:vAlign w:val="center"/>
          </w:tcPr>
          <w:p w:rsidR="002D6C73" w:rsidRDefault="00FB6868">
            <w:pPr>
              <w:jc w:val="center"/>
              <w:rPr>
                <w:color w:val="1C1C1C"/>
              </w:rPr>
            </w:pPr>
            <w:r>
              <w:rPr>
                <w:rFonts w:hint="eastAsia"/>
                <w:color w:val="1C1C1C"/>
              </w:rPr>
              <w:t>山西省</w:t>
            </w:r>
          </w:p>
        </w:tc>
        <w:tc>
          <w:tcPr>
            <w:tcW w:w="1544" w:type="dxa"/>
            <w:noWrap/>
            <w:vAlign w:val="center"/>
          </w:tcPr>
          <w:p w:rsidR="002D6C73" w:rsidRDefault="00FB6868">
            <w:pPr>
              <w:jc w:val="center"/>
              <w:rPr>
                <w:color w:val="1C1C1C"/>
              </w:rPr>
            </w:pPr>
            <w:r>
              <w:rPr>
                <w:rFonts w:hint="eastAsia"/>
                <w:color w:val="1C1C1C"/>
              </w:rPr>
              <w:t>太原市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8</w:t>
            </w:r>
          </w:p>
        </w:tc>
        <w:tc>
          <w:tcPr>
            <w:tcW w:w="2330" w:type="dxa"/>
            <w:noWrap/>
            <w:vAlign w:val="center"/>
          </w:tcPr>
          <w:p w:rsidR="002D6C73" w:rsidRDefault="00FB6868">
            <w:pPr>
              <w:jc w:val="center"/>
              <w:rPr>
                <w:color w:val="1C1C1C"/>
              </w:rPr>
            </w:pPr>
            <w:r>
              <w:rPr>
                <w:rFonts w:hint="eastAsia"/>
                <w:color w:val="1C1C1C"/>
              </w:rPr>
              <w:t>山西省</w:t>
            </w:r>
          </w:p>
        </w:tc>
        <w:tc>
          <w:tcPr>
            <w:tcW w:w="1544" w:type="dxa"/>
            <w:noWrap/>
            <w:vAlign w:val="center"/>
          </w:tcPr>
          <w:p w:rsidR="002D6C73" w:rsidRDefault="00FB6868">
            <w:pPr>
              <w:jc w:val="center"/>
              <w:rPr>
                <w:color w:val="1C1C1C"/>
              </w:rPr>
            </w:pPr>
            <w:r>
              <w:rPr>
                <w:rFonts w:hint="eastAsia"/>
                <w:color w:val="1C1C1C"/>
              </w:rPr>
              <w:t>大同市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9</w:t>
            </w:r>
          </w:p>
        </w:tc>
        <w:tc>
          <w:tcPr>
            <w:tcW w:w="2330" w:type="dxa"/>
            <w:noWrap/>
            <w:vAlign w:val="center"/>
          </w:tcPr>
          <w:p w:rsidR="002D6C73" w:rsidRDefault="00FB6868">
            <w:pPr>
              <w:jc w:val="center"/>
              <w:rPr>
                <w:color w:val="1C1C1C"/>
              </w:rPr>
            </w:pPr>
            <w:r>
              <w:rPr>
                <w:rFonts w:hint="eastAsia"/>
                <w:color w:val="1C1C1C"/>
              </w:rPr>
              <w:t>山西省</w:t>
            </w:r>
          </w:p>
        </w:tc>
        <w:tc>
          <w:tcPr>
            <w:tcW w:w="1544" w:type="dxa"/>
            <w:noWrap/>
            <w:vAlign w:val="center"/>
          </w:tcPr>
          <w:p w:rsidR="002D6C73" w:rsidRDefault="00FB6868">
            <w:pPr>
              <w:jc w:val="center"/>
              <w:rPr>
                <w:color w:val="1C1C1C"/>
              </w:rPr>
            </w:pPr>
            <w:r>
              <w:rPr>
                <w:rFonts w:hint="eastAsia"/>
                <w:color w:val="1C1C1C"/>
              </w:rPr>
              <w:t>运城市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10</w:t>
            </w:r>
          </w:p>
        </w:tc>
        <w:tc>
          <w:tcPr>
            <w:tcW w:w="2330" w:type="dxa"/>
            <w:noWrap/>
            <w:vAlign w:val="center"/>
          </w:tcPr>
          <w:p w:rsidR="002D6C73" w:rsidRDefault="00FB6868">
            <w:pPr>
              <w:jc w:val="center"/>
              <w:rPr>
                <w:color w:val="1C1C1C"/>
              </w:rPr>
            </w:pPr>
            <w:r>
              <w:rPr>
                <w:rFonts w:hint="eastAsia"/>
                <w:color w:val="1C1C1C"/>
              </w:rPr>
              <w:t>内蒙古自治区</w:t>
            </w:r>
          </w:p>
        </w:tc>
        <w:tc>
          <w:tcPr>
            <w:tcW w:w="1544" w:type="dxa"/>
            <w:noWrap/>
            <w:vAlign w:val="center"/>
          </w:tcPr>
          <w:p w:rsidR="002D6C73" w:rsidRDefault="00FB6868">
            <w:pPr>
              <w:jc w:val="center"/>
              <w:rPr>
                <w:color w:val="1C1C1C"/>
              </w:rPr>
            </w:pPr>
            <w:r>
              <w:rPr>
                <w:rFonts w:hint="eastAsia"/>
                <w:color w:val="1C1C1C"/>
              </w:rPr>
              <w:t>呼和浩特市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11</w:t>
            </w:r>
          </w:p>
        </w:tc>
        <w:tc>
          <w:tcPr>
            <w:tcW w:w="2330" w:type="dxa"/>
            <w:noWrap/>
            <w:vAlign w:val="center"/>
          </w:tcPr>
          <w:p w:rsidR="002D6C73" w:rsidRDefault="00FB6868">
            <w:pPr>
              <w:jc w:val="center"/>
              <w:rPr>
                <w:color w:val="1C1C1C"/>
              </w:rPr>
            </w:pPr>
            <w:r>
              <w:rPr>
                <w:rFonts w:hint="eastAsia"/>
                <w:color w:val="1C1C1C"/>
              </w:rPr>
              <w:t>内蒙古自治区</w:t>
            </w:r>
          </w:p>
        </w:tc>
        <w:tc>
          <w:tcPr>
            <w:tcW w:w="1544" w:type="dxa"/>
            <w:noWrap/>
            <w:vAlign w:val="center"/>
          </w:tcPr>
          <w:p w:rsidR="002D6C73" w:rsidRDefault="00FB6868">
            <w:pPr>
              <w:jc w:val="center"/>
              <w:rPr>
                <w:color w:val="1C1C1C"/>
              </w:rPr>
            </w:pPr>
            <w:r>
              <w:rPr>
                <w:rFonts w:hint="eastAsia"/>
                <w:color w:val="1C1C1C"/>
              </w:rPr>
              <w:t>包头市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12</w:t>
            </w:r>
          </w:p>
        </w:tc>
        <w:tc>
          <w:tcPr>
            <w:tcW w:w="2330" w:type="dxa"/>
            <w:noWrap/>
            <w:vAlign w:val="center"/>
          </w:tcPr>
          <w:p w:rsidR="002D6C73" w:rsidRDefault="00FB6868">
            <w:pPr>
              <w:jc w:val="center"/>
              <w:rPr>
                <w:color w:val="1C1C1C"/>
              </w:rPr>
            </w:pPr>
            <w:r>
              <w:rPr>
                <w:rFonts w:hint="eastAsia"/>
                <w:color w:val="1C1C1C"/>
              </w:rPr>
              <w:t>内蒙古自治区</w:t>
            </w:r>
          </w:p>
        </w:tc>
        <w:tc>
          <w:tcPr>
            <w:tcW w:w="1544" w:type="dxa"/>
            <w:noWrap/>
            <w:vAlign w:val="center"/>
          </w:tcPr>
          <w:p w:rsidR="002D6C73" w:rsidRDefault="00FB6868">
            <w:pPr>
              <w:jc w:val="center"/>
              <w:rPr>
                <w:color w:val="1C1C1C"/>
              </w:rPr>
            </w:pPr>
            <w:r>
              <w:rPr>
                <w:rFonts w:hint="eastAsia"/>
                <w:color w:val="1C1C1C"/>
              </w:rPr>
              <w:t>鄂尔多斯市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华北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13</w:t>
            </w:r>
          </w:p>
        </w:tc>
        <w:tc>
          <w:tcPr>
            <w:tcW w:w="2330" w:type="dxa"/>
            <w:noWrap/>
            <w:vAlign w:val="center"/>
          </w:tcPr>
          <w:p w:rsidR="002D6C73" w:rsidRDefault="00FB6868">
            <w:pPr>
              <w:jc w:val="center"/>
              <w:rPr>
                <w:color w:val="1C1C1C"/>
              </w:rPr>
            </w:pPr>
            <w:r>
              <w:rPr>
                <w:rFonts w:hint="eastAsia"/>
                <w:color w:val="1C1C1C"/>
              </w:rPr>
              <w:t>辽宁省</w:t>
            </w:r>
          </w:p>
        </w:tc>
        <w:tc>
          <w:tcPr>
            <w:tcW w:w="1544" w:type="dxa"/>
            <w:noWrap/>
            <w:vAlign w:val="center"/>
          </w:tcPr>
          <w:p w:rsidR="002D6C73" w:rsidRDefault="00FB6868">
            <w:pPr>
              <w:jc w:val="center"/>
              <w:rPr>
                <w:color w:val="1C1C1C"/>
              </w:rPr>
            </w:pPr>
            <w:r>
              <w:rPr>
                <w:rFonts w:hint="eastAsia"/>
                <w:color w:val="1C1C1C"/>
              </w:rPr>
              <w:t>沈阳市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东北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14</w:t>
            </w:r>
          </w:p>
        </w:tc>
        <w:tc>
          <w:tcPr>
            <w:tcW w:w="2330" w:type="dxa"/>
            <w:noWrap/>
            <w:vAlign w:val="center"/>
          </w:tcPr>
          <w:p w:rsidR="002D6C73" w:rsidRDefault="00FB6868">
            <w:pPr>
              <w:jc w:val="center"/>
              <w:rPr>
                <w:color w:val="1C1C1C"/>
              </w:rPr>
            </w:pPr>
            <w:r>
              <w:rPr>
                <w:rFonts w:hint="eastAsia"/>
                <w:color w:val="1C1C1C"/>
              </w:rPr>
              <w:t>辽宁省</w:t>
            </w:r>
          </w:p>
        </w:tc>
        <w:tc>
          <w:tcPr>
            <w:tcW w:w="1544" w:type="dxa"/>
            <w:noWrap/>
            <w:vAlign w:val="center"/>
          </w:tcPr>
          <w:p w:rsidR="002D6C73" w:rsidRDefault="00FB6868">
            <w:pPr>
              <w:jc w:val="center"/>
              <w:rPr>
                <w:color w:val="1C1C1C"/>
              </w:rPr>
            </w:pPr>
            <w:r>
              <w:rPr>
                <w:rFonts w:hint="eastAsia"/>
                <w:color w:val="1C1C1C"/>
              </w:rPr>
              <w:t>大连市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东北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15</w:t>
            </w:r>
          </w:p>
        </w:tc>
        <w:tc>
          <w:tcPr>
            <w:tcW w:w="2330" w:type="dxa"/>
            <w:noWrap/>
            <w:vAlign w:val="center"/>
          </w:tcPr>
          <w:p w:rsidR="002D6C73" w:rsidRDefault="00FB6868">
            <w:pPr>
              <w:jc w:val="center"/>
              <w:rPr>
                <w:color w:val="1C1C1C"/>
              </w:rPr>
            </w:pPr>
            <w:r>
              <w:rPr>
                <w:rFonts w:hint="eastAsia"/>
                <w:color w:val="1C1C1C"/>
              </w:rPr>
              <w:t>辽宁省</w:t>
            </w:r>
          </w:p>
        </w:tc>
        <w:tc>
          <w:tcPr>
            <w:tcW w:w="1544" w:type="dxa"/>
            <w:noWrap/>
            <w:vAlign w:val="center"/>
          </w:tcPr>
          <w:p w:rsidR="002D6C73" w:rsidRDefault="00FB6868">
            <w:pPr>
              <w:jc w:val="center"/>
              <w:rPr>
                <w:color w:val="1C1C1C"/>
              </w:rPr>
            </w:pPr>
            <w:r>
              <w:rPr>
                <w:rFonts w:hint="eastAsia"/>
                <w:color w:val="1C1C1C"/>
              </w:rPr>
              <w:t>鞍山市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东北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16</w:t>
            </w:r>
          </w:p>
        </w:tc>
        <w:tc>
          <w:tcPr>
            <w:tcW w:w="2330" w:type="dxa"/>
            <w:noWrap/>
            <w:vAlign w:val="center"/>
          </w:tcPr>
          <w:p w:rsidR="002D6C73" w:rsidRDefault="00FB6868">
            <w:pPr>
              <w:jc w:val="center"/>
              <w:rPr>
                <w:color w:val="1C1C1C"/>
              </w:rPr>
            </w:pPr>
            <w:r>
              <w:rPr>
                <w:rFonts w:hint="eastAsia"/>
                <w:color w:val="1C1C1C"/>
              </w:rPr>
              <w:t>吉林省</w:t>
            </w:r>
          </w:p>
        </w:tc>
        <w:tc>
          <w:tcPr>
            <w:tcW w:w="1544" w:type="dxa"/>
            <w:noWrap/>
            <w:vAlign w:val="center"/>
          </w:tcPr>
          <w:p w:rsidR="002D6C73" w:rsidRDefault="00FB6868">
            <w:pPr>
              <w:jc w:val="center"/>
              <w:rPr>
                <w:color w:val="1C1C1C"/>
              </w:rPr>
            </w:pPr>
            <w:r>
              <w:rPr>
                <w:rFonts w:hint="eastAsia"/>
                <w:color w:val="1C1C1C"/>
              </w:rPr>
              <w:t>长春市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东北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17</w:t>
            </w:r>
          </w:p>
        </w:tc>
        <w:tc>
          <w:tcPr>
            <w:tcW w:w="2330" w:type="dxa"/>
            <w:noWrap/>
            <w:vAlign w:val="center"/>
          </w:tcPr>
          <w:p w:rsidR="002D6C73" w:rsidRDefault="00FB6868">
            <w:pPr>
              <w:jc w:val="center"/>
              <w:rPr>
                <w:color w:val="1C1C1C"/>
              </w:rPr>
            </w:pPr>
            <w:r>
              <w:rPr>
                <w:rFonts w:hint="eastAsia"/>
                <w:color w:val="1C1C1C"/>
              </w:rPr>
              <w:t>吉林省</w:t>
            </w:r>
          </w:p>
        </w:tc>
        <w:tc>
          <w:tcPr>
            <w:tcW w:w="1544" w:type="dxa"/>
            <w:noWrap/>
            <w:vAlign w:val="center"/>
          </w:tcPr>
          <w:p w:rsidR="002D6C73" w:rsidRDefault="00FB6868">
            <w:pPr>
              <w:jc w:val="center"/>
              <w:rPr>
                <w:color w:val="1C1C1C"/>
              </w:rPr>
            </w:pPr>
            <w:r>
              <w:rPr>
                <w:rFonts w:hint="eastAsia"/>
                <w:color w:val="1C1C1C"/>
              </w:rPr>
              <w:t>吉林市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东北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18</w:t>
            </w:r>
          </w:p>
        </w:tc>
        <w:tc>
          <w:tcPr>
            <w:tcW w:w="2330" w:type="dxa"/>
            <w:noWrap/>
            <w:vAlign w:val="center"/>
          </w:tcPr>
          <w:p w:rsidR="002D6C73" w:rsidRDefault="00FB6868">
            <w:pPr>
              <w:jc w:val="center"/>
              <w:rPr>
                <w:color w:val="1C1C1C"/>
              </w:rPr>
            </w:pPr>
            <w:r>
              <w:rPr>
                <w:rFonts w:hint="eastAsia"/>
                <w:color w:val="1C1C1C"/>
              </w:rPr>
              <w:t>吉林省</w:t>
            </w:r>
          </w:p>
        </w:tc>
        <w:tc>
          <w:tcPr>
            <w:tcW w:w="1544" w:type="dxa"/>
            <w:noWrap/>
            <w:vAlign w:val="center"/>
          </w:tcPr>
          <w:p w:rsidR="002D6C73" w:rsidRDefault="00FB6868">
            <w:pPr>
              <w:jc w:val="center"/>
              <w:rPr>
                <w:color w:val="1C1C1C"/>
              </w:rPr>
            </w:pPr>
            <w:r>
              <w:rPr>
                <w:rFonts w:hint="eastAsia"/>
                <w:color w:val="1C1C1C"/>
              </w:rPr>
              <w:t>松原市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东北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19</w:t>
            </w:r>
          </w:p>
        </w:tc>
        <w:tc>
          <w:tcPr>
            <w:tcW w:w="2330" w:type="dxa"/>
            <w:noWrap/>
            <w:vAlign w:val="center"/>
          </w:tcPr>
          <w:p w:rsidR="002D6C73" w:rsidRDefault="00FB6868">
            <w:pPr>
              <w:jc w:val="center"/>
              <w:rPr>
                <w:color w:val="1C1C1C"/>
              </w:rPr>
            </w:pPr>
            <w:r>
              <w:rPr>
                <w:rFonts w:hint="eastAsia"/>
                <w:color w:val="1C1C1C"/>
              </w:rPr>
              <w:t>黑龙江省</w:t>
            </w:r>
          </w:p>
        </w:tc>
        <w:tc>
          <w:tcPr>
            <w:tcW w:w="1544" w:type="dxa"/>
            <w:noWrap/>
            <w:vAlign w:val="center"/>
          </w:tcPr>
          <w:p w:rsidR="002D6C73" w:rsidRDefault="00FB6868">
            <w:pPr>
              <w:jc w:val="center"/>
              <w:rPr>
                <w:color w:val="1C1C1C"/>
              </w:rPr>
            </w:pPr>
            <w:r>
              <w:rPr>
                <w:rFonts w:hint="eastAsia"/>
                <w:color w:val="1C1C1C"/>
              </w:rPr>
              <w:t>哈尔滨市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东北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20</w:t>
            </w:r>
          </w:p>
        </w:tc>
        <w:tc>
          <w:tcPr>
            <w:tcW w:w="2330" w:type="dxa"/>
            <w:noWrap/>
            <w:vAlign w:val="center"/>
          </w:tcPr>
          <w:p w:rsidR="002D6C73" w:rsidRDefault="00FB6868">
            <w:pPr>
              <w:jc w:val="center"/>
              <w:rPr>
                <w:color w:val="1C1C1C"/>
              </w:rPr>
            </w:pPr>
            <w:r>
              <w:rPr>
                <w:rFonts w:hint="eastAsia"/>
                <w:color w:val="1C1C1C"/>
              </w:rPr>
              <w:t>黑龙江省</w:t>
            </w:r>
          </w:p>
        </w:tc>
        <w:tc>
          <w:tcPr>
            <w:tcW w:w="1544" w:type="dxa"/>
            <w:noWrap/>
            <w:vAlign w:val="center"/>
          </w:tcPr>
          <w:p w:rsidR="002D6C73" w:rsidRDefault="00FB6868">
            <w:pPr>
              <w:jc w:val="center"/>
              <w:rPr>
                <w:color w:val="1C1C1C"/>
              </w:rPr>
            </w:pPr>
            <w:r>
              <w:rPr>
                <w:rFonts w:hint="eastAsia"/>
                <w:color w:val="1C1C1C"/>
              </w:rPr>
              <w:t>齐齐哈尔市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东北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21</w:t>
            </w:r>
          </w:p>
        </w:tc>
        <w:tc>
          <w:tcPr>
            <w:tcW w:w="2330" w:type="dxa"/>
            <w:noWrap/>
            <w:vAlign w:val="center"/>
          </w:tcPr>
          <w:p w:rsidR="002D6C73" w:rsidRDefault="00FB6868">
            <w:pPr>
              <w:jc w:val="center"/>
              <w:rPr>
                <w:color w:val="1C1C1C"/>
              </w:rPr>
            </w:pPr>
            <w:r>
              <w:rPr>
                <w:rFonts w:hint="eastAsia"/>
                <w:color w:val="1C1C1C"/>
              </w:rPr>
              <w:t>黑龙江省</w:t>
            </w:r>
          </w:p>
        </w:tc>
        <w:tc>
          <w:tcPr>
            <w:tcW w:w="1544" w:type="dxa"/>
            <w:noWrap/>
            <w:vAlign w:val="center"/>
          </w:tcPr>
          <w:p w:rsidR="002D6C73" w:rsidRDefault="00FB6868">
            <w:pPr>
              <w:jc w:val="center"/>
              <w:rPr>
                <w:color w:val="1C1C1C"/>
              </w:rPr>
            </w:pPr>
            <w:r>
              <w:rPr>
                <w:rFonts w:hint="eastAsia"/>
                <w:color w:val="1C1C1C"/>
              </w:rPr>
              <w:t>大庆市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东北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22</w:t>
            </w:r>
          </w:p>
        </w:tc>
        <w:tc>
          <w:tcPr>
            <w:tcW w:w="2330" w:type="dxa"/>
            <w:noWrap/>
            <w:vAlign w:val="center"/>
          </w:tcPr>
          <w:p w:rsidR="002D6C73" w:rsidRDefault="00FB6868">
            <w:pPr>
              <w:jc w:val="center"/>
              <w:rPr>
                <w:color w:val="1C1C1C"/>
              </w:rPr>
            </w:pPr>
            <w:r>
              <w:rPr>
                <w:rFonts w:hint="eastAsia"/>
                <w:color w:val="1C1C1C"/>
              </w:rPr>
              <w:t>上海市</w:t>
            </w:r>
          </w:p>
        </w:tc>
        <w:tc>
          <w:tcPr>
            <w:tcW w:w="1544" w:type="dxa"/>
            <w:noWrap/>
            <w:vAlign w:val="center"/>
          </w:tcPr>
          <w:p w:rsidR="002D6C73" w:rsidRDefault="00FB6868">
            <w:pPr>
              <w:jc w:val="center"/>
              <w:rPr>
                <w:color w:val="1C1C1C"/>
              </w:rPr>
            </w:pPr>
            <w:r>
              <w:rPr>
                <w:rFonts w:hint="eastAsia"/>
                <w:color w:val="1C1C1C"/>
              </w:rPr>
              <w:t>上海市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23</w:t>
            </w:r>
          </w:p>
        </w:tc>
        <w:tc>
          <w:tcPr>
            <w:tcW w:w="2330" w:type="dxa"/>
            <w:noWrap/>
            <w:vAlign w:val="center"/>
          </w:tcPr>
          <w:p w:rsidR="002D6C73" w:rsidRDefault="00FB6868">
            <w:pPr>
              <w:jc w:val="center"/>
              <w:rPr>
                <w:color w:val="1C1C1C"/>
              </w:rPr>
            </w:pPr>
            <w:r>
              <w:rPr>
                <w:rFonts w:hint="eastAsia"/>
                <w:color w:val="1C1C1C"/>
              </w:rPr>
              <w:t>江苏省</w:t>
            </w:r>
          </w:p>
        </w:tc>
        <w:tc>
          <w:tcPr>
            <w:tcW w:w="1544" w:type="dxa"/>
            <w:noWrap/>
            <w:vAlign w:val="center"/>
          </w:tcPr>
          <w:p w:rsidR="002D6C73" w:rsidRDefault="00FB6868">
            <w:pPr>
              <w:jc w:val="center"/>
              <w:rPr>
                <w:color w:val="1C1C1C"/>
              </w:rPr>
            </w:pPr>
            <w:r>
              <w:rPr>
                <w:rFonts w:hint="eastAsia"/>
                <w:color w:val="1C1C1C"/>
              </w:rPr>
              <w:t>南京市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24</w:t>
            </w:r>
          </w:p>
        </w:tc>
        <w:tc>
          <w:tcPr>
            <w:tcW w:w="2330" w:type="dxa"/>
            <w:noWrap/>
            <w:vAlign w:val="center"/>
          </w:tcPr>
          <w:p w:rsidR="002D6C73" w:rsidRDefault="00FB6868">
            <w:pPr>
              <w:jc w:val="center"/>
              <w:rPr>
                <w:color w:val="1C1C1C"/>
              </w:rPr>
            </w:pPr>
            <w:r>
              <w:rPr>
                <w:rFonts w:hint="eastAsia"/>
                <w:color w:val="1C1C1C"/>
              </w:rPr>
              <w:t>江苏省</w:t>
            </w:r>
          </w:p>
        </w:tc>
        <w:tc>
          <w:tcPr>
            <w:tcW w:w="1544" w:type="dxa"/>
            <w:noWrap/>
            <w:vAlign w:val="center"/>
          </w:tcPr>
          <w:p w:rsidR="002D6C73" w:rsidRDefault="00FB6868">
            <w:pPr>
              <w:jc w:val="center"/>
              <w:rPr>
                <w:color w:val="1C1C1C"/>
              </w:rPr>
            </w:pPr>
            <w:r>
              <w:rPr>
                <w:rFonts w:hint="eastAsia"/>
                <w:color w:val="1C1C1C"/>
              </w:rPr>
              <w:t>无锡市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25</w:t>
            </w:r>
          </w:p>
        </w:tc>
        <w:tc>
          <w:tcPr>
            <w:tcW w:w="2330" w:type="dxa"/>
            <w:noWrap/>
            <w:vAlign w:val="center"/>
          </w:tcPr>
          <w:p w:rsidR="002D6C73" w:rsidRDefault="00FB6868">
            <w:pPr>
              <w:jc w:val="center"/>
              <w:rPr>
                <w:color w:val="1C1C1C"/>
              </w:rPr>
            </w:pPr>
            <w:r>
              <w:rPr>
                <w:rFonts w:hint="eastAsia"/>
                <w:color w:val="1C1C1C"/>
              </w:rPr>
              <w:t>江苏省</w:t>
            </w:r>
          </w:p>
        </w:tc>
        <w:tc>
          <w:tcPr>
            <w:tcW w:w="1544" w:type="dxa"/>
            <w:noWrap/>
            <w:vAlign w:val="center"/>
          </w:tcPr>
          <w:p w:rsidR="002D6C73" w:rsidRDefault="00FB6868">
            <w:pPr>
              <w:jc w:val="center"/>
              <w:rPr>
                <w:color w:val="1C1C1C"/>
              </w:rPr>
            </w:pPr>
            <w:r>
              <w:rPr>
                <w:rFonts w:hint="eastAsia"/>
                <w:color w:val="1C1C1C"/>
              </w:rPr>
              <w:t>徐州市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26</w:t>
            </w:r>
          </w:p>
        </w:tc>
        <w:tc>
          <w:tcPr>
            <w:tcW w:w="2330" w:type="dxa"/>
            <w:noWrap/>
            <w:vAlign w:val="center"/>
          </w:tcPr>
          <w:p w:rsidR="002D6C73" w:rsidRDefault="00FB6868">
            <w:pPr>
              <w:jc w:val="center"/>
              <w:rPr>
                <w:color w:val="1C1C1C"/>
              </w:rPr>
            </w:pPr>
            <w:r>
              <w:rPr>
                <w:rFonts w:hint="eastAsia"/>
                <w:color w:val="1C1C1C"/>
              </w:rPr>
              <w:t>江苏省</w:t>
            </w:r>
          </w:p>
        </w:tc>
        <w:tc>
          <w:tcPr>
            <w:tcW w:w="1544" w:type="dxa"/>
            <w:noWrap/>
            <w:vAlign w:val="center"/>
          </w:tcPr>
          <w:p w:rsidR="002D6C73" w:rsidRDefault="00FB6868">
            <w:pPr>
              <w:jc w:val="center"/>
              <w:rPr>
                <w:color w:val="1C1C1C"/>
              </w:rPr>
            </w:pPr>
            <w:r>
              <w:rPr>
                <w:rFonts w:hint="eastAsia"/>
                <w:color w:val="1C1C1C"/>
              </w:rPr>
              <w:t>常州市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27</w:t>
            </w:r>
          </w:p>
        </w:tc>
        <w:tc>
          <w:tcPr>
            <w:tcW w:w="2330" w:type="dxa"/>
            <w:noWrap/>
            <w:vAlign w:val="center"/>
          </w:tcPr>
          <w:p w:rsidR="002D6C73" w:rsidRDefault="00FB6868">
            <w:pPr>
              <w:jc w:val="center"/>
              <w:rPr>
                <w:color w:val="1C1C1C"/>
              </w:rPr>
            </w:pPr>
            <w:r>
              <w:rPr>
                <w:rFonts w:hint="eastAsia"/>
                <w:color w:val="1C1C1C"/>
              </w:rPr>
              <w:t>江苏省</w:t>
            </w:r>
          </w:p>
        </w:tc>
        <w:tc>
          <w:tcPr>
            <w:tcW w:w="1544" w:type="dxa"/>
            <w:noWrap/>
            <w:vAlign w:val="center"/>
          </w:tcPr>
          <w:p w:rsidR="002D6C73" w:rsidRDefault="00FB6868">
            <w:pPr>
              <w:jc w:val="center"/>
              <w:rPr>
                <w:color w:val="1C1C1C"/>
              </w:rPr>
            </w:pPr>
            <w:r>
              <w:rPr>
                <w:rFonts w:hint="eastAsia"/>
                <w:color w:val="1C1C1C"/>
              </w:rPr>
              <w:t>苏州市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28</w:t>
            </w:r>
          </w:p>
        </w:tc>
        <w:tc>
          <w:tcPr>
            <w:tcW w:w="2330" w:type="dxa"/>
            <w:noWrap/>
            <w:vAlign w:val="center"/>
          </w:tcPr>
          <w:p w:rsidR="002D6C73" w:rsidRDefault="00FB6868">
            <w:pPr>
              <w:jc w:val="center"/>
              <w:rPr>
                <w:color w:val="1C1C1C"/>
              </w:rPr>
            </w:pPr>
            <w:r>
              <w:rPr>
                <w:rFonts w:hint="eastAsia"/>
                <w:color w:val="1C1C1C"/>
              </w:rPr>
              <w:t>江苏省</w:t>
            </w:r>
          </w:p>
        </w:tc>
        <w:tc>
          <w:tcPr>
            <w:tcW w:w="1544" w:type="dxa"/>
            <w:noWrap/>
            <w:vAlign w:val="center"/>
          </w:tcPr>
          <w:p w:rsidR="002D6C73" w:rsidRDefault="00FB6868">
            <w:pPr>
              <w:jc w:val="center"/>
              <w:rPr>
                <w:color w:val="1C1C1C"/>
              </w:rPr>
            </w:pPr>
            <w:r>
              <w:rPr>
                <w:rFonts w:hint="eastAsia"/>
                <w:color w:val="1C1C1C"/>
              </w:rPr>
              <w:t>南通市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29</w:t>
            </w:r>
          </w:p>
        </w:tc>
        <w:tc>
          <w:tcPr>
            <w:tcW w:w="2330" w:type="dxa"/>
            <w:noWrap/>
            <w:vAlign w:val="center"/>
          </w:tcPr>
          <w:p w:rsidR="002D6C73" w:rsidRDefault="00FB6868">
            <w:pPr>
              <w:jc w:val="center"/>
              <w:rPr>
                <w:color w:val="1C1C1C"/>
              </w:rPr>
            </w:pPr>
            <w:r>
              <w:rPr>
                <w:rFonts w:hint="eastAsia"/>
                <w:color w:val="1C1C1C"/>
              </w:rPr>
              <w:t>江苏省</w:t>
            </w:r>
          </w:p>
        </w:tc>
        <w:tc>
          <w:tcPr>
            <w:tcW w:w="1544" w:type="dxa"/>
            <w:noWrap/>
            <w:vAlign w:val="center"/>
          </w:tcPr>
          <w:p w:rsidR="002D6C73" w:rsidRDefault="00FB6868">
            <w:pPr>
              <w:jc w:val="center"/>
              <w:rPr>
                <w:color w:val="1C1C1C"/>
              </w:rPr>
            </w:pPr>
            <w:r>
              <w:rPr>
                <w:rFonts w:hint="eastAsia"/>
                <w:color w:val="1C1C1C"/>
              </w:rPr>
              <w:t>盐城市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30</w:t>
            </w:r>
          </w:p>
        </w:tc>
        <w:tc>
          <w:tcPr>
            <w:tcW w:w="2330" w:type="dxa"/>
            <w:noWrap/>
            <w:vAlign w:val="center"/>
          </w:tcPr>
          <w:p w:rsidR="002D6C73" w:rsidRDefault="00FB6868">
            <w:pPr>
              <w:jc w:val="center"/>
              <w:rPr>
                <w:color w:val="1C1C1C"/>
              </w:rPr>
            </w:pPr>
            <w:r>
              <w:rPr>
                <w:rFonts w:hint="eastAsia"/>
                <w:color w:val="1C1C1C"/>
              </w:rPr>
              <w:t>浙江省</w:t>
            </w:r>
          </w:p>
        </w:tc>
        <w:tc>
          <w:tcPr>
            <w:tcW w:w="1544" w:type="dxa"/>
            <w:noWrap/>
            <w:vAlign w:val="center"/>
          </w:tcPr>
          <w:p w:rsidR="002D6C73" w:rsidRDefault="00FB6868">
            <w:pPr>
              <w:jc w:val="center"/>
              <w:rPr>
                <w:color w:val="1C1C1C"/>
              </w:rPr>
            </w:pPr>
            <w:r>
              <w:rPr>
                <w:rFonts w:hint="eastAsia"/>
                <w:color w:val="1C1C1C"/>
              </w:rPr>
              <w:t>杭州市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31</w:t>
            </w:r>
          </w:p>
        </w:tc>
        <w:tc>
          <w:tcPr>
            <w:tcW w:w="2330" w:type="dxa"/>
            <w:noWrap/>
            <w:vAlign w:val="center"/>
          </w:tcPr>
          <w:p w:rsidR="002D6C73" w:rsidRDefault="00FB6868">
            <w:pPr>
              <w:jc w:val="center"/>
              <w:rPr>
                <w:color w:val="1C1C1C"/>
              </w:rPr>
            </w:pPr>
            <w:r>
              <w:rPr>
                <w:rFonts w:hint="eastAsia"/>
                <w:color w:val="1C1C1C"/>
              </w:rPr>
              <w:t>浙江省</w:t>
            </w:r>
          </w:p>
        </w:tc>
        <w:tc>
          <w:tcPr>
            <w:tcW w:w="1544" w:type="dxa"/>
            <w:noWrap/>
            <w:vAlign w:val="center"/>
          </w:tcPr>
          <w:p w:rsidR="002D6C73" w:rsidRDefault="00FB6868">
            <w:pPr>
              <w:jc w:val="center"/>
              <w:rPr>
                <w:color w:val="1C1C1C"/>
              </w:rPr>
            </w:pPr>
            <w:r>
              <w:rPr>
                <w:rFonts w:hint="eastAsia"/>
                <w:color w:val="1C1C1C"/>
              </w:rPr>
              <w:t>宁波市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32</w:t>
            </w:r>
          </w:p>
        </w:tc>
        <w:tc>
          <w:tcPr>
            <w:tcW w:w="2330" w:type="dxa"/>
            <w:noWrap/>
            <w:vAlign w:val="center"/>
          </w:tcPr>
          <w:p w:rsidR="002D6C73" w:rsidRDefault="00FB6868">
            <w:pPr>
              <w:jc w:val="center"/>
              <w:rPr>
                <w:color w:val="1C1C1C"/>
              </w:rPr>
            </w:pPr>
            <w:r>
              <w:rPr>
                <w:rFonts w:hint="eastAsia"/>
                <w:color w:val="1C1C1C"/>
              </w:rPr>
              <w:t>浙江省</w:t>
            </w:r>
          </w:p>
        </w:tc>
        <w:tc>
          <w:tcPr>
            <w:tcW w:w="1544" w:type="dxa"/>
            <w:noWrap/>
            <w:vAlign w:val="center"/>
          </w:tcPr>
          <w:p w:rsidR="002D6C73" w:rsidRDefault="00FB6868">
            <w:pPr>
              <w:jc w:val="center"/>
              <w:rPr>
                <w:color w:val="1C1C1C"/>
              </w:rPr>
            </w:pPr>
            <w:r>
              <w:rPr>
                <w:rFonts w:hint="eastAsia"/>
                <w:color w:val="1C1C1C"/>
              </w:rPr>
              <w:t>温州市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33</w:t>
            </w:r>
          </w:p>
        </w:tc>
        <w:tc>
          <w:tcPr>
            <w:tcW w:w="2330" w:type="dxa"/>
            <w:noWrap/>
            <w:vAlign w:val="center"/>
          </w:tcPr>
          <w:p w:rsidR="002D6C73" w:rsidRDefault="00FB6868">
            <w:pPr>
              <w:jc w:val="center"/>
              <w:rPr>
                <w:color w:val="1C1C1C"/>
              </w:rPr>
            </w:pPr>
            <w:r>
              <w:rPr>
                <w:rFonts w:hint="eastAsia"/>
                <w:color w:val="1C1C1C"/>
              </w:rPr>
              <w:t>浙江省</w:t>
            </w:r>
          </w:p>
        </w:tc>
        <w:tc>
          <w:tcPr>
            <w:tcW w:w="1544" w:type="dxa"/>
            <w:noWrap/>
            <w:vAlign w:val="center"/>
          </w:tcPr>
          <w:p w:rsidR="002D6C73" w:rsidRDefault="00FB6868">
            <w:pPr>
              <w:jc w:val="center"/>
              <w:rPr>
                <w:color w:val="1C1C1C"/>
              </w:rPr>
            </w:pPr>
            <w:r>
              <w:rPr>
                <w:rFonts w:hint="eastAsia"/>
                <w:color w:val="1C1C1C"/>
              </w:rPr>
              <w:t>嘉兴市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34</w:t>
            </w:r>
          </w:p>
        </w:tc>
        <w:tc>
          <w:tcPr>
            <w:tcW w:w="2330" w:type="dxa"/>
            <w:noWrap/>
            <w:vAlign w:val="center"/>
          </w:tcPr>
          <w:p w:rsidR="002D6C73" w:rsidRDefault="00FB6868">
            <w:pPr>
              <w:jc w:val="center"/>
              <w:rPr>
                <w:color w:val="1C1C1C"/>
              </w:rPr>
            </w:pPr>
            <w:r>
              <w:rPr>
                <w:rFonts w:hint="eastAsia"/>
                <w:color w:val="1C1C1C"/>
              </w:rPr>
              <w:t>浙江省</w:t>
            </w:r>
          </w:p>
        </w:tc>
        <w:tc>
          <w:tcPr>
            <w:tcW w:w="1544" w:type="dxa"/>
            <w:noWrap/>
            <w:vAlign w:val="center"/>
          </w:tcPr>
          <w:p w:rsidR="002D6C73" w:rsidRDefault="00FB6868">
            <w:pPr>
              <w:jc w:val="center"/>
              <w:rPr>
                <w:color w:val="1C1C1C"/>
              </w:rPr>
            </w:pPr>
            <w:r>
              <w:rPr>
                <w:rFonts w:hint="eastAsia"/>
                <w:color w:val="1C1C1C"/>
              </w:rPr>
              <w:t>绍兴市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35</w:t>
            </w:r>
          </w:p>
        </w:tc>
        <w:tc>
          <w:tcPr>
            <w:tcW w:w="2330" w:type="dxa"/>
            <w:noWrap/>
            <w:vAlign w:val="center"/>
          </w:tcPr>
          <w:p w:rsidR="002D6C73" w:rsidRDefault="00FB6868">
            <w:pPr>
              <w:jc w:val="center"/>
              <w:rPr>
                <w:color w:val="1C1C1C"/>
              </w:rPr>
            </w:pPr>
            <w:r>
              <w:rPr>
                <w:rFonts w:hint="eastAsia"/>
                <w:color w:val="1C1C1C"/>
              </w:rPr>
              <w:t>浙江省</w:t>
            </w:r>
          </w:p>
        </w:tc>
        <w:tc>
          <w:tcPr>
            <w:tcW w:w="1544" w:type="dxa"/>
            <w:noWrap/>
            <w:vAlign w:val="center"/>
          </w:tcPr>
          <w:p w:rsidR="002D6C73" w:rsidRDefault="00FB6868">
            <w:pPr>
              <w:jc w:val="center"/>
              <w:rPr>
                <w:color w:val="1C1C1C"/>
              </w:rPr>
            </w:pPr>
            <w:r>
              <w:rPr>
                <w:rFonts w:hint="eastAsia"/>
                <w:color w:val="1C1C1C"/>
              </w:rPr>
              <w:t>金华市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lastRenderedPageBreak/>
              <w:t>36</w:t>
            </w:r>
          </w:p>
        </w:tc>
        <w:tc>
          <w:tcPr>
            <w:tcW w:w="2330" w:type="dxa"/>
            <w:noWrap/>
            <w:vAlign w:val="center"/>
          </w:tcPr>
          <w:p w:rsidR="002D6C73" w:rsidRDefault="00FB6868">
            <w:pPr>
              <w:jc w:val="center"/>
              <w:rPr>
                <w:color w:val="1C1C1C"/>
              </w:rPr>
            </w:pPr>
            <w:r>
              <w:rPr>
                <w:rFonts w:hint="eastAsia"/>
                <w:color w:val="1C1C1C"/>
              </w:rPr>
              <w:t>浙江省</w:t>
            </w:r>
          </w:p>
        </w:tc>
        <w:tc>
          <w:tcPr>
            <w:tcW w:w="1544" w:type="dxa"/>
            <w:noWrap/>
            <w:vAlign w:val="center"/>
          </w:tcPr>
          <w:p w:rsidR="002D6C73" w:rsidRDefault="00FB6868">
            <w:pPr>
              <w:jc w:val="center"/>
              <w:rPr>
                <w:color w:val="1C1C1C"/>
              </w:rPr>
            </w:pPr>
            <w:r>
              <w:rPr>
                <w:rFonts w:hint="eastAsia"/>
                <w:color w:val="1C1C1C"/>
              </w:rPr>
              <w:t>台州市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37</w:t>
            </w:r>
          </w:p>
        </w:tc>
        <w:tc>
          <w:tcPr>
            <w:tcW w:w="2330" w:type="dxa"/>
            <w:noWrap/>
            <w:vAlign w:val="center"/>
          </w:tcPr>
          <w:p w:rsidR="002D6C73" w:rsidRDefault="00FB6868">
            <w:pPr>
              <w:jc w:val="center"/>
              <w:rPr>
                <w:color w:val="1C1C1C"/>
              </w:rPr>
            </w:pPr>
            <w:r>
              <w:rPr>
                <w:rFonts w:hint="eastAsia"/>
                <w:color w:val="1C1C1C"/>
              </w:rPr>
              <w:t>安徽省</w:t>
            </w:r>
          </w:p>
        </w:tc>
        <w:tc>
          <w:tcPr>
            <w:tcW w:w="1544" w:type="dxa"/>
            <w:noWrap/>
            <w:vAlign w:val="center"/>
          </w:tcPr>
          <w:p w:rsidR="002D6C73" w:rsidRDefault="00FB6868">
            <w:pPr>
              <w:jc w:val="center"/>
              <w:rPr>
                <w:color w:val="1C1C1C"/>
              </w:rPr>
            </w:pPr>
            <w:r>
              <w:rPr>
                <w:rFonts w:hint="eastAsia"/>
                <w:color w:val="1C1C1C"/>
              </w:rPr>
              <w:t>合肥市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38</w:t>
            </w:r>
          </w:p>
        </w:tc>
        <w:tc>
          <w:tcPr>
            <w:tcW w:w="2330" w:type="dxa"/>
            <w:noWrap/>
            <w:vAlign w:val="center"/>
          </w:tcPr>
          <w:p w:rsidR="002D6C73" w:rsidRDefault="00FB6868">
            <w:pPr>
              <w:jc w:val="center"/>
              <w:rPr>
                <w:color w:val="1C1C1C"/>
              </w:rPr>
            </w:pPr>
            <w:r>
              <w:rPr>
                <w:rFonts w:hint="eastAsia"/>
                <w:color w:val="1C1C1C"/>
              </w:rPr>
              <w:t>安徽省</w:t>
            </w:r>
          </w:p>
        </w:tc>
        <w:tc>
          <w:tcPr>
            <w:tcW w:w="1544" w:type="dxa"/>
            <w:noWrap/>
            <w:vAlign w:val="center"/>
          </w:tcPr>
          <w:p w:rsidR="002D6C73" w:rsidRDefault="00FB6868">
            <w:pPr>
              <w:jc w:val="center"/>
              <w:rPr>
                <w:color w:val="1C1C1C"/>
              </w:rPr>
            </w:pPr>
            <w:r>
              <w:rPr>
                <w:rFonts w:hint="eastAsia"/>
                <w:color w:val="1C1C1C"/>
              </w:rPr>
              <w:t>芜湖市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39</w:t>
            </w:r>
          </w:p>
        </w:tc>
        <w:tc>
          <w:tcPr>
            <w:tcW w:w="2330" w:type="dxa"/>
            <w:noWrap/>
            <w:vAlign w:val="center"/>
          </w:tcPr>
          <w:p w:rsidR="002D6C73" w:rsidRDefault="00FB6868">
            <w:pPr>
              <w:jc w:val="center"/>
              <w:rPr>
                <w:color w:val="1C1C1C"/>
              </w:rPr>
            </w:pPr>
            <w:r>
              <w:rPr>
                <w:rFonts w:hint="eastAsia"/>
                <w:color w:val="1C1C1C"/>
              </w:rPr>
              <w:t>安徽省</w:t>
            </w:r>
          </w:p>
        </w:tc>
        <w:tc>
          <w:tcPr>
            <w:tcW w:w="1544" w:type="dxa"/>
            <w:noWrap/>
            <w:vAlign w:val="center"/>
          </w:tcPr>
          <w:p w:rsidR="002D6C73" w:rsidRDefault="00FB6868">
            <w:pPr>
              <w:jc w:val="center"/>
              <w:rPr>
                <w:color w:val="1C1C1C"/>
              </w:rPr>
            </w:pPr>
            <w:r>
              <w:rPr>
                <w:rFonts w:hint="eastAsia"/>
                <w:color w:val="1C1C1C"/>
              </w:rPr>
              <w:t>阜阳市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40</w:t>
            </w:r>
          </w:p>
        </w:tc>
        <w:tc>
          <w:tcPr>
            <w:tcW w:w="2330" w:type="dxa"/>
            <w:noWrap/>
            <w:vAlign w:val="center"/>
          </w:tcPr>
          <w:p w:rsidR="002D6C73" w:rsidRDefault="00FB6868">
            <w:pPr>
              <w:jc w:val="center"/>
              <w:rPr>
                <w:color w:val="1C1C1C"/>
              </w:rPr>
            </w:pPr>
            <w:r>
              <w:rPr>
                <w:rFonts w:hint="eastAsia"/>
                <w:color w:val="1C1C1C"/>
              </w:rPr>
              <w:t>福建省</w:t>
            </w:r>
          </w:p>
        </w:tc>
        <w:tc>
          <w:tcPr>
            <w:tcW w:w="1544" w:type="dxa"/>
            <w:noWrap/>
            <w:vAlign w:val="center"/>
          </w:tcPr>
          <w:p w:rsidR="002D6C73" w:rsidRDefault="00FB6868">
            <w:pPr>
              <w:jc w:val="center"/>
              <w:rPr>
                <w:color w:val="1C1C1C"/>
              </w:rPr>
            </w:pPr>
            <w:r>
              <w:rPr>
                <w:rFonts w:hint="eastAsia"/>
                <w:color w:val="1C1C1C"/>
              </w:rPr>
              <w:t>福州市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41</w:t>
            </w:r>
          </w:p>
        </w:tc>
        <w:tc>
          <w:tcPr>
            <w:tcW w:w="2330" w:type="dxa"/>
            <w:noWrap/>
            <w:vAlign w:val="center"/>
          </w:tcPr>
          <w:p w:rsidR="002D6C73" w:rsidRDefault="00FB6868">
            <w:pPr>
              <w:jc w:val="center"/>
              <w:rPr>
                <w:color w:val="1C1C1C"/>
              </w:rPr>
            </w:pPr>
            <w:r>
              <w:rPr>
                <w:rFonts w:hint="eastAsia"/>
                <w:color w:val="1C1C1C"/>
              </w:rPr>
              <w:t>福建省</w:t>
            </w:r>
          </w:p>
        </w:tc>
        <w:tc>
          <w:tcPr>
            <w:tcW w:w="1544" w:type="dxa"/>
            <w:noWrap/>
            <w:vAlign w:val="center"/>
          </w:tcPr>
          <w:p w:rsidR="002D6C73" w:rsidRDefault="00FB6868">
            <w:pPr>
              <w:jc w:val="center"/>
              <w:rPr>
                <w:color w:val="1C1C1C"/>
              </w:rPr>
            </w:pPr>
            <w:r>
              <w:rPr>
                <w:rFonts w:hint="eastAsia"/>
                <w:color w:val="1C1C1C"/>
              </w:rPr>
              <w:t>厦门市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42</w:t>
            </w:r>
          </w:p>
        </w:tc>
        <w:tc>
          <w:tcPr>
            <w:tcW w:w="2330" w:type="dxa"/>
            <w:noWrap/>
            <w:vAlign w:val="center"/>
          </w:tcPr>
          <w:p w:rsidR="002D6C73" w:rsidRDefault="00FB6868">
            <w:pPr>
              <w:jc w:val="center"/>
              <w:rPr>
                <w:color w:val="1C1C1C"/>
              </w:rPr>
            </w:pPr>
            <w:r>
              <w:rPr>
                <w:rFonts w:hint="eastAsia"/>
                <w:color w:val="1C1C1C"/>
              </w:rPr>
              <w:t>福建省</w:t>
            </w:r>
          </w:p>
        </w:tc>
        <w:tc>
          <w:tcPr>
            <w:tcW w:w="1544" w:type="dxa"/>
            <w:noWrap/>
            <w:vAlign w:val="center"/>
          </w:tcPr>
          <w:p w:rsidR="002D6C73" w:rsidRDefault="00FB6868">
            <w:pPr>
              <w:jc w:val="center"/>
              <w:rPr>
                <w:color w:val="1C1C1C"/>
              </w:rPr>
            </w:pPr>
            <w:r>
              <w:rPr>
                <w:rFonts w:hint="eastAsia"/>
                <w:color w:val="1C1C1C"/>
              </w:rPr>
              <w:t>泉州市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43</w:t>
            </w:r>
          </w:p>
        </w:tc>
        <w:tc>
          <w:tcPr>
            <w:tcW w:w="2330" w:type="dxa"/>
            <w:noWrap/>
            <w:vAlign w:val="center"/>
          </w:tcPr>
          <w:p w:rsidR="002D6C73" w:rsidRDefault="00FB6868">
            <w:pPr>
              <w:jc w:val="center"/>
              <w:rPr>
                <w:color w:val="1C1C1C"/>
              </w:rPr>
            </w:pPr>
            <w:r>
              <w:rPr>
                <w:rFonts w:hint="eastAsia"/>
                <w:color w:val="1C1C1C"/>
              </w:rPr>
              <w:t>江西省</w:t>
            </w:r>
          </w:p>
        </w:tc>
        <w:tc>
          <w:tcPr>
            <w:tcW w:w="1544" w:type="dxa"/>
            <w:noWrap/>
            <w:vAlign w:val="center"/>
          </w:tcPr>
          <w:p w:rsidR="002D6C73" w:rsidRDefault="00FB6868">
            <w:pPr>
              <w:jc w:val="center"/>
              <w:rPr>
                <w:color w:val="1C1C1C"/>
              </w:rPr>
            </w:pPr>
            <w:r>
              <w:rPr>
                <w:rFonts w:hint="eastAsia"/>
                <w:color w:val="1C1C1C"/>
              </w:rPr>
              <w:t>南昌市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44</w:t>
            </w:r>
          </w:p>
        </w:tc>
        <w:tc>
          <w:tcPr>
            <w:tcW w:w="2330" w:type="dxa"/>
            <w:noWrap/>
            <w:vAlign w:val="center"/>
          </w:tcPr>
          <w:p w:rsidR="002D6C73" w:rsidRDefault="00FB6868">
            <w:pPr>
              <w:jc w:val="center"/>
              <w:rPr>
                <w:color w:val="1C1C1C"/>
              </w:rPr>
            </w:pPr>
            <w:r>
              <w:rPr>
                <w:rFonts w:hint="eastAsia"/>
                <w:color w:val="1C1C1C"/>
              </w:rPr>
              <w:t>江西省</w:t>
            </w:r>
          </w:p>
        </w:tc>
        <w:tc>
          <w:tcPr>
            <w:tcW w:w="1544" w:type="dxa"/>
            <w:noWrap/>
            <w:vAlign w:val="center"/>
          </w:tcPr>
          <w:p w:rsidR="002D6C73" w:rsidRDefault="00FB6868">
            <w:pPr>
              <w:jc w:val="center"/>
              <w:rPr>
                <w:color w:val="1C1C1C"/>
              </w:rPr>
            </w:pPr>
            <w:r>
              <w:rPr>
                <w:rFonts w:hint="eastAsia"/>
                <w:color w:val="1C1C1C"/>
              </w:rPr>
              <w:t>赣州市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45</w:t>
            </w:r>
          </w:p>
        </w:tc>
        <w:tc>
          <w:tcPr>
            <w:tcW w:w="2330" w:type="dxa"/>
            <w:noWrap/>
            <w:vAlign w:val="center"/>
          </w:tcPr>
          <w:p w:rsidR="002D6C73" w:rsidRDefault="00FB6868">
            <w:pPr>
              <w:jc w:val="center"/>
              <w:rPr>
                <w:color w:val="1C1C1C"/>
              </w:rPr>
            </w:pPr>
            <w:r>
              <w:rPr>
                <w:rFonts w:hint="eastAsia"/>
                <w:color w:val="1C1C1C"/>
              </w:rPr>
              <w:t>江西省</w:t>
            </w:r>
          </w:p>
        </w:tc>
        <w:tc>
          <w:tcPr>
            <w:tcW w:w="1544" w:type="dxa"/>
            <w:noWrap/>
            <w:vAlign w:val="center"/>
          </w:tcPr>
          <w:p w:rsidR="002D6C73" w:rsidRDefault="00FB6868">
            <w:pPr>
              <w:jc w:val="center"/>
              <w:rPr>
                <w:color w:val="1C1C1C"/>
              </w:rPr>
            </w:pPr>
            <w:r>
              <w:rPr>
                <w:rFonts w:hint="eastAsia"/>
                <w:color w:val="1C1C1C"/>
              </w:rPr>
              <w:t>上饶市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46</w:t>
            </w:r>
          </w:p>
        </w:tc>
        <w:tc>
          <w:tcPr>
            <w:tcW w:w="2330" w:type="dxa"/>
            <w:noWrap/>
            <w:vAlign w:val="center"/>
          </w:tcPr>
          <w:p w:rsidR="002D6C73" w:rsidRDefault="00FB6868">
            <w:pPr>
              <w:jc w:val="center"/>
              <w:rPr>
                <w:color w:val="1C1C1C"/>
              </w:rPr>
            </w:pPr>
            <w:r>
              <w:rPr>
                <w:rFonts w:hint="eastAsia"/>
                <w:color w:val="1C1C1C"/>
              </w:rPr>
              <w:t>山东省</w:t>
            </w:r>
          </w:p>
        </w:tc>
        <w:tc>
          <w:tcPr>
            <w:tcW w:w="1544" w:type="dxa"/>
            <w:noWrap/>
            <w:vAlign w:val="center"/>
          </w:tcPr>
          <w:p w:rsidR="002D6C73" w:rsidRDefault="00FB6868">
            <w:pPr>
              <w:jc w:val="center"/>
              <w:rPr>
                <w:color w:val="1C1C1C"/>
              </w:rPr>
            </w:pPr>
            <w:r>
              <w:rPr>
                <w:rFonts w:hint="eastAsia"/>
                <w:color w:val="1C1C1C"/>
              </w:rPr>
              <w:t>济南市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47</w:t>
            </w:r>
          </w:p>
        </w:tc>
        <w:tc>
          <w:tcPr>
            <w:tcW w:w="2330" w:type="dxa"/>
            <w:noWrap/>
            <w:vAlign w:val="center"/>
          </w:tcPr>
          <w:p w:rsidR="002D6C73" w:rsidRDefault="00FB6868">
            <w:pPr>
              <w:jc w:val="center"/>
              <w:rPr>
                <w:color w:val="1C1C1C"/>
              </w:rPr>
            </w:pPr>
            <w:r>
              <w:rPr>
                <w:rFonts w:hint="eastAsia"/>
                <w:color w:val="1C1C1C"/>
              </w:rPr>
              <w:t>山东省</w:t>
            </w:r>
          </w:p>
        </w:tc>
        <w:tc>
          <w:tcPr>
            <w:tcW w:w="1544" w:type="dxa"/>
            <w:noWrap/>
            <w:vAlign w:val="center"/>
          </w:tcPr>
          <w:p w:rsidR="002D6C73" w:rsidRDefault="00FB6868">
            <w:pPr>
              <w:jc w:val="center"/>
              <w:rPr>
                <w:color w:val="1C1C1C"/>
              </w:rPr>
            </w:pPr>
            <w:r>
              <w:rPr>
                <w:rFonts w:hint="eastAsia"/>
                <w:color w:val="1C1C1C"/>
              </w:rPr>
              <w:t>青岛市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48</w:t>
            </w:r>
          </w:p>
        </w:tc>
        <w:tc>
          <w:tcPr>
            <w:tcW w:w="2330" w:type="dxa"/>
            <w:noWrap/>
            <w:vAlign w:val="center"/>
          </w:tcPr>
          <w:p w:rsidR="002D6C73" w:rsidRDefault="00FB6868">
            <w:pPr>
              <w:jc w:val="center"/>
              <w:rPr>
                <w:color w:val="1C1C1C"/>
              </w:rPr>
            </w:pPr>
            <w:r>
              <w:rPr>
                <w:rFonts w:hint="eastAsia"/>
                <w:color w:val="1C1C1C"/>
              </w:rPr>
              <w:t>山东省</w:t>
            </w:r>
          </w:p>
        </w:tc>
        <w:tc>
          <w:tcPr>
            <w:tcW w:w="1544" w:type="dxa"/>
            <w:noWrap/>
            <w:vAlign w:val="center"/>
          </w:tcPr>
          <w:p w:rsidR="002D6C73" w:rsidRDefault="00FB6868">
            <w:pPr>
              <w:jc w:val="center"/>
              <w:rPr>
                <w:color w:val="1C1C1C"/>
              </w:rPr>
            </w:pPr>
            <w:r>
              <w:rPr>
                <w:rFonts w:hint="eastAsia"/>
                <w:color w:val="1C1C1C"/>
              </w:rPr>
              <w:t>淄博市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49</w:t>
            </w:r>
          </w:p>
        </w:tc>
        <w:tc>
          <w:tcPr>
            <w:tcW w:w="2330" w:type="dxa"/>
            <w:noWrap/>
            <w:vAlign w:val="center"/>
          </w:tcPr>
          <w:p w:rsidR="002D6C73" w:rsidRDefault="00FB6868">
            <w:pPr>
              <w:jc w:val="center"/>
              <w:rPr>
                <w:color w:val="1C1C1C"/>
              </w:rPr>
            </w:pPr>
            <w:r>
              <w:rPr>
                <w:rFonts w:hint="eastAsia"/>
                <w:color w:val="1C1C1C"/>
              </w:rPr>
              <w:t>山东省</w:t>
            </w:r>
          </w:p>
        </w:tc>
        <w:tc>
          <w:tcPr>
            <w:tcW w:w="1544" w:type="dxa"/>
            <w:noWrap/>
            <w:vAlign w:val="center"/>
          </w:tcPr>
          <w:p w:rsidR="002D6C73" w:rsidRDefault="00FB6868">
            <w:pPr>
              <w:jc w:val="center"/>
              <w:rPr>
                <w:color w:val="1C1C1C"/>
              </w:rPr>
            </w:pPr>
            <w:r>
              <w:rPr>
                <w:rFonts w:hint="eastAsia"/>
                <w:color w:val="1C1C1C"/>
              </w:rPr>
              <w:t>烟台市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50</w:t>
            </w:r>
          </w:p>
        </w:tc>
        <w:tc>
          <w:tcPr>
            <w:tcW w:w="2330" w:type="dxa"/>
            <w:noWrap/>
            <w:vAlign w:val="center"/>
          </w:tcPr>
          <w:p w:rsidR="002D6C73" w:rsidRDefault="00FB6868">
            <w:pPr>
              <w:jc w:val="center"/>
              <w:rPr>
                <w:color w:val="1C1C1C"/>
              </w:rPr>
            </w:pPr>
            <w:r>
              <w:rPr>
                <w:rFonts w:hint="eastAsia"/>
                <w:color w:val="1C1C1C"/>
              </w:rPr>
              <w:t>山东省</w:t>
            </w:r>
          </w:p>
        </w:tc>
        <w:tc>
          <w:tcPr>
            <w:tcW w:w="1544" w:type="dxa"/>
            <w:noWrap/>
            <w:vAlign w:val="center"/>
          </w:tcPr>
          <w:p w:rsidR="002D6C73" w:rsidRDefault="00FB6868">
            <w:pPr>
              <w:jc w:val="center"/>
              <w:rPr>
                <w:color w:val="1C1C1C"/>
              </w:rPr>
            </w:pPr>
            <w:r>
              <w:rPr>
                <w:rFonts w:hint="eastAsia"/>
                <w:color w:val="1C1C1C"/>
              </w:rPr>
              <w:t>潍坊市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51</w:t>
            </w:r>
          </w:p>
        </w:tc>
        <w:tc>
          <w:tcPr>
            <w:tcW w:w="2330" w:type="dxa"/>
            <w:noWrap/>
            <w:vAlign w:val="center"/>
          </w:tcPr>
          <w:p w:rsidR="002D6C73" w:rsidRDefault="00FB6868">
            <w:pPr>
              <w:jc w:val="center"/>
              <w:rPr>
                <w:color w:val="1C1C1C"/>
              </w:rPr>
            </w:pPr>
            <w:r>
              <w:rPr>
                <w:rFonts w:hint="eastAsia"/>
                <w:color w:val="1C1C1C"/>
              </w:rPr>
              <w:t>山东省</w:t>
            </w:r>
          </w:p>
        </w:tc>
        <w:tc>
          <w:tcPr>
            <w:tcW w:w="1544" w:type="dxa"/>
            <w:noWrap/>
            <w:vAlign w:val="center"/>
          </w:tcPr>
          <w:p w:rsidR="002D6C73" w:rsidRDefault="00FB6868">
            <w:pPr>
              <w:jc w:val="center"/>
              <w:rPr>
                <w:color w:val="1C1C1C"/>
              </w:rPr>
            </w:pPr>
            <w:r>
              <w:rPr>
                <w:rFonts w:hint="eastAsia"/>
                <w:color w:val="1C1C1C"/>
              </w:rPr>
              <w:t>济宁市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52</w:t>
            </w:r>
          </w:p>
        </w:tc>
        <w:tc>
          <w:tcPr>
            <w:tcW w:w="2330" w:type="dxa"/>
            <w:noWrap/>
            <w:vAlign w:val="center"/>
          </w:tcPr>
          <w:p w:rsidR="002D6C73" w:rsidRDefault="00FB6868">
            <w:pPr>
              <w:jc w:val="center"/>
              <w:rPr>
                <w:color w:val="1C1C1C"/>
              </w:rPr>
            </w:pPr>
            <w:r>
              <w:rPr>
                <w:rFonts w:hint="eastAsia"/>
                <w:color w:val="1C1C1C"/>
              </w:rPr>
              <w:t>山东省</w:t>
            </w:r>
          </w:p>
        </w:tc>
        <w:tc>
          <w:tcPr>
            <w:tcW w:w="1544" w:type="dxa"/>
            <w:noWrap/>
            <w:vAlign w:val="center"/>
          </w:tcPr>
          <w:p w:rsidR="002D6C73" w:rsidRDefault="00FB6868">
            <w:pPr>
              <w:jc w:val="center"/>
              <w:rPr>
                <w:color w:val="1C1C1C"/>
              </w:rPr>
            </w:pPr>
            <w:r>
              <w:rPr>
                <w:rFonts w:hint="eastAsia"/>
                <w:color w:val="1C1C1C"/>
              </w:rPr>
              <w:t>临沂市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华东</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53</w:t>
            </w:r>
          </w:p>
        </w:tc>
        <w:tc>
          <w:tcPr>
            <w:tcW w:w="2330" w:type="dxa"/>
            <w:noWrap/>
            <w:vAlign w:val="center"/>
          </w:tcPr>
          <w:p w:rsidR="002D6C73" w:rsidRDefault="00FB6868">
            <w:pPr>
              <w:jc w:val="center"/>
              <w:rPr>
                <w:color w:val="1C1C1C"/>
              </w:rPr>
            </w:pPr>
            <w:r>
              <w:rPr>
                <w:rFonts w:hint="eastAsia"/>
                <w:color w:val="1C1C1C"/>
              </w:rPr>
              <w:t>河南省</w:t>
            </w:r>
          </w:p>
        </w:tc>
        <w:tc>
          <w:tcPr>
            <w:tcW w:w="1544" w:type="dxa"/>
            <w:noWrap/>
            <w:vAlign w:val="center"/>
          </w:tcPr>
          <w:p w:rsidR="002D6C73" w:rsidRDefault="00FB6868">
            <w:pPr>
              <w:jc w:val="center"/>
              <w:rPr>
                <w:color w:val="1C1C1C"/>
              </w:rPr>
            </w:pPr>
            <w:r>
              <w:rPr>
                <w:rFonts w:hint="eastAsia"/>
                <w:color w:val="1C1C1C"/>
              </w:rPr>
              <w:t>郑州市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华中</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54</w:t>
            </w:r>
          </w:p>
        </w:tc>
        <w:tc>
          <w:tcPr>
            <w:tcW w:w="2330" w:type="dxa"/>
            <w:noWrap/>
            <w:vAlign w:val="center"/>
          </w:tcPr>
          <w:p w:rsidR="002D6C73" w:rsidRDefault="00FB6868">
            <w:pPr>
              <w:jc w:val="center"/>
              <w:rPr>
                <w:color w:val="1C1C1C"/>
              </w:rPr>
            </w:pPr>
            <w:r>
              <w:rPr>
                <w:rFonts w:hint="eastAsia"/>
                <w:color w:val="1C1C1C"/>
              </w:rPr>
              <w:t>河南省</w:t>
            </w:r>
          </w:p>
        </w:tc>
        <w:tc>
          <w:tcPr>
            <w:tcW w:w="1544" w:type="dxa"/>
            <w:noWrap/>
            <w:vAlign w:val="center"/>
          </w:tcPr>
          <w:p w:rsidR="002D6C73" w:rsidRDefault="00FB6868">
            <w:pPr>
              <w:jc w:val="center"/>
              <w:rPr>
                <w:color w:val="1C1C1C"/>
              </w:rPr>
            </w:pPr>
            <w:r>
              <w:rPr>
                <w:rFonts w:hint="eastAsia"/>
                <w:color w:val="1C1C1C"/>
              </w:rPr>
              <w:t>洛阳市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华中</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55</w:t>
            </w:r>
          </w:p>
        </w:tc>
        <w:tc>
          <w:tcPr>
            <w:tcW w:w="2330" w:type="dxa"/>
            <w:noWrap/>
            <w:vAlign w:val="center"/>
          </w:tcPr>
          <w:p w:rsidR="002D6C73" w:rsidRDefault="00FB6868">
            <w:pPr>
              <w:jc w:val="center"/>
              <w:rPr>
                <w:color w:val="1C1C1C"/>
              </w:rPr>
            </w:pPr>
            <w:r>
              <w:rPr>
                <w:rFonts w:hint="eastAsia"/>
                <w:color w:val="1C1C1C"/>
              </w:rPr>
              <w:t>河南省</w:t>
            </w:r>
          </w:p>
        </w:tc>
        <w:tc>
          <w:tcPr>
            <w:tcW w:w="1544" w:type="dxa"/>
            <w:noWrap/>
            <w:vAlign w:val="center"/>
          </w:tcPr>
          <w:p w:rsidR="002D6C73" w:rsidRDefault="00FB6868">
            <w:pPr>
              <w:jc w:val="center"/>
              <w:rPr>
                <w:color w:val="1C1C1C"/>
              </w:rPr>
            </w:pPr>
            <w:r>
              <w:rPr>
                <w:rFonts w:hint="eastAsia"/>
                <w:color w:val="1C1C1C"/>
              </w:rPr>
              <w:t>南阳市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华中</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56</w:t>
            </w:r>
          </w:p>
        </w:tc>
        <w:tc>
          <w:tcPr>
            <w:tcW w:w="2330" w:type="dxa"/>
            <w:noWrap/>
            <w:vAlign w:val="center"/>
          </w:tcPr>
          <w:p w:rsidR="002D6C73" w:rsidRDefault="00FB6868">
            <w:pPr>
              <w:jc w:val="center"/>
              <w:rPr>
                <w:color w:val="1C1C1C"/>
              </w:rPr>
            </w:pPr>
            <w:r>
              <w:rPr>
                <w:rFonts w:hint="eastAsia"/>
                <w:color w:val="1C1C1C"/>
              </w:rPr>
              <w:t>湖北省</w:t>
            </w:r>
          </w:p>
        </w:tc>
        <w:tc>
          <w:tcPr>
            <w:tcW w:w="1544" w:type="dxa"/>
            <w:noWrap/>
            <w:vAlign w:val="center"/>
          </w:tcPr>
          <w:p w:rsidR="002D6C73" w:rsidRDefault="00FB6868">
            <w:pPr>
              <w:jc w:val="center"/>
              <w:rPr>
                <w:color w:val="1C1C1C"/>
              </w:rPr>
            </w:pPr>
            <w:r>
              <w:rPr>
                <w:rFonts w:hint="eastAsia"/>
                <w:color w:val="1C1C1C"/>
              </w:rPr>
              <w:t>武汉市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华中</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57</w:t>
            </w:r>
          </w:p>
        </w:tc>
        <w:tc>
          <w:tcPr>
            <w:tcW w:w="2330" w:type="dxa"/>
            <w:noWrap/>
            <w:vAlign w:val="center"/>
          </w:tcPr>
          <w:p w:rsidR="002D6C73" w:rsidRDefault="00FB6868">
            <w:pPr>
              <w:jc w:val="center"/>
              <w:rPr>
                <w:color w:val="1C1C1C"/>
              </w:rPr>
            </w:pPr>
            <w:r>
              <w:rPr>
                <w:rFonts w:hint="eastAsia"/>
                <w:color w:val="1C1C1C"/>
              </w:rPr>
              <w:t>湖北省</w:t>
            </w:r>
          </w:p>
        </w:tc>
        <w:tc>
          <w:tcPr>
            <w:tcW w:w="1544" w:type="dxa"/>
            <w:noWrap/>
            <w:vAlign w:val="center"/>
          </w:tcPr>
          <w:p w:rsidR="002D6C73" w:rsidRDefault="00FB6868">
            <w:pPr>
              <w:jc w:val="center"/>
              <w:rPr>
                <w:color w:val="1C1C1C"/>
              </w:rPr>
            </w:pPr>
            <w:r>
              <w:rPr>
                <w:rFonts w:hint="eastAsia"/>
                <w:color w:val="1C1C1C"/>
              </w:rPr>
              <w:t>宜昌市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华中</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58</w:t>
            </w:r>
          </w:p>
        </w:tc>
        <w:tc>
          <w:tcPr>
            <w:tcW w:w="2330" w:type="dxa"/>
            <w:noWrap/>
            <w:vAlign w:val="center"/>
          </w:tcPr>
          <w:p w:rsidR="002D6C73" w:rsidRDefault="00FB6868">
            <w:pPr>
              <w:jc w:val="center"/>
              <w:rPr>
                <w:color w:val="1C1C1C"/>
              </w:rPr>
            </w:pPr>
            <w:r>
              <w:rPr>
                <w:rFonts w:hint="eastAsia"/>
                <w:color w:val="1C1C1C"/>
              </w:rPr>
              <w:t>湖北省</w:t>
            </w:r>
          </w:p>
        </w:tc>
        <w:tc>
          <w:tcPr>
            <w:tcW w:w="1544" w:type="dxa"/>
            <w:noWrap/>
            <w:vAlign w:val="center"/>
          </w:tcPr>
          <w:p w:rsidR="002D6C73" w:rsidRDefault="00FB6868">
            <w:pPr>
              <w:jc w:val="center"/>
              <w:rPr>
                <w:color w:val="1C1C1C"/>
              </w:rPr>
            </w:pPr>
            <w:r>
              <w:rPr>
                <w:rFonts w:hint="eastAsia"/>
                <w:color w:val="1C1C1C"/>
              </w:rPr>
              <w:t>襄阳市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华中</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59</w:t>
            </w:r>
          </w:p>
        </w:tc>
        <w:tc>
          <w:tcPr>
            <w:tcW w:w="2330" w:type="dxa"/>
            <w:noWrap/>
            <w:vAlign w:val="center"/>
          </w:tcPr>
          <w:p w:rsidR="002D6C73" w:rsidRDefault="00FB6868">
            <w:pPr>
              <w:jc w:val="center"/>
              <w:rPr>
                <w:color w:val="1C1C1C"/>
              </w:rPr>
            </w:pPr>
            <w:r>
              <w:rPr>
                <w:rFonts w:hint="eastAsia"/>
                <w:color w:val="1C1C1C"/>
              </w:rPr>
              <w:t>湖南省</w:t>
            </w:r>
          </w:p>
        </w:tc>
        <w:tc>
          <w:tcPr>
            <w:tcW w:w="1544" w:type="dxa"/>
            <w:noWrap/>
            <w:vAlign w:val="center"/>
          </w:tcPr>
          <w:p w:rsidR="002D6C73" w:rsidRDefault="00FB6868">
            <w:pPr>
              <w:jc w:val="center"/>
              <w:rPr>
                <w:color w:val="1C1C1C"/>
              </w:rPr>
            </w:pPr>
            <w:r>
              <w:rPr>
                <w:rFonts w:hint="eastAsia"/>
                <w:color w:val="1C1C1C"/>
              </w:rPr>
              <w:t>长沙市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华中</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60</w:t>
            </w:r>
          </w:p>
        </w:tc>
        <w:tc>
          <w:tcPr>
            <w:tcW w:w="2330" w:type="dxa"/>
            <w:noWrap/>
            <w:vAlign w:val="center"/>
          </w:tcPr>
          <w:p w:rsidR="002D6C73" w:rsidRDefault="00FB6868">
            <w:pPr>
              <w:jc w:val="center"/>
              <w:rPr>
                <w:color w:val="1C1C1C"/>
              </w:rPr>
            </w:pPr>
            <w:r>
              <w:rPr>
                <w:rFonts w:hint="eastAsia"/>
                <w:color w:val="1C1C1C"/>
              </w:rPr>
              <w:t>湖南省</w:t>
            </w:r>
          </w:p>
        </w:tc>
        <w:tc>
          <w:tcPr>
            <w:tcW w:w="1544" w:type="dxa"/>
            <w:noWrap/>
            <w:vAlign w:val="center"/>
          </w:tcPr>
          <w:p w:rsidR="002D6C73" w:rsidRDefault="00FB6868">
            <w:pPr>
              <w:jc w:val="center"/>
              <w:rPr>
                <w:color w:val="1C1C1C"/>
              </w:rPr>
            </w:pPr>
            <w:r>
              <w:rPr>
                <w:rFonts w:hint="eastAsia"/>
                <w:color w:val="1C1C1C"/>
              </w:rPr>
              <w:t>衡阳市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华中</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61</w:t>
            </w:r>
          </w:p>
        </w:tc>
        <w:tc>
          <w:tcPr>
            <w:tcW w:w="2330" w:type="dxa"/>
            <w:noWrap/>
            <w:vAlign w:val="center"/>
          </w:tcPr>
          <w:p w:rsidR="002D6C73" w:rsidRDefault="00FB6868">
            <w:pPr>
              <w:jc w:val="center"/>
              <w:rPr>
                <w:color w:val="1C1C1C"/>
              </w:rPr>
            </w:pPr>
            <w:r>
              <w:rPr>
                <w:rFonts w:hint="eastAsia"/>
                <w:color w:val="1C1C1C"/>
              </w:rPr>
              <w:t>湖南省</w:t>
            </w:r>
          </w:p>
        </w:tc>
        <w:tc>
          <w:tcPr>
            <w:tcW w:w="1544" w:type="dxa"/>
            <w:noWrap/>
            <w:vAlign w:val="center"/>
          </w:tcPr>
          <w:p w:rsidR="002D6C73" w:rsidRDefault="00FB6868">
            <w:pPr>
              <w:jc w:val="center"/>
              <w:rPr>
                <w:color w:val="1C1C1C"/>
              </w:rPr>
            </w:pPr>
            <w:r>
              <w:rPr>
                <w:rFonts w:hint="eastAsia"/>
                <w:color w:val="1C1C1C"/>
              </w:rPr>
              <w:t>岳阳市</w:t>
            </w:r>
          </w:p>
        </w:tc>
        <w:tc>
          <w:tcPr>
            <w:tcW w:w="2681" w:type="dxa"/>
            <w:noWrap/>
            <w:vAlign w:val="center"/>
          </w:tcPr>
          <w:p w:rsidR="002D6C73" w:rsidRDefault="00FB6868">
            <w:pPr>
              <w:jc w:val="center"/>
              <w:rPr>
                <w:color w:val="1C1C1C"/>
              </w:rPr>
            </w:pPr>
            <w:r>
              <w:rPr>
                <w:rFonts w:hint="eastAsia"/>
                <w:color w:val="1C1C1C"/>
              </w:rPr>
              <w:t>中部</w:t>
            </w:r>
          </w:p>
        </w:tc>
        <w:tc>
          <w:tcPr>
            <w:tcW w:w="2681" w:type="dxa"/>
            <w:noWrap/>
            <w:vAlign w:val="center"/>
          </w:tcPr>
          <w:p w:rsidR="002D6C73" w:rsidRDefault="00FB6868">
            <w:pPr>
              <w:jc w:val="center"/>
              <w:rPr>
                <w:color w:val="1C1C1C"/>
              </w:rPr>
            </w:pPr>
            <w:r>
              <w:rPr>
                <w:rFonts w:hint="eastAsia"/>
                <w:color w:val="1C1C1C"/>
              </w:rPr>
              <w:t>华中</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62</w:t>
            </w:r>
          </w:p>
        </w:tc>
        <w:tc>
          <w:tcPr>
            <w:tcW w:w="2330" w:type="dxa"/>
            <w:noWrap/>
            <w:vAlign w:val="center"/>
          </w:tcPr>
          <w:p w:rsidR="002D6C73" w:rsidRDefault="00FB6868">
            <w:pPr>
              <w:jc w:val="center"/>
              <w:rPr>
                <w:color w:val="1C1C1C"/>
              </w:rPr>
            </w:pPr>
            <w:r>
              <w:rPr>
                <w:rFonts w:hint="eastAsia"/>
                <w:color w:val="1C1C1C"/>
              </w:rPr>
              <w:t>广东省</w:t>
            </w:r>
          </w:p>
        </w:tc>
        <w:tc>
          <w:tcPr>
            <w:tcW w:w="1544" w:type="dxa"/>
            <w:noWrap/>
            <w:vAlign w:val="center"/>
          </w:tcPr>
          <w:p w:rsidR="002D6C73" w:rsidRDefault="00FB6868">
            <w:pPr>
              <w:jc w:val="center"/>
              <w:rPr>
                <w:color w:val="1C1C1C"/>
              </w:rPr>
            </w:pPr>
            <w:r>
              <w:rPr>
                <w:rFonts w:hint="eastAsia"/>
                <w:color w:val="1C1C1C"/>
              </w:rPr>
              <w:t>广州市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63</w:t>
            </w:r>
          </w:p>
        </w:tc>
        <w:tc>
          <w:tcPr>
            <w:tcW w:w="2330" w:type="dxa"/>
            <w:noWrap/>
            <w:vAlign w:val="center"/>
          </w:tcPr>
          <w:p w:rsidR="002D6C73" w:rsidRDefault="00FB6868">
            <w:pPr>
              <w:jc w:val="center"/>
              <w:rPr>
                <w:color w:val="1C1C1C"/>
              </w:rPr>
            </w:pPr>
            <w:r>
              <w:rPr>
                <w:rFonts w:hint="eastAsia"/>
                <w:color w:val="1C1C1C"/>
              </w:rPr>
              <w:t>广东省</w:t>
            </w:r>
          </w:p>
        </w:tc>
        <w:tc>
          <w:tcPr>
            <w:tcW w:w="1544" w:type="dxa"/>
            <w:noWrap/>
            <w:vAlign w:val="center"/>
          </w:tcPr>
          <w:p w:rsidR="002D6C73" w:rsidRDefault="00FB6868">
            <w:pPr>
              <w:jc w:val="center"/>
              <w:rPr>
                <w:color w:val="1C1C1C"/>
              </w:rPr>
            </w:pPr>
            <w:r>
              <w:rPr>
                <w:rFonts w:hint="eastAsia"/>
                <w:color w:val="1C1C1C"/>
              </w:rPr>
              <w:t>深圳市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64</w:t>
            </w:r>
          </w:p>
        </w:tc>
        <w:tc>
          <w:tcPr>
            <w:tcW w:w="2330" w:type="dxa"/>
            <w:noWrap/>
            <w:vAlign w:val="center"/>
          </w:tcPr>
          <w:p w:rsidR="002D6C73" w:rsidRDefault="00FB6868">
            <w:pPr>
              <w:jc w:val="center"/>
              <w:rPr>
                <w:color w:val="1C1C1C"/>
              </w:rPr>
            </w:pPr>
            <w:r>
              <w:rPr>
                <w:rFonts w:hint="eastAsia"/>
                <w:color w:val="1C1C1C"/>
              </w:rPr>
              <w:t>广东省</w:t>
            </w:r>
          </w:p>
        </w:tc>
        <w:tc>
          <w:tcPr>
            <w:tcW w:w="1544" w:type="dxa"/>
            <w:noWrap/>
            <w:vAlign w:val="center"/>
          </w:tcPr>
          <w:p w:rsidR="002D6C73" w:rsidRDefault="00FB6868">
            <w:pPr>
              <w:jc w:val="center"/>
              <w:rPr>
                <w:color w:val="1C1C1C"/>
              </w:rPr>
            </w:pPr>
            <w:r>
              <w:rPr>
                <w:rFonts w:hint="eastAsia"/>
                <w:color w:val="1C1C1C"/>
              </w:rPr>
              <w:t>汕头市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65</w:t>
            </w:r>
          </w:p>
        </w:tc>
        <w:tc>
          <w:tcPr>
            <w:tcW w:w="2330" w:type="dxa"/>
            <w:noWrap/>
            <w:vAlign w:val="center"/>
          </w:tcPr>
          <w:p w:rsidR="002D6C73" w:rsidRDefault="00FB6868">
            <w:pPr>
              <w:jc w:val="center"/>
              <w:rPr>
                <w:color w:val="1C1C1C"/>
              </w:rPr>
            </w:pPr>
            <w:r>
              <w:rPr>
                <w:rFonts w:hint="eastAsia"/>
                <w:color w:val="1C1C1C"/>
              </w:rPr>
              <w:t>广东省</w:t>
            </w:r>
          </w:p>
        </w:tc>
        <w:tc>
          <w:tcPr>
            <w:tcW w:w="1544" w:type="dxa"/>
            <w:noWrap/>
            <w:vAlign w:val="center"/>
          </w:tcPr>
          <w:p w:rsidR="002D6C73" w:rsidRDefault="00FB6868">
            <w:pPr>
              <w:jc w:val="center"/>
              <w:rPr>
                <w:color w:val="1C1C1C"/>
              </w:rPr>
            </w:pPr>
            <w:r>
              <w:rPr>
                <w:rFonts w:hint="eastAsia"/>
                <w:color w:val="1C1C1C"/>
              </w:rPr>
              <w:t>佛山市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66</w:t>
            </w:r>
          </w:p>
        </w:tc>
        <w:tc>
          <w:tcPr>
            <w:tcW w:w="2330" w:type="dxa"/>
            <w:noWrap/>
            <w:vAlign w:val="center"/>
          </w:tcPr>
          <w:p w:rsidR="002D6C73" w:rsidRDefault="00FB6868">
            <w:pPr>
              <w:jc w:val="center"/>
              <w:rPr>
                <w:color w:val="1C1C1C"/>
              </w:rPr>
            </w:pPr>
            <w:r>
              <w:rPr>
                <w:rFonts w:hint="eastAsia"/>
                <w:color w:val="1C1C1C"/>
              </w:rPr>
              <w:t>广东省</w:t>
            </w:r>
          </w:p>
        </w:tc>
        <w:tc>
          <w:tcPr>
            <w:tcW w:w="1544" w:type="dxa"/>
            <w:noWrap/>
            <w:vAlign w:val="center"/>
          </w:tcPr>
          <w:p w:rsidR="002D6C73" w:rsidRDefault="00FB6868">
            <w:pPr>
              <w:jc w:val="center"/>
              <w:rPr>
                <w:color w:val="1C1C1C"/>
              </w:rPr>
            </w:pPr>
            <w:r>
              <w:rPr>
                <w:rFonts w:hint="eastAsia"/>
                <w:color w:val="1C1C1C"/>
              </w:rPr>
              <w:t>东莞市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67</w:t>
            </w:r>
          </w:p>
        </w:tc>
        <w:tc>
          <w:tcPr>
            <w:tcW w:w="2330" w:type="dxa"/>
            <w:noWrap/>
            <w:vAlign w:val="center"/>
          </w:tcPr>
          <w:p w:rsidR="002D6C73" w:rsidRDefault="00FB6868">
            <w:pPr>
              <w:jc w:val="center"/>
              <w:rPr>
                <w:color w:val="1C1C1C"/>
              </w:rPr>
            </w:pPr>
            <w:r>
              <w:rPr>
                <w:rFonts w:hint="eastAsia"/>
                <w:color w:val="1C1C1C"/>
              </w:rPr>
              <w:t>广西壮族自治区</w:t>
            </w:r>
          </w:p>
        </w:tc>
        <w:tc>
          <w:tcPr>
            <w:tcW w:w="1544" w:type="dxa"/>
            <w:noWrap/>
            <w:vAlign w:val="center"/>
          </w:tcPr>
          <w:p w:rsidR="002D6C73" w:rsidRDefault="00FB6868">
            <w:pPr>
              <w:jc w:val="center"/>
              <w:rPr>
                <w:color w:val="1C1C1C"/>
              </w:rPr>
            </w:pPr>
            <w:r>
              <w:rPr>
                <w:rFonts w:hint="eastAsia"/>
                <w:color w:val="1C1C1C"/>
              </w:rPr>
              <w:t>南宁市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华南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68</w:t>
            </w:r>
          </w:p>
        </w:tc>
        <w:tc>
          <w:tcPr>
            <w:tcW w:w="2330" w:type="dxa"/>
            <w:noWrap/>
            <w:vAlign w:val="center"/>
          </w:tcPr>
          <w:p w:rsidR="002D6C73" w:rsidRDefault="00FB6868">
            <w:pPr>
              <w:jc w:val="center"/>
              <w:rPr>
                <w:color w:val="1C1C1C"/>
              </w:rPr>
            </w:pPr>
            <w:r>
              <w:rPr>
                <w:rFonts w:hint="eastAsia"/>
                <w:color w:val="1C1C1C"/>
              </w:rPr>
              <w:t>广西壮族自治区</w:t>
            </w:r>
          </w:p>
        </w:tc>
        <w:tc>
          <w:tcPr>
            <w:tcW w:w="1544" w:type="dxa"/>
            <w:noWrap/>
            <w:vAlign w:val="center"/>
          </w:tcPr>
          <w:p w:rsidR="002D6C73" w:rsidRDefault="00FB6868">
            <w:pPr>
              <w:jc w:val="center"/>
              <w:rPr>
                <w:color w:val="1C1C1C"/>
              </w:rPr>
            </w:pPr>
            <w:r>
              <w:rPr>
                <w:rFonts w:hint="eastAsia"/>
                <w:color w:val="1C1C1C"/>
              </w:rPr>
              <w:t>柳州市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华南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69</w:t>
            </w:r>
          </w:p>
        </w:tc>
        <w:tc>
          <w:tcPr>
            <w:tcW w:w="2330" w:type="dxa"/>
            <w:noWrap/>
            <w:vAlign w:val="center"/>
          </w:tcPr>
          <w:p w:rsidR="002D6C73" w:rsidRDefault="00FB6868">
            <w:pPr>
              <w:jc w:val="center"/>
              <w:rPr>
                <w:color w:val="1C1C1C"/>
              </w:rPr>
            </w:pPr>
            <w:r>
              <w:rPr>
                <w:rFonts w:hint="eastAsia"/>
                <w:color w:val="1C1C1C"/>
              </w:rPr>
              <w:t>广西壮族自治区</w:t>
            </w:r>
          </w:p>
        </w:tc>
        <w:tc>
          <w:tcPr>
            <w:tcW w:w="1544" w:type="dxa"/>
            <w:noWrap/>
            <w:vAlign w:val="center"/>
          </w:tcPr>
          <w:p w:rsidR="002D6C73" w:rsidRDefault="00FB6868">
            <w:pPr>
              <w:jc w:val="center"/>
              <w:rPr>
                <w:color w:val="1C1C1C"/>
              </w:rPr>
            </w:pPr>
            <w:r>
              <w:rPr>
                <w:rFonts w:hint="eastAsia"/>
                <w:color w:val="1C1C1C"/>
              </w:rPr>
              <w:t>桂林市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华南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70</w:t>
            </w:r>
          </w:p>
        </w:tc>
        <w:tc>
          <w:tcPr>
            <w:tcW w:w="2330" w:type="dxa"/>
            <w:noWrap/>
            <w:vAlign w:val="center"/>
          </w:tcPr>
          <w:p w:rsidR="002D6C73" w:rsidRDefault="00FB6868">
            <w:pPr>
              <w:jc w:val="center"/>
              <w:rPr>
                <w:color w:val="1C1C1C"/>
              </w:rPr>
            </w:pPr>
            <w:r>
              <w:rPr>
                <w:rFonts w:hint="eastAsia"/>
                <w:color w:val="1C1C1C"/>
              </w:rPr>
              <w:t>海南省</w:t>
            </w:r>
          </w:p>
        </w:tc>
        <w:tc>
          <w:tcPr>
            <w:tcW w:w="1544" w:type="dxa"/>
            <w:noWrap/>
            <w:vAlign w:val="center"/>
          </w:tcPr>
          <w:p w:rsidR="002D6C73" w:rsidRDefault="00FB6868">
            <w:pPr>
              <w:jc w:val="center"/>
              <w:rPr>
                <w:color w:val="1C1C1C"/>
              </w:rPr>
            </w:pPr>
            <w:r>
              <w:rPr>
                <w:rFonts w:hint="eastAsia"/>
                <w:color w:val="1C1C1C"/>
              </w:rPr>
              <w:t>海口市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71</w:t>
            </w:r>
          </w:p>
        </w:tc>
        <w:tc>
          <w:tcPr>
            <w:tcW w:w="2330" w:type="dxa"/>
            <w:noWrap/>
            <w:vAlign w:val="center"/>
          </w:tcPr>
          <w:p w:rsidR="002D6C73" w:rsidRDefault="00FB6868">
            <w:pPr>
              <w:jc w:val="center"/>
              <w:rPr>
                <w:color w:val="1C1C1C"/>
              </w:rPr>
            </w:pPr>
            <w:r>
              <w:rPr>
                <w:rFonts w:hint="eastAsia"/>
                <w:color w:val="1C1C1C"/>
              </w:rPr>
              <w:t>海南省</w:t>
            </w:r>
          </w:p>
        </w:tc>
        <w:tc>
          <w:tcPr>
            <w:tcW w:w="1544" w:type="dxa"/>
            <w:noWrap/>
            <w:vAlign w:val="center"/>
          </w:tcPr>
          <w:p w:rsidR="002D6C73" w:rsidRDefault="00FB6868">
            <w:pPr>
              <w:jc w:val="center"/>
              <w:rPr>
                <w:color w:val="1C1C1C"/>
              </w:rPr>
            </w:pPr>
            <w:r>
              <w:rPr>
                <w:rFonts w:hint="eastAsia"/>
                <w:color w:val="1C1C1C"/>
              </w:rPr>
              <w:t>三亚市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72</w:t>
            </w:r>
          </w:p>
        </w:tc>
        <w:tc>
          <w:tcPr>
            <w:tcW w:w="2330" w:type="dxa"/>
            <w:noWrap/>
            <w:vAlign w:val="center"/>
          </w:tcPr>
          <w:p w:rsidR="002D6C73" w:rsidRDefault="00FB6868">
            <w:pPr>
              <w:jc w:val="center"/>
              <w:rPr>
                <w:color w:val="1C1C1C"/>
              </w:rPr>
            </w:pPr>
            <w:r>
              <w:rPr>
                <w:rFonts w:hint="eastAsia"/>
                <w:color w:val="1C1C1C"/>
              </w:rPr>
              <w:t>海南省</w:t>
            </w:r>
          </w:p>
        </w:tc>
        <w:tc>
          <w:tcPr>
            <w:tcW w:w="1544" w:type="dxa"/>
            <w:noWrap/>
            <w:vAlign w:val="center"/>
          </w:tcPr>
          <w:p w:rsidR="002D6C73" w:rsidRDefault="00FB6868">
            <w:pPr>
              <w:jc w:val="center"/>
              <w:rPr>
                <w:color w:val="1C1C1C"/>
              </w:rPr>
            </w:pPr>
            <w:r>
              <w:rPr>
                <w:rFonts w:hint="eastAsia"/>
                <w:color w:val="1C1C1C"/>
              </w:rPr>
              <w:t>儋州市</w:t>
            </w:r>
          </w:p>
        </w:tc>
        <w:tc>
          <w:tcPr>
            <w:tcW w:w="2681" w:type="dxa"/>
            <w:noWrap/>
            <w:vAlign w:val="center"/>
          </w:tcPr>
          <w:p w:rsidR="002D6C73" w:rsidRDefault="00FB6868">
            <w:pPr>
              <w:jc w:val="center"/>
              <w:rPr>
                <w:color w:val="1C1C1C"/>
              </w:rPr>
            </w:pPr>
            <w:r>
              <w:rPr>
                <w:rFonts w:hint="eastAsia"/>
                <w:color w:val="1C1C1C"/>
              </w:rPr>
              <w:t>东部</w:t>
            </w:r>
          </w:p>
        </w:tc>
        <w:tc>
          <w:tcPr>
            <w:tcW w:w="2681" w:type="dxa"/>
            <w:noWrap/>
            <w:vAlign w:val="center"/>
          </w:tcPr>
          <w:p w:rsidR="002D6C73" w:rsidRDefault="00FB6868">
            <w:pPr>
              <w:jc w:val="center"/>
              <w:rPr>
                <w:color w:val="1C1C1C"/>
              </w:rPr>
            </w:pPr>
            <w:r>
              <w:rPr>
                <w:rFonts w:hint="eastAsia"/>
                <w:color w:val="1C1C1C"/>
              </w:rPr>
              <w:t>华南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lastRenderedPageBreak/>
              <w:t>73</w:t>
            </w:r>
          </w:p>
        </w:tc>
        <w:tc>
          <w:tcPr>
            <w:tcW w:w="2330" w:type="dxa"/>
            <w:noWrap/>
            <w:vAlign w:val="center"/>
          </w:tcPr>
          <w:p w:rsidR="002D6C73" w:rsidRDefault="00FB6868">
            <w:pPr>
              <w:jc w:val="center"/>
              <w:rPr>
                <w:color w:val="1C1C1C"/>
              </w:rPr>
            </w:pPr>
            <w:r>
              <w:rPr>
                <w:rFonts w:hint="eastAsia"/>
                <w:color w:val="1C1C1C"/>
              </w:rPr>
              <w:t>重庆市</w:t>
            </w:r>
          </w:p>
        </w:tc>
        <w:tc>
          <w:tcPr>
            <w:tcW w:w="1544" w:type="dxa"/>
            <w:noWrap/>
            <w:vAlign w:val="center"/>
          </w:tcPr>
          <w:p w:rsidR="002D6C73" w:rsidRDefault="00FB6868">
            <w:pPr>
              <w:jc w:val="center"/>
              <w:rPr>
                <w:color w:val="1C1C1C"/>
              </w:rPr>
            </w:pPr>
            <w:r>
              <w:rPr>
                <w:rFonts w:hint="eastAsia"/>
                <w:color w:val="1C1C1C"/>
              </w:rPr>
              <w:t>重庆市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74</w:t>
            </w:r>
          </w:p>
        </w:tc>
        <w:tc>
          <w:tcPr>
            <w:tcW w:w="2330" w:type="dxa"/>
            <w:noWrap/>
            <w:vAlign w:val="center"/>
          </w:tcPr>
          <w:p w:rsidR="002D6C73" w:rsidRDefault="00FB6868">
            <w:pPr>
              <w:jc w:val="center"/>
              <w:rPr>
                <w:color w:val="1C1C1C"/>
              </w:rPr>
            </w:pPr>
            <w:r>
              <w:rPr>
                <w:rFonts w:hint="eastAsia"/>
                <w:color w:val="1C1C1C"/>
              </w:rPr>
              <w:t>四川省</w:t>
            </w:r>
          </w:p>
        </w:tc>
        <w:tc>
          <w:tcPr>
            <w:tcW w:w="1544" w:type="dxa"/>
            <w:noWrap/>
            <w:vAlign w:val="center"/>
          </w:tcPr>
          <w:p w:rsidR="002D6C73" w:rsidRDefault="00FB6868">
            <w:pPr>
              <w:jc w:val="center"/>
              <w:rPr>
                <w:color w:val="1C1C1C"/>
              </w:rPr>
            </w:pPr>
            <w:r>
              <w:rPr>
                <w:rFonts w:hint="eastAsia"/>
                <w:color w:val="1C1C1C"/>
              </w:rPr>
              <w:t>成都市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75</w:t>
            </w:r>
          </w:p>
        </w:tc>
        <w:tc>
          <w:tcPr>
            <w:tcW w:w="2330" w:type="dxa"/>
            <w:noWrap/>
            <w:vAlign w:val="center"/>
          </w:tcPr>
          <w:p w:rsidR="002D6C73" w:rsidRDefault="00FB6868">
            <w:pPr>
              <w:jc w:val="center"/>
              <w:rPr>
                <w:color w:val="1C1C1C"/>
              </w:rPr>
            </w:pPr>
            <w:r>
              <w:rPr>
                <w:rFonts w:hint="eastAsia"/>
                <w:color w:val="1C1C1C"/>
              </w:rPr>
              <w:t>四川省</w:t>
            </w:r>
          </w:p>
        </w:tc>
        <w:tc>
          <w:tcPr>
            <w:tcW w:w="1544" w:type="dxa"/>
            <w:noWrap/>
            <w:vAlign w:val="center"/>
          </w:tcPr>
          <w:p w:rsidR="002D6C73" w:rsidRDefault="00FB6868">
            <w:pPr>
              <w:jc w:val="center"/>
              <w:rPr>
                <w:color w:val="1C1C1C"/>
              </w:rPr>
            </w:pPr>
            <w:r>
              <w:rPr>
                <w:rFonts w:hint="eastAsia"/>
                <w:color w:val="1C1C1C"/>
              </w:rPr>
              <w:t>绵阳市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76</w:t>
            </w:r>
          </w:p>
        </w:tc>
        <w:tc>
          <w:tcPr>
            <w:tcW w:w="2330" w:type="dxa"/>
            <w:noWrap/>
            <w:vAlign w:val="center"/>
          </w:tcPr>
          <w:p w:rsidR="002D6C73" w:rsidRDefault="00FB6868">
            <w:pPr>
              <w:jc w:val="center"/>
              <w:rPr>
                <w:color w:val="1C1C1C"/>
              </w:rPr>
            </w:pPr>
            <w:r>
              <w:rPr>
                <w:rFonts w:hint="eastAsia"/>
                <w:color w:val="1C1C1C"/>
              </w:rPr>
              <w:t>四川省</w:t>
            </w:r>
          </w:p>
        </w:tc>
        <w:tc>
          <w:tcPr>
            <w:tcW w:w="1544" w:type="dxa"/>
            <w:noWrap/>
            <w:vAlign w:val="center"/>
          </w:tcPr>
          <w:p w:rsidR="002D6C73" w:rsidRDefault="00FB6868">
            <w:pPr>
              <w:jc w:val="center"/>
              <w:rPr>
                <w:color w:val="1C1C1C"/>
              </w:rPr>
            </w:pPr>
            <w:r>
              <w:rPr>
                <w:rFonts w:hint="eastAsia"/>
                <w:color w:val="1C1C1C"/>
              </w:rPr>
              <w:t>南充市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77</w:t>
            </w:r>
          </w:p>
        </w:tc>
        <w:tc>
          <w:tcPr>
            <w:tcW w:w="2330" w:type="dxa"/>
            <w:noWrap/>
            <w:vAlign w:val="center"/>
          </w:tcPr>
          <w:p w:rsidR="002D6C73" w:rsidRDefault="00FB6868">
            <w:pPr>
              <w:jc w:val="center"/>
              <w:rPr>
                <w:color w:val="1C1C1C"/>
              </w:rPr>
            </w:pPr>
            <w:r>
              <w:rPr>
                <w:rFonts w:hint="eastAsia"/>
                <w:color w:val="1C1C1C"/>
              </w:rPr>
              <w:t>贵州省</w:t>
            </w:r>
          </w:p>
        </w:tc>
        <w:tc>
          <w:tcPr>
            <w:tcW w:w="1544" w:type="dxa"/>
            <w:noWrap/>
            <w:vAlign w:val="center"/>
          </w:tcPr>
          <w:p w:rsidR="002D6C73" w:rsidRDefault="00FB6868">
            <w:pPr>
              <w:jc w:val="center"/>
              <w:rPr>
                <w:color w:val="1C1C1C"/>
              </w:rPr>
            </w:pPr>
            <w:r>
              <w:rPr>
                <w:rFonts w:hint="eastAsia"/>
                <w:color w:val="1C1C1C"/>
              </w:rPr>
              <w:t>贵阳市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78</w:t>
            </w:r>
          </w:p>
        </w:tc>
        <w:tc>
          <w:tcPr>
            <w:tcW w:w="2330" w:type="dxa"/>
            <w:noWrap/>
            <w:vAlign w:val="center"/>
          </w:tcPr>
          <w:p w:rsidR="002D6C73" w:rsidRDefault="00FB6868">
            <w:pPr>
              <w:jc w:val="center"/>
              <w:rPr>
                <w:color w:val="1C1C1C"/>
              </w:rPr>
            </w:pPr>
            <w:r>
              <w:rPr>
                <w:rFonts w:hint="eastAsia"/>
                <w:color w:val="1C1C1C"/>
              </w:rPr>
              <w:t>贵州省</w:t>
            </w:r>
          </w:p>
        </w:tc>
        <w:tc>
          <w:tcPr>
            <w:tcW w:w="1544" w:type="dxa"/>
            <w:noWrap/>
            <w:vAlign w:val="center"/>
          </w:tcPr>
          <w:p w:rsidR="002D6C73" w:rsidRDefault="00FB6868">
            <w:pPr>
              <w:jc w:val="center"/>
              <w:rPr>
                <w:color w:val="1C1C1C"/>
              </w:rPr>
            </w:pPr>
            <w:r>
              <w:rPr>
                <w:rFonts w:hint="eastAsia"/>
                <w:color w:val="1C1C1C"/>
              </w:rPr>
              <w:t>遵义市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79</w:t>
            </w:r>
          </w:p>
        </w:tc>
        <w:tc>
          <w:tcPr>
            <w:tcW w:w="2330" w:type="dxa"/>
            <w:noWrap/>
            <w:vAlign w:val="center"/>
          </w:tcPr>
          <w:p w:rsidR="002D6C73" w:rsidRDefault="00FB6868">
            <w:pPr>
              <w:jc w:val="center"/>
              <w:rPr>
                <w:color w:val="1C1C1C"/>
              </w:rPr>
            </w:pPr>
            <w:r>
              <w:rPr>
                <w:rFonts w:hint="eastAsia"/>
                <w:color w:val="1C1C1C"/>
              </w:rPr>
              <w:t>贵州省</w:t>
            </w:r>
          </w:p>
        </w:tc>
        <w:tc>
          <w:tcPr>
            <w:tcW w:w="1544" w:type="dxa"/>
            <w:noWrap/>
            <w:vAlign w:val="center"/>
          </w:tcPr>
          <w:p w:rsidR="002D6C73" w:rsidRDefault="00FB6868">
            <w:pPr>
              <w:jc w:val="center"/>
              <w:rPr>
                <w:color w:val="1C1C1C"/>
              </w:rPr>
            </w:pPr>
            <w:r>
              <w:rPr>
                <w:rFonts w:hint="eastAsia"/>
                <w:color w:val="1C1C1C"/>
              </w:rPr>
              <w:t>毕节市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80</w:t>
            </w:r>
          </w:p>
        </w:tc>
        <w:tc>
          <w:tcPr>
            <w:tcW w:w="2330" w:type="dxa"/>
            <w:noWrap/>
            <w:vAlign w:val="center"/>
          </w:tcPr>
          <w:p w:rsidR="002D6C73" w:rsidRDefault="00FB6868">
            <w:pPr>
              <w:jc w:val="center"/>
              <w:rPr>
                <w:color w:val="1C1C1C"/>
              </w:rPr>
            </w:pPr>
            <w:r>
              <w:rPr>
                <w:rFonts w:hint="eastAsia"/>
                <w:color w:val="1C1C1C"/>
              </w:rPr>
              <w:t>云南省</w:t>
            </w:r>
          </w:p>
        </w:tc>
        <w:tc>
          <w:tcPr>
            <w:tcW w:w="1544" w:type="dxa"/>
            <w:noWrap/>
            <w:vAlign w:val="center"/>
          </w:tcPr>
          <w:p w:rsidR="002D6C73" w:rsidRDefault="00FB6868">
            <w:pPr>
              <w:jc w:val="center"/>
              <w:rPr>
                <w:color w:val="1C1C1C"/>
              </w:rPr>
            </w:pPr>
            <w:r>
              <w:rPr>
                <w:rFonts w:hint="eastAsia"/>
                <w:color w:val="1C1C1C"/>
              </w:rPr>
              <w:t>昆明市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81</w:t>
            </w:r>
          </w:p>
        </w:tc>
        <w:tc>
          <w:tcPr>
            <w:tcW w:w="2330" w:type="dxa"/>
            <w:noWrap/>
            <w:vAlign w:val="center"/>
          </w:tcPr>
          <w:p w:rsidR="002D6C73" w:rsidRDefault="00FB6868">
            <w:pPr>
              <w:jc w:val="center"/>
              <w:rPr>
                <w:color w:val="1C1C1C"/>
              </w:rPr>
            </w:pPr>
            <w:r>
              <w:rPr>
                <w:rFonts w:hint="eastAsia"/>
                <w:color w:val="1C1C1C"/>
              </w:rPr>
              <w:t>云南省</w:t>
            </w:r>
          </w:p>
        </w:tc>
        <w:tc>
          <w:tcPr>
            <w:tcW w:w="1544" w:type="dxa"/>
            <w:noWrap/>
            <w:vAlign w:val="center"/>
          </w:tcPr>
          <w:p w:rsidR="002D6C73" w:rsidRDefault="00FB6868">
            <w:pPr>
              <w:jc w:val="center"/>
              <w:rPr>
                <w:color w:val="1C1C1C"/>
              </w:rPr>
            </w:pPr>
            <w:r>
              <w:rPr>
                <w:rFonts w:hint="eastAsia"/>
                <w:color w:val="1C1C1C"/>
              </w:rPr>
              <w:t>曲靖市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82</w:t>
            </w:r>
          </w:p>
        </w:tc>
        <w:tc>
          <w:tcPr>
            <w:tcW w:w="2330" w:type="dxa"/>
            <w:noWrap/>
            <w:vAlign w:val="center"/>
          </w:tcPr>
          <w:p w:rsidR="002D6C73" w:rsidRDefault="00FB6868">
            <w:pPr>
              <w:jc w:val="center"/>
              <w:rPr>
                <w:color w:val="1C1C1C"/>
              </w:rPr>
            </w:pPr>
            <w:r>
              <w:rPr>
                <w:rFonts w:hint="eastAsia"/>
                <w:color w:val="1C1C1C"/>
              </w:rPr>
              <w:t>云南省</w:t>
            </w:r>
          </w:p>
        </w:tc>
        <w:tc>
          <w:tcPr>
            <w:tcW w:w="1544" w:type="dxa"/>
            <w:noWrap/>
            <w:vAlign w:val="center"/>
          </w:tcPr>
          <w:p w:rsidR="002D6C73" w:rsidRDefault="00FB6868">
            <w:pPr>
              <w:jc w:val="center"/>
              <w:rPr>
                <w:color w:val="1C1C1C"/>
              </w:rPr>
            </w:pPr>
            <w:r>
              <w:rPr>
                <w:rFonts w:hint="eastAsia"/>
                <w:color w:val="1C1C1C"/>
              </w:rPr>
              <w:t>玉溪市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83</w:t>
            </w:r>
          </w:p>
        </w:tc>
        <w:tc>
          <w:tcPr>
            <w:tcW w:w="2330" w:type="dxa"/>
            <w:noWrap/>
            <w:vAlign w:val="center"/>
          </w:tcPr>
          <w:p w:rsidR="002D6C73" w:rsidRDefault="00FB6868">
            <w:pPr>
              <w:jc w:val="center"/>
              <w:rPr>
                <w:color w:val="1C1C1C"/>
              </w:rPr>
            </w:pPr>
            <w:r>
              <w:rPr>
                <w:rFonts w:hint="eastAsia"/>
                <w:color w:val="1C1C1C"/>
              </w:rPr>
              <w:t>西藏自治区</w:t>
            </w:r>
          </w:p>
        </w:tc>
        <w:tc>
          <w:tcPr>
            <w:tcW w:w="1544" w:type="dxa"/>
            <w:noWrap/>
            <w:vAlign w:val="center"/>
          </w:tcPr>
          <w:p w:rsidR="002D6C73" w:rsidRDefault="00FB6868">
            <w:pPr>
              <w:jc w:val="center"/>
              <w:rPr>
                <w:color w:val="1C1C1C"/>
              </w:rPr>
            </w:pPr>
            <w:r>
              <w:rPr>
                <w:rFonts w:hint="eastAsia"/>
                <w:color w:val="1C1C1C"/>
              </w:rPr>
              <w:t>拉萨市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84</w:t>
            </w:r>
          </w:p>
        </w:tc>
        <w:tc>
          <w:tcPr>
            <w:tcW w:w="2330" w:type="dxa"/>
            <w:noWrap/>
            <w:vAlign w:val="center"/>
          </w:tcPr>
          <w:p w:rsidR="002D6C73" w:rsidRDefault="00FB6868">
            <w:pPr>
              <w:jc w:val="center"/>
              <w:rPr>
                <w:color w:val="1C1C1C"/>
              </w:rPr>
            </w:pPr>
            <w:r>
              <w:rPr>
                <w:rFonts w:hint="eastAsia"/>
                <w:color w:val="1C1C1C"/>
              </w:rPr>
              <w:t>西藏自治区</w:t>
            </w:r>
          </w:p>
        </w:tc>
        <w:tc>
          <w:tcPr>
            <w:tcW w:w="1544" w:type="dxa"/>
            <w:noWrap/>
            <w:vAlign w:val="center"/>
          </w:tcPr>
          <w:p w:rsidR="002D6C73" w:rsidRDefault="00FB6868">
            <w:pPr>
              <w:jc w:val="center"/>
              <w:rPr>
                <w:color w:val="1C1C1C"/>
              </w:rPr>
            </w:pPr>
            <w:r>
              <w:rPr>
                <w:rFonts w:hint="eastAsia"/>
                <w:color w:val="1C1C1C"/>
              </w:rPr>
              <w:t>日喀则市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85</w:t>
            </w:r>
          </w:p>
        </w:tc>
        <w:tc>
          <w:tcPr>
            <w:tcW w:w="2330" w:type="dxa"/>
            <w:noWrap/>
            <w:vAlign w:val="center"/>
          </w:tcPr>
          <w:p w:rsidR="002D6C73" w:rsidRDefault="00FB6868">
            <w:pPr>
              <w:jc w:val="center"/>
              <w:rPr>
                <w:color w:val="1C1C1C"/>
              </w:rPr>
            </w:pPr>
            <w:r>
              <w:rPr>
                <w:rFonts w:hint="eastAsia"/>
                <w:color w:val="1C1C1C"/>
              </w:rPr>
              <w:t>西藏自治区</w:t>
            </w:r>
          </w:p>
        </w:tc>
        <w:tc>
          <w:tcPr>
            <w:tcW w:w="1544" w:type="dxa"/>
            <w:noWrap/>
            <w:vAlign w:val="center"/>
          </w:tcPr>
          <w:p w:rsidR="002D6C73" w:rsidRDefault="00FB6868">
            <w:pPr>
              <w:jc w:val="center"/>
              <w:rPr>
                <w:color w:val="1C1C1C"/>
              </w:rPr>
            </w:pPr>
            <w:r>
              <w:rPr>
                <w:rFonts w:hint="eastAsia"/>
                <w:color w:val="1C1C1C"/>
              </w:rPr>
              <w:t>山南市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86</w:t>
            </w:r>
          </w:p>
        </w:tc>
        <w:tc>
          <w:tcPr>
            <w:tcW w:w="2330" w:type="dxa"/>
            <w:noWrap/>
            <w:vAlign w:val="center"/>
          </w:tcPr>
          <w:p w:rsidR="002D6C73" w:rsidRDefault="00FB6868">
            <w:pPr>
              <w:jc w:val="center"/>
              <w:rPr>
                <w:color w:val="1C1C1C"/>
              </w:rPr>
            </w:pPr>
            <w:r>
              <w:rPr>
                <w:rFonts w:hint="eastAsia"/>
                <w:color w:val="1C1C1C"/>
              </w:rPr>
              <w:t>陕西省</w:t>
            </w:r>
          </w:p>
        </w:tc>
        <w:tc>
          <w:tcPr>
            <w:tcW w:w="1544" w:type="dxa"/>
            <w:noWrap/>
            <w:vAlign w:val="center"/>
          </w:tcPr>
          <w:p w:rsidR="002D6C73" w:rsidRDefault="00FB6868">
            <w:pPr>
              <w:jc w:val="center"/>
              <w:rPr>
                <w:color w:val="1C1C1C"/>
              </w:rPr>
            </w:pPr>
            <w:r>
              <w:rPr>
                <w:rFonts w:hint="eastAsia"/>
                <w:color w:val="1C1C1C"/>
              </w:rPr>
              <w:t>西安市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87</w:t>
            </w:r>
          </w:p>
        </w:tc>
        <w:tc>
          <w:tcPr>
            <w:tcW w:w="2330" w:type="dxa"/>
            <w:noWrap/>
            <w:vAlign w:val="center"/>
          </w:tcPr>
          <w:p w:rsidR="002D6C73" w:rsidRDefault="00FB6868">
            <w:pPr>
              <w:jc w:val="center"/>
              <w:rPr>
                <w:color w:val="1C1C1C"/>
              </w:rPr>
            </w:pPr>
            <w:r>
              <w:rPr>
                <w:rFonts w:hint="eastAsia"/>
                <w:color w:val="1C1C1C"/>
              </w:rPr>
              <w:t>陕西省</w:t>
            </w:r>
          </w:p>
        </w:tc>
        <w:tc>
          <w:tcPr>
            <w:tcW w:w="1544" w:type="dxa"/>
            <w:noWrap/>
            <w:vAlign w:val="center"/>
          </w:tcPr>
          <w:p w:rsidR="002D6C73" w:rsidRDefault="00FB6868">
            <w:pPr>
              <w:jc w:val="center"/>
              <w:rPr>
                <w:color w:val="1C1C1C"/>
              </w:rPr>
            </w:pPr>
            <w:r>
              <w:rPr>
                <w:rFonts w:hint="eastAsia"/>
                <w:color w:val="1C1C1C"/>
              </w:rPr>
              <w:t>宝鸡市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88</w:t>
            </w:r>
          </w:p>
        </w:tc>
        <w:tc>
          <w:tcPr>
            <w:tcW w:w="2330" w:type="dxa"/>
            <w:noWrap/>
            <w:vAlign w:val="center"/>
          </w:tcPr>
          <w:p w:rsidR="002D6C73" w:rsidRDefault="00FB6868">
            <w:pPr>
              <w:jc w:val="center"/>
              <w:rPr>
                <w:color w:val="1C1C1C"/>
              </w:rPr>
            </w:pPr>
            <w:r>
              <w:rPr>
                <w:rFonts w:hint="eastAsia"/>
                <w:color w:val="1C1C1C"/>
              </w:rPr>
              <w:t>陕西省</w:t>
            </w:r>
          </w:p>
        </w:tc>
        <w:tc>
          <w:tcPr>
            <w:tcW w:w="1544" w:type="dxa"/>
            <w:noWrap/>
            <w:vAlign w:val="center"/>
          </w:tcPr>
          <w:p w:rsidR="002D6C73" w:rsidRDefault="00FB6868">
            <w:pPr>
              <w:jc w:val="center"/>
              <w:rPr>
                <w:color w:val="1C1C1C"/>
              </w:rPr>
            </w:pPr>
            <w:r>
              <w:rPr>
                <w:rFonts w:hint="eastAsia"/>
                <w:color w:val="1C1C1C"/>
              </w:rPr>
              <w:t>渭南市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89</w:t>
            </w:r>
          </w:p>
        </w:tc>
        <w:tc>
          <w:tcPr>
            <w:tcW w:w="2330" w:type="dxa"/>
            <w:noWrap/>
            <w:vAlign w:val="center"/>
          </w:tcPr>
          <w:p w:rsidR="002D6C73" w:rsidRDefault="00FB6868">
            <w:pPr>
              <w:jc w:val="center"/>
              <w:rPr>
                <w:color w:val="1C1C1C"/>
              </w:rPr>
            </w:pPr>
            <w:r>
              <w:rPr>
                <w:rFonts w:hint="eastAsia"/>
                <w:color w:val="1C1C1C"/>
              </w:rPr>
              <w:t>甘肃省</w:t>
            </w:r>
          </w:p>
        </w:tc>
        <w:tc>
          <w:tcPr>
            <w:tcW w:w="1544" w:type="dxa"/>
            <w:noWrap/>
            <w:vAlign w:val="center"/>
          </w:tcPr>
          <w:p w:rsidR="002D6C73" w:rsidRDefault="00FB6868">
            <w:pPr>
              <w:jc w:val="center"/>
              <w:rPr>
                <w:color w:val="1C1C1C"/>
              </w:rPr>
            </w:pPr>
            <w:r>
              <w:rPr>
                <w:rFonts w:hint="eastAsia"/>
                <w:color w:val="1C1C1C"/>
              </w:rPr>
              <w:t>兰州市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90</w:t>
            </w:r>
          </w:p>
        </w:tc>
        <w:tc>
          <w:tcPr>
            <w:tcW w:w="2330" w:type="dxa"/>
            <w:noWrap/>
            <w:vAlign w:val="center"/>
          </w:tcPr>
          <w:p w:rsidR="002D6C73" w:rsidRDefault="00FB6868">
            <w:pPr>
              <w:jc w:val="center"/>
              <w:rPr>
                <w:color w:val="1C1C1C"/>
              </w:rPr>
            </w:pPr>
            <w:r>
              <w:rPr>
                <w:rFonts w:hint="eastAsia"/>
                <w:color w:val="1C1C1C"/>
              </w:rPr>
              <w:t>甘肃省</w:t>
            </w:r>
          </w:p>
        </w:tc>
        <w:tc>
          <w:tcPr>
            <w:tcW w:w="1544" w:type="dxa"/>
            <w:noWrap/>
            <w:vAlign w:val="center"/>
          </w:tcPr>
          <w:p w:rsidR="002D6C73" w:rsidRDefault="00FB6868">
            <w:pPr>
              <w:jc w:val="center"/>
              <w:rPr>
                <w:color w:val="1C1C1C"/>
              </w:rPr>
            </w:pPr>
            <w:r>
              <w:rPr>
                <w:rFonts w:hint="eastAsia"/>
                <w:color w:val="1C1C1C"/>
              </w:rPr>
              <w:t>天水市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91</w:t>
            </w:r>
          </w:p>
        </w:tc>
        <w:tc>
          <w:tcPr>
            <w:tcW w:w="2330" w:type="dxa"/>
            <w:noWrap/>
            <w:vAlign w:val="center"/>
          </w:tcPr>
          <w:p w:rsidR="002D6C73" w:rsidRDefault="00FB6868">
            <w:pPr>
              <w:jc w:val="center"/>
              <w:rPr>
                <w:color w:val="1C1C1C"/>
              </w:rPr>
            </w:pPr>
            <w:r>
              <w:rPr>
                <w:rFonts w:hint="eastAsia"/>
                <w:color w:val="1C1C1C"/>
              </w:rPr>
              <w:t>甘肃省</w:t>
            </w:r>
          </w:p>
        </w:tc>
        <w:tc>
          <w:tcPr>
            <w:tcW w:w="1544" w:type="dxa"/>
            <w:noWrap/>
            <w:vAlign w:val="center"/>
          </w:tcPr>
          <w:p w:rsidR="002D6C73" w:rsidRDefault="00FB6868">
            <w:pPr>
              <w:jc w:val="center"/>
              <w:rPr>
                <w:color w:val="1C1C1C"/>
              </w:rPr>
            </w:pPr>
            <w:proofErr w:type="gramStart"/>
            <w:r>
              <w:rPr>
                <w:rFonts w:hint="eastAsia"/>
                <w:color w:val="1C1C1C"/>
              </w:rPr>
              <w:t>庆阳市</w:t>
            </w:r>
            <w:proofErr w:type="gramEnd"/>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92</w:t>
            </w:r>
          </w:p>
        </w:tc>
        <w:tc>
          <w:tcPr>
            <w:tcW w:w="2330" w:type="dxa"/>
            <w:noWrap/>
            <w:vAlign w:val="center"/>
          </w:tcPr>
          <w:p w:rsidR="002D6C73" w:rsidRDefault="00FB6868">
            <w:pPr>
              <w:jc w:val="center"/>
              <w:rPr>
                <w:color w:val="1C1C1C"/>
              </w:rPr>
            </w:pPr>
            <w:r>
              <w:rPr>
                <w:rFonts w:hint="eastAsia"/>
                <w:color w:val="1C1C1C"/>
              </w:rPr>
              <w:t>青海省</w:t>
            </w:r>
          </w:p>
        </w:tc>
        <w:tc>
          <w:tcPr>
            <w:tcW w:w="1544" w:type="dxa"/>
            <w:noWrap/>
            <w:vAlign w:val="center"/>
          </w:tcPr>
          <w:p w:rsidR="002D6C73" w:rsidRDefault="00FB6868">
            <w:pPr>
              <w:jc w:val="center"/>
              <w:rPr>
                <w:color w:val="1C1C1C"/>
              </w:rPr>
            </w:pPr>
            <w:r>
              <w:rPr>
                <w:rFonts w:hint="eastAsia"/>
                <w:color w:val="1C1C1C"/>
              </w:rPr>
              <w:t>西宁市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93</w:t>
            </w:r>
          </w:p>
        </w:tc>
        <w:tc>
          <w:tcPr>
            <w:tcW w:w="2330" w:type="dxa"/>
            <w:noWrap/>
            <w:vAlign w:val="center"/>
          </w:tcPr>
          <w:p w:rsidR="002D6C73" w:rsidRDefault="00FB6868">
            <w:pPr>
              <w:jc w:val="center"/>
              <w:rPr>
                <w:color w:val="1C1C1C"/>
              </w:rPr>
            </w:pPr>
            <w:r>
              <w:rPr>
                <w:rFonts w:hint="eastAsia"/>
                <w:color w:val="1C1C1C"/>
              </w:rPr>
              <w:t>青海省</w:t>
            </w:r>
          </w:p>
        </w:tc>
        <w:tc>
          <w:tcPr>
            <w:tcW w:w="1544" w:type="dxa"/>
            <w:noWrap/>
            <w:vAlign w:val="center"/>
          </w:tcPr>
          <w:p w:rsidR="002D6C73" w:rsidRDefault="00FB6868">
            <w:pPr>
              <w:jc w:val="center"/>
              <w:rPr>
                <w:color w:val="1C1C1C"/>
              </w:rPr>
            </w:pPr>
            <w:r>
              <w:rPr>
                <w:rFonts w:hint="eastAsia"/>
                <w:color w:val="1C1C1C"/>
              </w:rPr>
              <w:t>海东市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94</w:t>
            </w:r>
          </w:p>
        </w:tc>
        <w:tc>
          <w:tcPr>
            <w:tcW w:w="2330" w:type="dxa"/>
            <w:noWrap/>
            <w:vAlign w:val="center"/>
          </w:tcPr>
          <w:p w:rsidR="002D6C73" w:rsidRDefault="00FB6868">
            <w:pPr>
              <w:jc w:val="center"/>
              <w:rPr>
                <w:color w:val="1C1C1C"/>
              </w:rPr>
            </w:pPr>
            <w:r>
              <w:rPr>
                <w:rFonts w:hint="eastAsia"/>
                <w:color w:val="1C1C1C"/>
              </w:rPr>
              <w:t>青海省</w:t>
            </w:r>
          </w:p>
        </w:tc>
        <w:tc>
          <w:tcPr>
            <w:tcW w:w="1544" w:type="dxa"/>
            <w:noWrap/>
            <w:vAlign w:val="center"/>
          </w:tcPr>
          <w:p w:rsidR="002D6C73" w:rsidRDefault="00FB6868">
            <w:pPr>
              <w:jc w:val="center"/>
              <w:rPr>
                <w:color w:val="1C1C1C"/>
              </w:rPr>
            </w:pPr>
            <w:r>
              <w:rPr>
                <w:rFonts w:hint="eastAsia"/>
                <w:color w:val="1C1C1C"/>
              </w:rPr>
              <w:t>海西蒙古族藏族自治州</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95</w:t>
            </w:r>
          </w:p>
        </w:tc>
        <w:tc>
          <w:tcPr>
            <w:tcW w:w="2330" w:type="dxa"/>
            <w:noWrap/>
            <w:vAlign w:val="center"/>
          </w:tcPr>
          <w:p w:rsidR="002D6C73" w:rsidRDefault="00FB6868">
            <w:pPr>
              <w:jc w:val="center"/>
              <w:rPr>
                <w:color w:val="1C1C1C"/>
              </w:rPr>
            </w:pPr>
            <w:r>
              <w:rPr>
                <w:rFonts w:hint="eastAsia"/>
                <w:color w:val="1C1C1C"/>
              </w:rPr>
              <w:t>宁夏回族自治区</w:t>
            </w:r>
          </w:p>
        </w:tc>
        <w:tc>
          <w:tcPr>
            <w:tcW w:w="1544" w:type="dxa"/>
            <w:noWrap/>
            <w:vAlign w:val="center"/>
          </w:tcPr>
          <w:p w:rsidR="002D6C73" w:rsidRDefault="00FB6868">
            <w:pPr>
              <w:jc w:val="center"/>
              <w:rPr>
                <w:color w:val="1C1C1C"/>
              </w:rPr>
            </w:pPr>
            <w:r>
              <w:rPr>
                <w:rFonts w:hint="eastAsia"/>
                <w:color w:val="1C1C1C"/>
              </w:rPr>
              <w:t>银川市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96</w:t>
            </w:r>
          </w:p>
        </w:tc>
        <w:tc>
          <w:tcPr>
            <w:tcW w:w="2330" w:type="dxa"/>
            <w:noWrap/>
            <w:vAlign w:val="center"/>
          </w:tcPr>
          <w:p w:rsidR="002D6C73" w:rsidRDefault="00FB6868">
            <w:pPr>
              <w:jc w:val="center"/>
              <w:rPr>
                <w:color w:val="1C1C1C"/>
              </w:rPr>
            </w:pPr>
            <w:r>
              <w:rPr>
                <w:rFonts w:hint="eastAsia"/>
                <w:color w:val="1C1C1C"/>
              </w:rPr>
              <w:t>宁夏回族自治区</w:t>
            </w:r>
          </w:p>
        </w:tc>
        <w:tc>
          <w:tcPr>
            <w:tcW w:w="1544" w:type="dxa"/>
            <w:noWrap/>
            <w:vAlign w:val="center"/>
          </w:tcPr>
          <w:p w:rsidR="002D6C73" w:rsidRDefault="00FB6868">
            <w:pPr>
              <w:jc w:val="center"/>
              <w:rPr>
                <w:color w:val="1C1C1C"/>
              </w:rPr>
            </w:pPr>
            <w:r>
              <w:rPr>
                <w:rFonts w:hint="eastAsia"/>
                <w:color w:val="1C1C1C"/>
              </w:rPr>
              <w:t>石嘴山市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97</w:t>
            </w:r>
          </w:p>
        </w:tc>
        <w:tc>
          <w:tcPr>
            <w:tcW w:w="2330" w:type="dxa"/>
            <w:noWrap/>
            <w:vAlign w:val="center"/>
          </w:tcPr>
          <w:p w:rsidR="002D6C73" w:rsidRDefault="00FB6868">
            <w:pPr>
              <w:jc w:val="center"/>
              <w:rPr>
                <w:color w:val="1C1C1C"/>
              </w:rPr>
            </w:pPr>
            <w:r>
              <w:rPr>
                <w:rFonts w:hint="eastAsia"/>
                <w:color w:val="1C1C1C"/>
              </w:rPr>
              <w:t>宁夏回族自治区</w:t>
            </w:r>
          </w:p>
        </w:tc>
        <w:tc>
          <w:tcPr>
            <w:tcW w:w="1544" w:type="dxa"/>
            <w:noWrap/>
            <w:vAlign w:val="center"/>
          </w:tcPr>
          <w:p w:rsidR="002D6C73" w:rsidRDefault="00FB6868">
            <w:pPr>
              <w:jc w:val="center"/>
              <w:rPr>
                <w:color w:val="1C1C1C"/>
              </w:rPr>
            </w:pPr>
            <w:r>
              <w:rPr>
                <w:rFonts w:hint="eastAsia"/>
                <w:color w:val="1C1C1C"/>
              </w:rPr>
              <w:t>吴忠市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98</w:t>
            </w:r>
          </w:p>
        </w:tc>
        <w:tc>
          <w:tcPr>
            <w:tcW w:w="2330" w:type="dxa"/>
            <w:noWrap/>
            <w:vAlign w:val="center"/>
          </w:tcPr>
          <w:p w:rsidR="002D6C73" w:rsidRDefault="00FB6868">
            <w:pPr>
              <w:jc w:val="center"/>
              <w:rPr>
                <w:color w:val="1C1C1C"/>
              </w:rPr>
            </w:pPr>
            <w:r>
              <w:rPr>
                <w:rFonts w:hint="eastAsia"/>
                <w:color w:val="1C1C1C"/>
              </w:rPr>
              <w:t>新疆维吾尔自治区</w:t>
            </w:r>
          </w:p>
        </w:tc>
        <w:tc>
          <w:tcPr>
            <w:tcW w:w="1544" w:type="dxa"/>
            <w:noWrap/>
            <w:vAlign w:val="center"/>
          </w:tcPr>
          <w:p w:rsidR="002D6C73" w:rsidRDefault="00FB6868">
            <w:pPr>
              <w:jc w:val="center"/>
              <w:rPr>
                <w:color w:val="1C1C1C"/>
              </w:rPr>
            </w:pPr>
            <w:r>
              <w:rPr>
                <w:rFonts w:hint="eastAsia"/>
                <w:color w:val="1C1C1C"/>
              </w:rPr>
              <w:t>乌鲁木齐市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99</w:t>
            </w:r>
          </w:p>
        </w:tc>
        <w:tc>
          <w:tcPr>
            <w:tcW w:w="2330" w:type="dxa"/>
            <w:noWrap/>
            <w:vAlign w:val="center"/>
          </w:tcPr>
          <w:p w:rsidR="002D6C73" w:rsidRDefault="00FB6868">
            <w:pPr>
              <w:jc w:val="center"/>
              <w:rPr>
                <w:color w:val="1C1C1C"/>
              </w:rPr>
            </w:pPr>
            <w:r>
              <w:rPr>
                <w:rFonts w:hint="eastAsia"/>
                <w:color w:val="1C1C1C"/>
              </w:rPr>
              <w:t>新疆维吾尔自治区</w:t>
            </w:r>
          </w:p>
        </w:tc>
        <w:tc>
          <w:tcPr>
            <w:tcW w:w="1544" w:type="dxa"/>
            <w:noWrap/>
            <w:vAlign w:val="center"/>
          </w:tcPr>
          <w:p w:rsidR="002D6C73" w:rsidRDefault="00FB6868">
            <w:pPr>
              <w:jc w:val="center"/>
              <w:rPr>
                <w:color w:val="1C1C1C"/>
              </w:rPr>
            </w:pPr>
            <w:r>
              <w:rPr>
                <w:rFonts w:hint="eastAsia"/>
                <w:color w:val="1C1C1C"/>
              </w:rPr>
              <w:t>克拉玛依市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r w:rsidR="002D6C73">
        <w:trPr>
          <w:trHeight w:val="300"/>
          <w:jc w:val="center"/>
        </w:trPr>
        <w:tc>
          <w:tcPr>
            <w:tcW w:w="766" w:type="dxa"/>
            <w:noWrap/>
            <w:vAlign w:val="center"/>
          </w:tcPr>
          <w:p w:rsidR="002D6C73" w:rsidRDefault="00FB6868">
            <w:pPr>
              <w:jc w:val="center"/>
              <w:rPr>
                <w:color w:val="1C1C1C"/>
              </w:rPr>
            </w:pPr>
            <w:r>
              <w:rPr>
                <w:rFonts w:hint="eastAsia"/>
                <w:color w:val="1C1C1C"/>
              </w:rPr>
              <w:t>100</w:t>
            </w:r>
          </w:p>
        </w:tc>
        <w:tc>
          <w:tcPr>
            <w:tcW w:w="2330" w:type="dxa"/>
            <w:noWrap/>
            <w:vAlign w:val="center"/>
          </w:tcPr>
          <w:p w:rsidR="002D6C73" w:rsidRDefault="00FB6868">
            <w:pPr>
              <w:jc w:val="center"/>
              <w:rPr>
                <w:color w:val="1C1C1C"/>
              </w:rPr>
            </w:pPr>
            <w:r>
              <w:rPr>
                <w:rFonts w:hint="eastAsia"/>
                <w:color w:val="1C1C1C"/>
              </w:rPr>
              <w:t>新疆维吾尔自治区</w:t>
            </w:r>
          </w:p>
        </w:tc>
        <w:tc>
          <w:tcPr>
            <w:tcW w:w="1544" w:type="dxa"/>
            <w:noWrap/>
            <w:vAlign w:val="center"/>
          </w:tcPr>
          <w:p w:rsidR="002D6C73" w:rsidRDefault="00FB6868">
            <w:pPr>
              <w:jc w:val="center"/>
              <w:rPr>
                <w:color w:val="1C1C1C"/>
              </w:rPr>
            </w:pPr>
            <w:r>
              <w:rPr>
                <w:rFonts w:hint="eastAsia"/>
                <w:color w:val="1C1C1C"/>
              </w:rPr>
              <w:t>哈密市</w:t>
            </w:r>
          </w:p>
        </w:tc>
        <w:tc>
          <w:tcPr>
            <w:tcW w:w="2681" w:type="dxa"/>
            <w:noWrap/>
            <w:vAlign w:val="center"/>
          </w:tcPr>
          <w:p w:rsidR="002D6C73" w:rsidRDefault="00FB6868">
            <w:pPr>
              <w:jc w:val="center"/>
              <w:rPr>
                <w:color w:val="1C1C1C"/>
              </w:rPr>
            </w:pPr>
            <w:r>
              <w:rPr>
                <w:rFonts w:hint="eastAsia"/>
                <w:color w:val="1C1C1C"/>
              </w:rPr>
              <w:t>西部</w:t>
            </w:r>
          </w:p>
        </w:tc>
        <w:tc>
          <w:tcPr>
            <w:tcW w:w="2681" w:type="dxa"/>
            <w:noWrap/>
            <w:vAlign w:val="center"/>
          </w:tcPr>
          <w:p w:rsidR="002D6C73" w:rsidRDefault="00FB6868">
            <w:pPr>
              <w:jc w:val="center"/>
              <w:rPr>
                <w:color w:val="1C1C1C"/>
              </w:rPr>
            </w:pPr>
            <w:r>
              <w:rPr>
                <w:rFonts w:hint="eastAsia"/>
                <w:color w:val="1C1C1C"/>
              </w:rPr>
              <w:t>西北</w:t>
            </w:r>
          </w:p>
        </w:tc>
      </w:tr>
    </w:tbl>
    <w:p w:rsidR="002D6C73" w:rsidRDefault="002D6C73">
      <w:pPr>
        <w:spacing w:beforeLines="50" w:before="156" w:afterLines="50" w:after="156" w:line="700" w:lineRule="exact"/>
        <w:rPr>
          <w:rFonts w:ascii="黑体" w:eastAsia="黑体" w:hAnsi="黑体"/>
          <w:color w:val="1C1C1C"/>
        </w:rPr>
        <w:sectPr w:rsidR="002D6C73">
          <w:pgSz w:w="11906" w:h="16838"/>
          <w:pgMar w:top="2098" w:right="1474" w:bottom="1985" w:left="1588" w:header="851" w:footer="992" w:gutter="0"/>
          <w:pgNumType w:fmt="numberInDash"/>
          <w:cols w:space="720"/>
          <w:docGrid w:type="lines" w:linePitch="312"/>
        </w:sectPr>
      </w:pPr>
    </w:p>
    <w:p w:rsidR="002D6C73" w:rsidRDefault="00FB6868">
      <w:pPr>
        <w:spacing w:beforeLines="50" w:before="217" w:afterLines="50" w:after="217" w:line="700" w:lineRule="exact"/>
        <w:rPr>
          <w:rFonts w:ascii="黑体" w:eastAsia="黑体" w:hAnsi="黑体"/>
          <w:color w:val="1C1C1C"/>
          <w:sz w:val="32"/>
          <w:szCs w:val="32"/>
        </w:rPr>
      </w:pPr>
      <w:r>
        <w:rPr>
          <w:rFonts w:ascii="黑体" w:eastAsia="黑体" w:hAnsi="黑体" w:hint="eastAsia"/>
          <w:color w:val="1C1C1C"/>
          <w:sz w:val="32"/>
          <w:szCs w:val="32"/>
        </w:rPr>
        <w:lastRenderedPageBreak/>
        <w:t>说  明：</w:t>
      </w:r>
    </w:p>
    <w:p w:rsidR="002D6C73" w:rsidRDefault="00FB6868">
      <w:pPr>
        <w:pStyle w:val="af9"/>
        <w:ind w:firstLine="640"/>
        <w:jc w:val="both"/>
        <w:rPr>
          <w:rFonts w:ascii="仿宋" w:eastAsia="仿宋" w:hAnsi="仿宋" w:cs="仿宋"/>
          <w:color w:val="1C1C1C"/>
          <w:sz w:val="32"/>
          <w:szCs w:val="32"/>
        </w:rPr>
      </w:pPr>
      <w:r>
        <w:rPr>
          <w:rFonts w:ascii="仿宋" w:eastAsia="仿宋" w:hAnsi="仿宋" w:cs="仿宋" w:hint="eastAsia"/>
          <w:color w:val="1C1C1C"/>
          <w:sz w:val="32"/>
          <w:szCs w:val="32"/>
        </w:rPr>
        <w:t>三大地理区域划分的依据：全国人大六届四次会议通过的“七五”计划正式公告。</w:t>
      </w:r>
    </w:p>
    <w:p w:rsidR="002D6C73" w:rsidRDefault="00FB6868">
      <w:pPr>
        <w:pStyle w:val="af9"/>
        <w:ind w:firstLine="640"/>
        <w:jc w:val="both"/>
        <w:rPr>
          <w:rFonts w:ascii="仿宋" w:eastAsia="仿宋" w:hAnsi="仿宋" w:cs="仿宋"/>
          <w:color w:val="1C1C1C"/>
          <w:sz w:val="32"/>
          <w:szCs w:val="32"/>
        </w:rPr>
        <w:sectPr w:rsidR="002D6C73">
          <w:footerReference w:type="default" r:id="rId41"/>
          <w:pgSz w:w="11906" w:h="16838"/>
          <w:pgMar w:top="1440" w:right="1800" w:bottom="1440" w:left="1800" w:header="851" w:footer="992" w:gutter="0"/>
          <w:pgNumType w:fmt="numberInDash"/>
          <w:cols w:space="720"/>
          <w:docGrid w:type="lines" w:linePitch="435"/>
        </w:sectPr>
      </w:pPr>
      <w:r>
        <w:rPr>
          <w:rFonts w:ascii="仿宋" w:eastAsia="仿宋" w:hAnsi="仿宋" w:cs="仿宋" w:hint="eastAsia"/>
          <w:color w:val="1C1C1C"/>
          <w:sz w:val="32"/>
          <w:szCs w:val="32"/>
        </w:rPr>
        <w:t>七大地理区域划分的依据：一是中国自然地理区划方面众多权威专家多年的科研成果，二是全国高校地理专业师生普遍使用的《中国自然地理》教材，三是根据长期以来中学地理教材《中国地理》编写中形成的共识。</w:t>
      </w:r>
      <w:bookmarkStart w:id="97" w:name="_Toc535136784"/>
      <w:bookmarkStart w:id="98" w:name="_Toc535136912"/>
      <w:bookmarkEnd w:id="97"/>
      <w:bookmarkEnd w:id="98"/>
    </w:p>
    <w:p w:rsidR="002D6C73" w:rsidRDefault="00FB6868">
      <w:pPr>
        <w:pStyle w:val="2"/>
        <w:jc w:val="center"/>
        <w:rPr>
          <w:rFonts w:ascii="黑体" w:eastAsia="黑体" w:hAnsi="黑体" w:cs="黑体"/>
          <w:b w:val="0"/>
          <w:bCs/>
          <w:i w:val="0"/>
          <w:iCs/>
          <w:sz w:val="32"/>
          <w:szCs w:val="28"/>
        </w:rPr>
      </w:pPr>
      <w:bookmarkStart w:id="99" w:name="_Toc62721790"/>
      <w:bookmarkStart w:id="100" w:name="_Toc23356"/>
      <w:bookmarkStart w:id="101" w:name="_Toc33719424"/>
      <w:r>
        <w:rPr>
          <w:rFonts w:ascii="黑体" w:eastAsia="黑体" w:hAnsi="黑体" w:cs="黑体" w:hint="eastAsia"/>
          <w:b w:val="0"/>
          <w:bCs/>
          <w:i w:val="0"/>
          <w:iCs/>
          <w:sz w:val="32"/>
          <w:szCs w:val="28"/>
        </w:rPr>
        <w:lastRenderedPageBreak/>
        <w:t>附录4  不同城市类别与不同消费群体满意度得分情况</w:t>
      </w:r>
      <w:bookmarkEnd w:id="99"/>
      <w:bookmarkEnd w:id="100"/>
      <w:bookmarkEnd w:id="101"/>
    </w:p>
    <w:p w:rsidR="002D6C73" w:rsidRDefault="00FB6868">
      <w:pPr>
        <w:jc w:val="both"/>
        <w:rPr>
          <w:rFonts w:ascii="黑体" w:eastAsia="黑体" w:hAnsi="黑体" w:cs="黑体"/>
          <w:sz w:val="32"/>
          <w:szCs w:val="40"/>
        </w:rPr>
      </w:pPr>
      <w:bookmarkStart w:id="102" w:name="_Toc33719425"/>
      <w:r>
        <w:rPr>
          <w:rFonts w:ascii="黑体" w:eastAsia="黑体" w:hAnsi="黑体" w:cs="黑体" w:hint="eastAsia"/>
          <w:sz w:val="32"/>
          <w:szCs w:val="40"/>
        </w:rPr>
        <w:t>（一）不同城市类别消费者满意度得分</w:t>
      </w:r>
      <w:bookmarkEnd w:id="102"/>
    </w:p>
    <w:p w:rsidR="002D6C73" w:rsidRDefault="00FB6868">
      <w:pPr>
        <w:ind w:firstLineChars="200" w:firstLine="643"/>
        <w:jc w:val="both"/>
        <w:rPr>
          <w:rFonts w:ascii="仿宋" w:eastAsia="仿宋" w:hAnsi="仿宋" w:cs="仿宋"/>
          <w:sz w:val="32"/>
          <w:szCs w:val="32"/>
        </w:rPr>
      </w:pPr>
      <w:r>
        <w:rPr>
          <w:rFonts w:ascii="仿宋" w:eastAsia="仿宋" w:hAnsi="仿宋" w:cs="仿宋" w:hint="eastAsia"/>
          <w:b/>
          <w:bCs/>
          <w:sz w:val="32"/>
          <w:szCs w:val="32"/>
        </w:rPr>
        <w:t>1.不同社会消费品零售总额城市。</w:t>
      </w:r>
      <w:r>
        <w:rPr>
          <w:rFonts w:ascii="仿宋" w:eastAsia="仿宋" w:hAnsi="仿宋" w:cs="仿宋" w:hint="eastAsia"/>
          <w:sz w:val="32"/>
          <w:szCs w:val="32"/>
        </w:rPr>
        <w:t>按照社会消费品零售总额，将100个城市划分为4</w:t>
      </w:r>
      <w:proofErr w:type="gramStart"/>
      <w:r>
        <w:rPr>
          <w:rFonts w:ascii="仿宋" w:eastAsia="仿宋" w:hAnsi="仿宋" w:cs="仿宋" w:hint="eastAsia"/>
          <w:sz w:val="32"/>
          <w:szCs w:val="32"/>
        </w:rPr>
        <w:t>千亿</w:t>
      </w:r>
      <w:proofErr w:type="gramEnd"/>
      <w:r>
        <w:rPr>
          <w:rFonts w:ascii="仿宋" w:eastAsia="仿宋" w:hAnsi="仿宋" w:cs="仿宋" w:hint="eastAsia"/>
          <w:sz w:val="32"/>
          <w:szCs w:val="32"/>
        </w:rPr>
        <w:t>以上、2千-4</w:t>
      </w:r>
      <w:proofErr w:type="gramStart"/>
      <w:r>
        <w:rPr>
          <w:rFonts w:ascii="仿宋" w:eastAsia="仿宋" w:hAnsi="仿宋" w:cs="仿宋" w:hint="eastAsia"/>
          <w:sz w:val="32"/>
          <w:szCs w:val="32"/>
        </w:rPr>
        <w:t>千</w:t>
      </w:r>
      <w:proofErr w:type="gramEnd"/>
      <w:r>
        <w:rPr>
          <w:rFonts w:ascii="仿宋" w:eastAsia="仿宋" w:hAnsi="仿宋" w:cs="仿宋" w:hint="eastAsia"/>
          <w:sz w:val="32"/>
          <w:szCs w:val="32"/>
        </w:rPr>
        <w:t>亿、1千-2</w:t>
      </w:r>
      <w:proofErr w:type="gramStart"/>
      <w:r>
        <w:rPr>
          <w:rFonts w:ascii="仿宋" w:eastAsia="仿宋" w:hAnsi="仿宋" w:cs="仿宋" w:hint="eastAsia"/>
          <w:sz w:val="32"/>
          <w:szCs w:val="32"/>
        </w:rPr>
        <w:t>千</w:t>
      </w:r>
      <w:proofErr w:type="gramEnd"/>
      <w:r>
        <w:rPr>
          <w:rFonts w:ascii="仿宋" w:eastAsia="仿宋" w:hAnsi="仿宋" w:cs="仿宋" w:hint="eastAsia"/>
          <w:sz w:val="32"/>
          <w:szCs w:val="32"/>
        </w:rPr>
        <w:t>亿及1</w:t>
      </w:r>
      <w:proofErr w:type="gramStart"/>
      <w:r>
        <w:rPr>
          <w:rFonts w:ascii="仿宋" w:eastAsia="仿宋" w:hAnsi="仿宋" w:cs="仿宋" w:hint="eastAsia"/>
          <w:sz w:val="32"/>
          <w:szCs w:val="32"/>
        </w:rPr>
        <w:t>千</w:t>
      </w:r>
      <w:proofErr w:type="gramEnd"/>
      <w:r>
        <w:rPr>
          <w:rFonts w:ascii="仿宋" w:eastAsia="仿宋" w:hAnsi="仿宋" w:cs="仿宋" w:hint="eastAsia"/>
          <w:sz w:val="32"/>
          <w:szCs w:val="32"/>
        </w:rPr>
        <w:t>亿以下四个城市类别。</w:t>
      </w:r>
    </w:p>
    <w:p w:rsidR="002D6C73" w:rsidRDefault="00FB6868">
      <w:pPr>
        <w:ind w:firstLineChars="200" w:firstLine="640"/>
        <w:jc w:val="both"/>
        <w:rPr>
          <w:rFonts w:ascii="仿宋" w:eastAsia="仿宋" w:hAnsi="仿宋" w:cs="仿宋"/>
          <w:spacing w:val="-8"/>
          <w:sz w:val="32"/>
          <w:szCs w:val="32"/>
        </w:rPr>
      </w:pPr>
      <w:r>
        <w:rPr>
          <w:rFonts w:ascii="仿宋" w:eastAsia="仿宋" w:hAnsi="仿宋" w:cs="仿宋" w:hint="eastAsia"/>
          <w:sz w:val="32"/>
          <w:szCs w:val="32"/>
        </w:rPr>
        <w:t>根据调查结果，2021年社会消费品零售总额在4</w:t>
      </w:r>
      <w:proofErr w:type="gramStart"/>
      <w:r>
        <w:rPr>
          <w:rFonts w:ascii="仿宋" w:eastAsia="仿宋" w:hAnsi="仿宋" w:cs="仿宋" w:hint="eastAsia"/>
          <w:sz w:val="32"/>
          <w:szCs w:val="32"/>
        </w:rPr>
        <w:t>千亿</w:t>
      </w:r>
      <w:proofErr w:type="gramEnd"/>
      <w:r>
        <w:rPr>
          <w:rFonts w:ascii="仿宋" w:eastAsia="仿宋" w:hAnsi="仿宋" w:cs="仿宋" w:hint="eastAsia"/>
          <w:sz w:val="32"/>
          <w:szCs w:val="32"/>
        </w:rPr>
        <w:t>以上的城市的消费者满意度得分最高，为82.25分，其次是社会消费品零售总额在2</w:t>
      </w:r>
      <w:proofErr w:type="gramStart"/>
      <w:r>
        <w:rPr>
          <w:rFonts w:ascii="仿宋" w:eastAsia="仿宋" w:hAnsi="仿宋" w:cs="仿宋" w:hint="eastAsia"/>
          <w:sz w:val="32"/>
          <w:szCs w:val="32"/>
        </w:rPr>
        <w:t>千</w:t>
      </w:r>
      <w:proofErr w:type="gramEnd"/>
      <w:r>
        <w:rPr>
          <w:rFonts w:ascii="仿宋" w:eastAsia="仿宋" w:hAnsi="仿宋" w:cs="仿宋" w:hint="eastAsia"/>
          <w:sz w:val="32"/>
          <w:szCs w:val="32"/>
        </w:rPr>
        <w:t>亿-4</w:t>
      </w:r>
      <w:proofErr w:type="gramStart"/>
      <w:r>
        <w:rPr>
          <w:rFonts w:ascii="仿宋" w:eastAsia="仿宋" w:hAnsi="仿宋" w:cs="仿宋" w:hint="eastAsia"/>
          <w:sz w:val="32"/>
          <w:szCs w:val="32"/>
        </w:rPr>
        <w:t>千</w:t>
      </w:r>
      <w:proofErr w:type="gramEnd"/>
      <w:r>
        <w:rPr>
          <w:rFonts w:ascii="仿宋" w:eastAsia="仿宋" w:hAnsi="仿宋" w:cs="仿宋" w:hint="eastAsia"/>
          <w:sz w:val="32"/>
          <w:szCs w:val="32"/>
        </w:rPr>
        <w:t>亿的城市，81.09分。与</w:t>
      </w:r>
      <w:r>
        <w:rPr>
          <w:rFonts w:ascii="仿宋" w:eastAsia="仿宋" w:hAnsi="仿宋" w:cs="仿宋" w:hint="eastAsia"/>
          <w:spacing w:val="-8"/>
          <w:sz w:val="32"/>
          <w:szCs w:val="32"/>
        </w:rPr>
        <w:t>2020年得分相比，不同社会消费品零售总额各相关类别城市群的满意度得分均有所提高，提高最多的是社会消费品零售总额在1</w:t>
      </w:r>
      <w:proofErr w:type="gramStart"/>
      <w:r>
        <w:rPr>
          <w:rFonts w:ascii="仿宋" w:eastAsia="仿宋" w:hAnsi="仿宋" w:cs="仿宋" w:hint="eastAsia"/>
          <w:spacing w:val="-8"/>
          <w:sz w:val="32"/>
          <w:szCs w:val="32"/>
        </w:rPr>
        <w:t>千亿</w:t>
      </w:r>
      <w:proofErr w:type="gramEnd"/>
      <w:r>
        <w:rPr>
          <w:rFonts w:ascii="仿宋" w:eastAsia="仿宋" w:hAnsi="仿宋" w:cs="仿宋" w:hint="eastAsia"/>
          <w:spacing w:val="-8"/>
          <w:sz w:val="32"/>
          <w:szCs w:val="32"/>
        </w:rPr>
        <w:t>-2</w:t>
      </w:r>
      <w:proofErr w:type="gramStart"/>
      <w:r>
        <w:rPr>
          <w:rFonts w:ascii="仿宋" w:eastAsia="仿宋" w:hAnsi="仿宋" w:cs="仿宋" w:hint="eastAsia"/>
          <w:spacing w:val="-8"/>
          <w:sz w:val="32"/>
          <w:szCs w:val="32"/>
        </w:rPr>
        <w:t>千</w:t>
      </w:r>
      <w:proofErr w:type="gramEnd"/>
      <w:r>
        <w:rPr>
          <w:rFonts w:ascii="仿宋" w:eastAsia="仿宋" w:hAnsi="仿宋" w:cs="仿宋" w:hint="eastAsia"/>
          <w:spacing w:val="-8"/>
          <w:sz w:val="32"/>
          <w:szCs w:val="32"/>
        </w:rPr>
        <w:t>亿的城市，提升了1.99分。</w:t>
      </w:r>
    </w:p>
    <w:p w:rsidR="002D6C73" w:rsidRDefault="00FB6868">
      <w:pPr>
        <w:jc w:val="center"/>
        <w:rPr>
          <w:rFonts w:ascii="仿宋" w:eastAsia="仿宋" w:hAnsi="仿宋" w:cs="仿宋"/>
          <w:spacing w:val="-8"/>
          <w:sz w:val="32"/>
          <w:szCs w:val="32"/>
        </w:rPr>
      </w:pPr>
      <w:r>
        <w:rPr>
          <w:rFonts w:ascii="仿宋" w:eastAsia="仿宋" w:hAnsi="仿宋" w:cs="仿宋" w:hint="eastAsia"/>
          <w:noProof/>
          <w:spacing w:val="-8"/>
          <w:sz w:val="32"/>
          <w:szCs w:val="32"/>
        </w:rPr>
        <w:drawing>
          <wp:inline distT="0" distB="0" distL="114300" distR="114300">
            <wp:extent cx="5080000" cy="2733040"/>
            <wp:effectExtent l="0" t="0" r="6350" b="1016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6C73" w:rsidRDefault="00FB6868">
      <w:pPr>
        <w:jc w:val="center"/>
        <w:rPr>
          <w:rFonts w:ascii="仿宋" w:eastAsia="仿宋" w:hAnsi="仿宋" w:cs="仿宋"/>
        </w:rPr>
      </w:pPr>
      <w:r>
        <w:rPr>
          <w:rFonts w:ascii="黑体" w:eastAsia="黑体" w:hAnsi="黑体" w:hint="eastAsia"/>
          <w:color w:val="1C1C1C"/>
        </w:rPr>
        <w:t>附图1  2017-2021年不同社会消费品零售总额城市消费者满意度得分</w:t>
      </w:r>
    </w:p>
    <w:p w:rsidR="002D6C73" w:rsidRDefault="00FB6868">
      <w:pPr>
        <w:ind w:firstLineChars="200" w:firstLine="643"/>
        <w:jc w:val="both"/>
        <w:rPr>
          <w:rFonts w:ascii="仿宋" w:eastAsia="仿宋" w:hAnsi="仿宋" w:cs="仿宋"/>
          <w:sz w:val="32"/>
          <w:szCs w:val="32"/>
        </w:rPr>
      </w:pPr>
      <w:r>
        <w:rPr>
          <w:rFonts w:ascii="仿宋" w:eastAsia="仿宋" w:hAnsi="仿宋" w:cs="仿宋" w:hint="eastAsia"/>
          <w:b/>
          <w:bCs/>
          <w:sz w:val="32"/>
          <w:szCs w:val="32"/>
        </w:rPr>
        <w:t>2.不同规模城市。</w:t>
      </w:r>
      <w:r>
        <w:rPr>
          <w:rFonts w:ascii="仿宋" w:eastAsia="仿宋" w:hAnsi="仿宋" w:cs="仿宋" w:hint="eastAsia"/>
          <w:sz w:val="32"/>
          <w:szCs w:val="32"/>
        </w:rPr>
        <w:t>根据2014年国务院公布的《关于调整城市规模划分标准的通知》，按照“六普”的城区人口进行</w:t>
      </w:r>
      <w:r>
        <w:rPr>
          <w:rFonts w:ascii="仿宋" w:eastAsia="仿宋" w:hAnsi="仿宋" w:cs="仿宋" w:hint="eastAsia"/>
          <w:sz w:val="32"/>
          <w:szCs w:val="32"/>
        </w:rPr>
        <w:lastRenderedPageBreak/>
        <w:t>城市分类，参与调查的城市可以分为：超大城市、特大城市、Ⅰ型大城市、Ⅱ型大城市和中小型城市五类。</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根据调查结果，2021年超大城市的消费者满意度得分最高，为82.02分；其次是特大城市，为81.45分。其中，超大城市连续五年得分排名第一。与2020年得分相比，所有类别城市得分均有所提高，提高最多的是Ⅰ型大城市，提高了1.54分。</w:t>
      </w:r>
    </w:p>
    <w:p w:rsidR="002D6C73" w:rsidRDefault="00FB6868">
      <w:pPr>
        <w:jc w:val="center"/>
      </w:pPr>
      <w:r>
        <w:rPr>
          <w:rFonts w:ascii="仿宋" w:eastAsia="仿宋" w:hAnsi="仿宋" w:cs="仿宋" w:hint="eastAsia"/>
          <w:noProof/>
          <w:spacing w:val="-8"/>
          <w:sz w:val="32"/>
          <w:szCs w:val="32"/>
        </w:rPr>
        <w:drawing>
          <wp:inline distT="0" distB="0" distL="114300" distR="114300">
            <wp:extent cx="5080000" cy="2733040"/>
            <wp:effectExtent l="0" t="0" r="6350" b="1016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D6C73" w:rsidRDefault="00FB6868">
      <w:pPr>
        <w:jc w:val="center"/>
        <w:rPr>
          <w:b/>
          <w:color w:val="1C1C1C"/>
          <w:sz w:val="28"/>
          <w:szCs w:val="28"/>
        </w:rPr>
      </w:pPr>
      <w:r>
        <w:rPr>
          <w:rFonts w:ascii="黑体" w:eastAsia="黑体" w:hAnsi="黑体" w:hint="eastAsia"/>
          <w:color w:val="1C1C1C"/>
          <w:sz w:val="28"/>
        </w:rPr>
        <w:t>附图2  2017-2021年不同规模城市消费者满意度得分</w:t>
      </w:r>
    </w:p>
    <w:p w:rsidR="002D6C73" w:rsidRDefault="00FB6868">
      <w:pPr>
        <w:widowControl w:val="0"/>
        <w:ind w:firstLineChars="200" w:firstLine="643"/>
        <w:jc w:val="both"/>
        <w:rPr>
          <w:rFonts w:ascii="仿宋" w:eastAsia="仿宋" w:hAnsi="仿宋" w:cs="仿宋"/>
          <w:sz w:val="32"/>
          <w:szCs w:val="32"/>
        </w:rPr>
      </w:pPr>
      <w:r>
        <w:rPr>
          <w:rFonts w:ascii="仿宋" w:eastAsia="仿宋" w:hAnsi="仿宋" w:cs="仿宋" w:hint="eastAsia"/>
          <w:b/>
          <w:bCs/>
          <w:sz w:val="32"/>
          <w:szCs w:val="32"/>
        </w:rPr>
        <w:t>3.不同行政级别城市。</w:t>
      </w:r>
      <w:r>
        <w:rPr>
          <w:rFonts w:ascii="仿宋" w:eastAsia="仿宋" w:hAnsi="仿宋" w:cs="仿宋" w:hint="eastAsia"/>
          <w:sz w:val="32"/>
          <w:szCs w:val="32"/>
        </w:rPr>
        <w:t>按照城市行政级别，将城市划分为直辖市、计划单列市、省会城市、其他城市四个城市类别。</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2021年各行政级别城市消费者满意度得分由高到低依次为：直辖市（82.56分）、计划单列市（82.38分）、省会城市（80.34分）、其他城市（80.26分）。与2020年得分相比，所有类别城市的消费者满意度得分均有所提高，其中，省会城市消费者满意度得分提升最多，提高了1.54分。</w:t>
      </w:r>
    </w:p>
    <w:p w:rsidR="002D6C73" w:rsidRDefault="00FB6868">
      <w:pPr>
        <w:jc w:val="center"/>
        <w:rPr>
          <w:rFonts w:ascii="仿宋" w:eastAsia="仿宋" w:hAnsi="仿宋" w:cs="仿宋"/>
          <w:sz w:val="32"/>
          <w:szCs w:val="32"/>
        </w:rPr>
      </w:pPr>
      <w:r>
        <w:rPr>
          <w:rFonts w:ascii="仿宋" w:eastAsia="仿宋" w:hAnsi="仿宋" w:cs="仿宋" w:hint="eastAsia"/>
          <w:noProof/>
          <w:spacing w:val="-8"/>
          <w:sz w:val="32"/>
          <w:szCs w:val="32"/>
        </w:rPr>
        <w:lastRenderedPageBreak/>
        <w:drawing>
          <wp:inline distT="0" distB="0" distL="114300" distR="114300">
            <wp:extent cx="5080000" cy="2647315"/>
            <wp:effectExtent l="0" t="0" r="6350" b="63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6C73" w:rsidRDefault="00FB6868">
      <w:pPr>
        <w:jc w:val="center"/>
        <w:rPr>
          <w:rFonts w:ascii="黑体" w:eastAsia="黑体" w:hAnsi="黑体"/>
          <w:color w:val="1C1C1C"/>
          <w:sz w:val="28"/>
        </w:rPr>
      </w:pPr>
      <w:r>
        <w:rPr>
          <w:rFonts w:ascii="黑体" w:eastAsia="黑体" w:hAnsi="黑体" w:hint="eastAsia"/>
          <w:color w:val="1C1C1C"/>
          <w:sz w:val="28"/>
        </w:rPr>
        <w:t>附图3  2017-2021年不同行政级别城市消费者满意度得分</w:t>
      </w:r>
    </w:p>
    <w:p w:rsidR="002D6C73" w:rsidRDefault="00FB6868">
      <w:pPr>
        <w:ind w:firstLineChars="200" w:firstLine="643"/>
        <w:jc w:val="both"/>
        <w:rPr>
          <w:rFonts w:ascii="仿宋" w:eastAsia="仿宋" w:hAnsi="仿宋" w:cs="仿宋"/>
          <w:sz w:val="32"/>
          <w:szCs w:val="32"/>
        </w:rPr>
      </w:pPr>
      <w:r>
        <w:rPr>
          <w:rFonts w:ascii="仿宋" w:eastAsia="仿宋" w:hAnsi="仿宋" w:cs="仿宋" w:hint="eastAsia"/>
          <w:b/>
          <w:bCs/>
          <w:sz w:val="32"/>
          <w:szCs w:val="32"/>
        </w:rPr>
        <w:t>4.三大地理地区城市。</w:t>
      </w:r>
      <w:r>
        <w:rPr>
          <w:rFonts w:ascii="仿宋" w:eastAsia="仿宋" w:hAnsi="仿宋" w:cs="仿宋" w:hint="eastAsia"/>
          <w:sz w:val="32"/>
          <w:szCs w:val="32"/>
        </w:rPr>
        <w:t>2021年不同地理区域城市得分由高到低依次为：东部（81.92分）、中部（79.54分）和西部（79.38分）。与2020年相比，三大地理区域的消费者满意度得分均有所增加，其中，中部地区消费者满意度得分提升最多，提高了1.82分。</w:t>
      </w:r>
    </w:p>
    <w:p w:rsidR="002D6C73" w:rsidRDefault="00FB6868">
      <w:pPr>
        <w:jc w:val="center"/>
      </w:pPr>
      <w:r>
        <w:rPr>
          <w:rFonts w:ascii="仿宋" w:eastAsia="仿宋" w:hAnsi="仿宋" w:cs="仿宋" w:hint="eastAsia"/>
          <w:noProof/>
          <w:spacing w:val="-8"/>
          <w:sz w:val="32"/>
          <w:szCs w:val="32"/>
        </w:rPr>
        <w:drawing>
          <wp:inline distT="0" distB="0" distL="114300" distR="114300">
            <wp:extent cx="4928235" cy="2466975"/>
            <wp:effectExtent l="0" t="0" r="5715" b="9525"/>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D6C73" w:rsidRDefault="00FB6868">
      <w:pPr>
        <w:spacing w:line="360" w:lineRule="auto"/>
        <w:jc w:val="center"/>
        <w:rPr>
          <w:rFonts w:ascii="黑体" w:eastAsia="黑体" w:hAnsi="黑体"/>
          <w:color w:val="1C1C1C"/>
          <w:sz w:val="28"/>
        </w:rPr>
      </w:pPr>
      <w:r>
        <w:rPr>
          <w:rFonts w:ascii="黑体" w:eastAsia="黑体" w:hAnsi="黑体" w:hint="eastAsia"/>
          <w:color w:val="1C1C1C"/>
          <w:sz w:val="28"/>
        </w:rPr>
        <w:t>附图4  2017-2021年三大地理地区消费者满意度得分</w:t>
      </w:r>
    </w:p>
    <w:p w:rsidR="002D6C73" w:rsidRDefault="00FB6868">
      <w:pPr>
        <w:ind w:firstLineChars="200" w:firstLine="643"/>
        <w:jc w:val="both"/>
        <w:rPr>
          <w:rFonts w:ascii="仿宋" w:eastAsia="仿宋" w:hAnsi="仿宋" w:cs="仿宋"/>
          <w:sz w:val="32"/>
          <w:szCs w:val="32"/>
        </w:rPr>
      </w:pPr>
      <w:r>
        <w:rPr>
          <w:rFonts w:ascii="仿宋" w:eastAsia="仿宋" w:hAnsi="仿宋" w:cs="仿宋" w:hint="eastAsia"/>
          <w:b/>
          <w:bCs/>
          <w:sz w:val="32"/>
          <w:szCs w:val="32"/>
        </w:rPr>
        <w:lastRenderedPageBreak/>
        <w:t>5.七大地理地区城市。</w:t>
      </w:r>
      <w:r>
        <w:rPr>
          <w:rFonts w:ascii="仿宋" w:eastAsia="仿宋" w:hAnsi="仿宋" w:cs="仿宋" w:hint="eastAsia"/>
          <w:sz w:val="32"/>
          <w:szCs w:val="32"/>
        </w:rPr>
        <w:t>2021年华东地区的消费者满意度得分最高，为82.61分；西北地区消费者满意度得分相对最低，为79.06分；其他地区消费者满意度得分由高到低依次为华北（80.18分）、华中（79.86分）、华南（79.83分）、西南（79.67分）、东北（79.50分）。华东地区消费者满意度得分连续五年最高。与2020年相比，除西北地区外，其他地区消费者满意度得分均有所上升。其中，东北地区消费者满意度得分提升最多，提高了2.11分。</w:t>
      </w:r>
    </w:p>
    <w:p w:rsidR="002D6C73" w:rsidRDefault="00FB6868">
      <w:pPr>
        <w:jc w:val="center"/>
      </w:pPr>
      <w:r>
        <w:rPr>
          <w:rFonts w:ascii="仿宋" w:eastAsia="仿宋" w:hAnsi="仿宋" w:cs="仿宋" w:hint="eastAsia"/>
          <w:noProof/>
          <w:spacing w:val="-8"/>
          <w:sz w:val="32"/>
          <w:szCs w:val="32"/>
        </w:rPr>
        <w:drawing>
          <wp:inline distT="0" distB="0" distL="114300" distR="114300">
            <wp:extent cx="4928235" cy="2809875"/>
            <wp:effectExtent l="0" t="0" r="5715" b="9525"/>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D6C73" w:rsidRDefault="00FB6868">
      <w:pPr>
        <w:jc w:val="center"/>
        <w:rPr>
          <w:rFonts w:ascii="黑体" w:eastAsia="黑体" w:hAnsi="黑体"/>
          <w:color w:val="1C1C1C"/>
          <w:sz w:val="28"/>
        </w:rPr>
      </w:pPr>
      <w:r>
        <w:rPr>
          <w:rFonts w:ascii="黑体" w:eastAsia="黑体" w:hAnsi="黑体" w:hint="eastAsia"/>
          <w:color w:val="1C1C1C"/>
          <w:sz w:val="28"/>
        </w:rPr>
        <w:t>附图5  2017-2021年七大地理地区消费者满意度得分</w:t>
      </w:r>
    </w:p>
    <w:p w:rsidR="002D6C73" w:rsidRDefault="00FB6868">
      <w:pPr>
        <w:ind w:firstLineChars="200" w:firstLine="643"/>
        <w:jc w:val="both"/>
        <w:rPr>
          <w:rFonts w:ascii="仿宋" w:eastAsia="仿宋" w:hAnsi="仿宋" w:cs="仿宋"/>
          <w:sz w:val="32"/>
          <w:szCs w:val="32"/>
        </w:rPr>
      </w:pPr>
      <w:r>
        <w:rPr>
          <w:rFonts w:ascii="仿宋" w:eastAsia="仿宋" w:hAnsi="仿宋" w:cs="仿宋" w:hint="eastAsia"/>
          <w:b/>
          <w:bCs/>
          <w:sz w:val="32"/>
          <w:szCs w:val="32"/>
        </w:rPr>
        <w:t>6.不同省份城市。</w:t>
      </w:r>
      <w:r>
        <w:rPr>
          <w:rFonts w:ascii="仿宋" w:eastAsia="仿宋" w:hAnsi="仿宋" w:cs="仿宋" w:hint="eastAsia"/>
          <w:sz w:val="32"/>
          <w:szCs w:val="32"/>
        </w:rPr>
        <w:t>根据调查结果，2021年所有省份消费者满意度得分均在75分以上，13个省份得分在80分以上。其中，满意度得分最高的是江苏省84.70分，得分最低的是海南省77.75分，最高分与最低分之间相差6.95分。</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lastRenderedPageBreak/>
        <w:t>具体来看，排名靠前的3个省份依次为江苏省（84.70分）、上海市（84.57分）、北京市（83.49分）。排名靠后的3个省份依次为甘肃省（78.07分）、陕西省（77.78分）、海南省（77.75分）。</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与2020年得分相比，除了西藏自治区、宁夏回族自治区、辽宁省、江西省、海南省得分有所下降，其他省份得分均有所上升。其中，5个省份上升超3分：贵州省（+5.45分）、云南省（+5.19分）、吉林省（+4.05分）、河北省（+3.91分）、湖南省（+3.38分）。</w:t>
      </w:r>
    </w:p>
    <w:p w:rsidR="002D6C73" w:rsidRDefault="00FB6868">
      <w:r>
        <w:rPr>
          <w:noProof/>
        </w:rPr>
        <w:lastRenderedPageBreak/>
        <w:drawing>
          <wp:inline distT="0" distB="0" distL="114300" distR="114300">
            <wp:extent cx="5080000" cy="8460740"/>
            <wp:effectExtent l="0" t="0" r="6350" b="1651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D6C73" w:rsidRDefault="00FB6868">
      <w:r>
        <w:rPr>
          <w:noProof/>
        </w:rPr>
        <w:lastRenderedPageBreak/>
        <w:drawing>
          <wp:inline distT="0" distB="0" distL="114300" distR="114300">
            <wp:extent cx="5080000" cy="8460740"/>
            <wp:effectExtent l="0" t="0" r="6350" b="1651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D6C73" w:rsidRDefault="00FB6868">
      <w:pPr>
        <w:jc w:val="center"/>
      </w:pPr>
      <w:r>
        <w:rPr>
          <w:rFonts w:ascii="黑体" w:eastAsia="黑体" w:hAnsi="黑体" w:hint="eastAsia"/>
          <w:color w:val="1C1C1C"/>
          <w:szCs w:val="22"/>
        </w:rPr>
        <w:t>附图6</w:t>
      </w:r>
      <w:r>
        <w:rPr>
          <w:rFonts w:ascii="黑体" w:eastAsia="黑体" w:hAnsi="黑体" w:hint="eastAsia"/>
          <w:color w:val="1C1C1C"/>
        </w:rPr>
        <w:t xml:space="preserve"> </w:t>
      </w:r>
      <w:r>
        <w:rPr>
          <w:rFonts w:ascii="黑体" w:eastAsia="黑体" w:hAnsi="黑体"/>
          <w:color w:val="1C1C1C"/>
          <w:szCs w:val="22"/>
        </w:rPr>
        <w:t xml:space="preserve"> 2017-20</w:t>
      </w:r>
      <w:r>
        <w:rPr>
          <w:rFonts w:ascii="黑体" w:eastAsia="黑体" w:hAnsi="黑体" w:hint="eastAsia"/>
          <w:color w:val="1C1C1C"/>
          <w:szCs w:val="22"/>
        </w:rPr>
        <w:t>21年不同省份消费者满意度得分</w:t>
      </w:r>
    </w:p>
    <w:p w:rsidR="002D6C73" w:rsidRDefault="00FB6868">
      <w:pPr>
        <w:jc w:val="both"/>
        <w:rPr>
          <w:rFonts w:ascii="黑体" w:eastAsia="黑体" w:hAnsi="黑体" w:cs="黑体"/>
          <w:sz w:val="32"/>
          <w:szCs w:val="40"/>
        </w:rPr>
      </w:pPr>
      <w:r>
        <w:rPr>
          <w:rFonts w:ascii="黑体" w:eastAsia="黑体" w:hAnsi="黑体" w:cs="黑体" w:hint="eastAsia"/>
          <w:sz w:val="32"/>
          <w:szCs w:val="40"/>
        </w:rPr>
        <w:lastRenderedPageBreak/>
        <w:t>（二）不同消费群体满意度得分</w:t>
      </w:r>
    </w:p>
    <w:p w:rsidR="002D6C73" w:rsidRDefault="00FB6868">
      <w:pPr>
        <w:ind w:firstLineChars="200" w:firstLine="643"/>
        <w:jc w:val="both"/>
        <w:rPr>
          <w:rFonts w:ascii="仿宋" w:eastAsia="仿宋" w:hAnsi="仿宋" w:cs="仿宋"/>
          <w:sz w:val="32"/>
          <w:szCs w:val="32"/>
        </w:rPr>
      </w:pPr>
      <w:r>
        <w:rPr>
          <w:rFonts w:ascii="仿宋" w:eastAsia="仿宋" w:hAnsi="仿宋" w:cs="仿宋" w:hint="eastAsia"/>
          <w:b/>
          <w:bCs/>
          <w:sz w:val="32"/>
          <w:szCs w:val="32"/>
        </w:rPr>
        <w:t>1.不同性别群体。</w:t>
      </w:r>
      <w:r>
        <w:rPr>
          <w:rFonts w:ascii="仿宋" w:eastAsia="仿宋" w:hAnsi="仿宋" w:cs="仿宋" w:hint="eastAsia"/>
          <w:sz w:val="32"/>
          <w:szCs w:val="32"/>
        </w:rPr>
        <w:t>2021年男性消费者和女性消费者满意度得分分别为80.88分和80.30分。2017-2021年的调查结果均为男性得分略高于女性。与2020年相比，男性和女性消费者的满意度得分均有上升。</w:t>
      </w:r>
    </w:p>
    <w:p w:rsidR="002D6C73" w:rsidRDefault="00FB6868">
      <w:pPr>
        <w:jc w:val="center"/>
      </w:pPr>
      <w:r>
        <w:rPr>
          <w:rFonts w:ascii="仿宋" w:eastAsia="仿宋" w:hAnsi="仿宋" w:cs="仿宋" w:hint="eastAsia"/>
          <w:noProof/>
          <w:spacing w:val="-8"/>
          <w:sz w:val="32"/>
          <w:szCs w:val="32"/>
        </w:rPr>
        <w:drawing>
          <wp:inline distT="0" distB="0" distL="114300" distR="114300">
            <wp:extent cx="4709160" cy="2495550"/>
            <wp:effectExtent l="0" t="0" r="15240" b="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D6C73" w:rsidRDefault="00FB6868">
      <w:pPr>
        <w:jc w:val="center"/>
        <w:rPr>
          <w:rFonts w:ascii="黑体" w:eastAsia="黑体" w:hAnsi="黑体"/>
          <w:color w:val="1C1C1C"/>
          <w:sz w:val="28"/>
        </w:rPr>
      </w:pPr>
      <w:r>
        <w:rPr>
          <w:rFonts w:ascii="黑体" w:eastAsia="黑体" w:hAnsi="黑体" w:hint="eastAsia"/>
          <w:color w:val="1C1C1C"/>
          <w:sz w:val="28"/>
        </w:rPr>
        <w:t>附图7</w:t>
      </w:r>
      <w:r>
        <w:rPr>
          <w:rFonts w:ascii="黑体" w:eastAsia="黑体" w:hAnsi="黑体" w:hint="eastAsia"/>
          <w:color w:val="1C1C1C"/>
          <w:sz w:val="28"/>
          <w:szCs w:val="28"/>
        </w:rPr>
        <w:t xml:space="preserve"> </w:t>
      </w:r>
      <w:r>
        <w:rPr>
          <w:rFonts w:ascii="黑体" w:eastAsia="黑体" w:hAnsi="黑体"/>
          <w:color w:val="1C1C1C"/>
          <w:sz w:val="28"/>
        </w:rPr>
        <w:t xml:space="preserve"> 2017-20</w:t>
      </w:r>
      <w:r>
        <w:rPr>
          <w:rFonts w:ascii="黑体" w:eastAsia="黑体" w:hAnsi="黑体" w:hint="eastAsia"/>
          <w:color w:val="1C1C1C"/>
          <w:sz w:val="28"/>
        </w:rPr>
        <w:t>21年不同性别消费者满意度得分</w:t>
      </w:r>
    </w:p>
    <w:p w:rsidR="002D6C73" w:rsidRDefault="00FB6868">
      <w:pPr>
        <w:ind w:firstLineChars="200" w:firstLine="643"/>
        <w:jc w:val="both"/>
        <w:rPr>
          <w:rFonts w:ascii="仿宋" w:eastAsia="仿宋" w:hAnsi="仿宋" w:cs="仿宋"/>
          <w:sz w:val="32"/>
          <w:szCs w:val="32"/>
        </w:rPr>
      </w:pPr>
      <w:r>
        <w:rPr>
          <w:rFonts w:ascii="仿宋" w:eastAsia="仿宋" w:hAnsi="仿宋" w:cs="仿宋" w:hint="eastAsia"/>
          <w:b/>
          <w:bCs/>
          <w:sz w:val="32"/>
          <w:szCs w:val="32"/>
        </w:rPr>
        <w:t>2.不同年龄群体。</w:t>
      </w:r>
      <w:r>
        <w:rPr>
          <w:rFonts w:ascii="仿宋" w:eastAsia="仿宋" w:hAnsi="仿宋" w:cs="仿宋" w:hint="eastAsia"/>
          <w:sz w:val="32"/>
          <w:szCs w:val="32"/>
        </w:rPr>
        <w:t>我们将消费者划分为15-24周岁、25-34周岁、35-44周岁、45-54周岁、55-70周岁五个年龄段。</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根据调查结果，2021年消费者满意度得分最高的为45-54周岁群体（81.63分），得分最低的为15-24周岁群体（79.40分）。与2020年相比，除15-24周岁群体外，其他各年龄段消费者满意度得分均有上升。</w:t>
      </w:r>
    </w:p>
    <w:p w:rsidR="002D6C73" w:rsidRDefault="00FB6868">
      <w:pPr>
        <w:jc w:val="center"/>
        <w:rPr>
          <w:rFonts w:ascii="仿宋" w:eastAsia="仿宋" w:hAnsi="仿宋" w:cs="仿宋"/>
          <w:sz w:val="32"/>
          <w:szCs w:val="32"/>
        </w:rPr>
      </w:pPr>
      <w:r>
        <w:rPr>
          <w:rFonts w:ascii="仿宋" w:eastAsia="仿宋" w:hAnsi="仿宋" w:cs="仿宋" w:hint="eastAsia"/>
          <w:noProof/>
          <w:spacing w:val="-8"/>
          <w:sz w:val="32"/>
          <w:szCs w:val="32"/>
        </w:rPr>
        <w:lastRenderedPageBreak/>
        <w:drawing>
          <wp:inline distT="0" distB="0" distL="114300" distR="114300">
            <wp:extent cx="4709160" cy="2495550"/>
            <wp:effectExtent l="0" t="0" r="15240" b="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6C73" w:rsidRDefault="00FB6868">
      <w:pPr>
        <w:spacing w:line="360" w:lineRule="auto"/>
        <w:jc w:val="center"/>
        <w:rPr>
          <w:rFonts w:ascii="黑体" w:eastAsia="黑体" w:hAnsi="黑体"/>
          <w:color w:val="1C1C1C"/>
          <w:sz w:val="28"/>
        </w:rPr>
      </w:pPr>
      <w:r>
        <w:rPr>
          <w:rFonts w:ascii="黑体" w:eastAsia="黑体" w:hAnsi="黑体" w:hint="eastAsia"/>
          <w:color w:val="1C1C1C"/>
          <w:sz w:val="28"/>
        </w:rPr>
        <w:t>附图8  2017-2021年不同年龄段消费者满意度得分</w:t>
      </w:r>
    </w:p>
    <w:p w:rsidR="002D6C73" w:rsidRDefault="00FB6868">
      <w:pPr>
        <w:ind w:firstLineChars="200" w:firstLine="643"/>
        <w:jc w:val="both"/>
        <w:rPr>
          <w:rFonts w:ascii="仿宋" w:eastAsia="仿宋" w:hAnsi="仿宋" w:cs="仿宋"/>
          <w:sz w:val="32"/>
          <w:szCs w:val="32"/>
        </w:rPr>
      </w:pPr>
      <w:r>
        <w:rPr>
          <w:rFonts w:ascii="仿宋" w:eastAsia="仿宋" w:hAnsi="仿宋" w:cs="仿宋" w:hint="eastAsia"/>
          <w:b/>
          <w:bCs/>
          <w:sz w:val="32"/>
          <w:szCs w:val="32"/>
        </w:rPr>
        <w:t>3.不同代际群体。</w:t>
      </w:r>
      <w:r>
        <w:rPr>
          <w:rFonts w:ascii="仿宋" w:eastAsia="仿宋" w:hAnsi="仿宋" w:cs="仿宋" w:hint="eastAsia"/>
          <w:sz w:val="32"/>
          <w:szCs w:val="32"/>
        </w:rPr>
        <w:t>本次调查对象包括50后、60后、70后、80后、90后和00后6个代际。</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根据调查结果，2021年满意度得分最高的为70后，为81.48分；80后满意度得分次之，为81.16分。满意度得分最低的为00后，为79.23分。最高分与最低分之间相差了2.25分。与2020年相比，除00后群体外，其他各代际消费者满意度得分均有上升。</w:t>
      </w:r>
    </w:p>
    <w:p w:rsidR="002D6C73" w:rsidRDefault="00FB6868">
      <w:pPr>
        <w:jc w:val="center"/>
      </w:pPr>
      <w:r>
        <w:rPr>
          <w:rFonts w:ascii="仿宋" w:eastAsia="仿宋" w:hAnsi="仿宋" w:cs="仿宋" w:hint="eastAsia"/>
          <w:noProof/>
          <w:spacing w:val="-8"/>
          <w:sz w:val="32"/>
          <w:szCs w:val="32"/>
        </w:rPr>
        <w:drawing>
          <wp:inline distT="0" distB="0" distL="114300" distR="114300">
            <wp:extent cx="4471670" cy="2343150"/>
            <wp:effectExtent l="0" t="0" r="5080" b="0"/>
            <wp:docPr id="61" name="图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D6C73" w:rsidRDefault="00FB6868">
      <w:pPr>
        <w:spacing w:line="360" w:lineRule="auto"/>
        <w:jc w:val="center"/>
        <w:rPr>
          <w:b/>
          <w:color w:val="1C1C1C"/>
        </w:rPr>
      </w:pPr>
      <w:r>
        <w:rPr>
          <w:rFonts w:ascii="黑体" w:eastAsia="黑体" w:hAnsi="黑体" w:hint="eastAsia"/>
          <w:color w:val="1C1C1C"/>
          <w:sz w:val="28"/>
        </w:rPr>
        <w:t>附图9  2018-2021年不同代际消费者满意度得分</w:t>
      </w:r>
    </w:p>
    <w:p w:rsidR="002D6C73" w:rsidRDefault="00FB6868">
      <w:pPr>
        <w:ind w:firstLineChars="200" w:firstLine="643"/>
        <w:jc w:val="both"/>
        <w:rPr>
          <w:rFonts w:ascii="仿宋" w:eastAsia="仿宋" w:hAnsi="仿宋" w:cs="仿宋"/>
          <w:sz w:val="32"/>
          <w:szCs w:val="32"/>
        </w:rPr>
      </w:pPr>
      <w:r>
        <w:rPr>
          <w:rFonts w:ascii="仿宋" w:eastAsia="仿宋" w:hAnsi="仿宋" w:cs="仿宋" w:hint="eastAsia"/>
          <w:b/>
          <w:bCs/>
          <w:sz w:val="32"/>
          <w:szCs w:val="32"/>
        </w:rPr>
        <w:lastRenderedPageBreak/>
        <w:t>4.不同收入水平群体。</w:t>
      </w:r>
      <w:r>
        <w:rPr>
          <w:rFonts w:ascii="仿宋" w:eastAsia="仿宋" w:hAnsi="仿宋" w:cs="仿宋" w:hint="eastAsia"/>
          <w:sz w:val="32"/>
          <w:szCs w:val="32"/>
        </w:rPr>
        <w:t>按照不同个人月均收入水平进行划分，将所有收入群体划分成4个类别：3000元（含）以下、3000-5000元（含）、5000-8000元（含）和8000元以上。</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根据调查结果，2021年8000元以上消费群体的满意度得分最高，为82.55分，且随着收入的增加，消费者的满意度得分呈现出上升趋势。与2020年相比，不同收入群体的满意度得分均有上升，满意度上升最大的是收入3000元以下的消费群体，上升了2.06分。</w:t>
      </w:r>
    </w:p>
    <w:p w:rsidR="002D6C73" w:rsidRDefault="00FB6868">
      <w:pPr>
        <w:jc w:val="center"/>
      </w:pPr>
      <w:r>
        <w:rPr>
          <w:rFonts w:ascii="仿宋" w:eastAsia="仿宋" w:hAnsi="仿宋" w:cs="仿宋" w:hint="eastAsia"/>
          <w:noProof/>
          <w:spacing w:val="-8"/>
          <w:sz w:val="32"/>
          <w:szCs w:val="32"/>
        </w:rPr>
        <w:drawing>
          <wp:inline distT="0" distB="0" distL="114300" distR="114300">
            <wp:extent cx="4709160" cy="2495550"/>
            <wp:effectExtent l="0" t="0" r="15240" b="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D6C73" w:rsidRDefault="00FB6868">
      <w:pPr>
        <w:spacing w:line="360" w:lineRule="auto"/>
        <w:jc w:val="center"/>
        <w:rPr>
          <w:rFonts w:ascii="黑体" w:eastAsia="黑体" w:hAnsi="黑体"/>
          <w:color w:val="1C1C1C"/>
          <w:sz w:val="28"/>
        </w:rPr>
      </w:pPr>
      <w:r>
        <w:rPr>
          <w:rFonts w:ascii="黑体" w:eastAsia="黑体" w:hAnsi="黑体" w:hint="eastAsia"/>
          <w:color w:val="1C1C1C"/>
          <w:sz w:val="28"/>
        </w:rPr>
        <w:t>附图10  2017-2021年不同个人月均收入群体满意度得分</w:t>
      </w:r>
    </w:p>
    <w:p w:rsidR="002D6C73" w:rsidRDefault="00FB6868">
      <w:pPr>
        <w:ind w:firstLineChars="200" w:firstLine="643"/>
        <w:jc w:val="both"/>
        <w:rPr>
          <w:rFonts w:ascii="仿宋" w:eastAsia="仿宋" w:hAnsi="仿宋" w:cs="仿宋"/>
          <w:sz w:val="32"/>
          <w:szCs w:val="32"/>
        </w:rPr>
      </w:pPr>
      <w:r>
        <w:rPr>
          <w:rFonts w:ascii="仿宋" w:eastAsia="仿宋" w:hAnsi="仿宋" w:cs="仿宋" w:hint="eastAsia"/>
          <w:b/>
          <w:bCs/>
          <w:sz w:val="32"/>
          <w:szCs w:val="32"/>
        </w:rPr>
        <w:t>5.不同消费支出水平群体。</w:t>
      </w:r>
      <w:r>
        <w:rPr>
          <w:rFonts w:ascii="仿宋" w:eastAsia="仿宋" w:hAnsi="仿宋" w:cs="仿宋" w:hint="eastAsia"/>
          <w:sz w:val="32"/>
          <w:szCs w:val="32"/>
        </w:rPr>
        <w:t>根据消费者最近一年日常支出占收入的比重，将消费者群体划分成五类：占比在20%以内（含）、20%-40%（含）、40%-60%（含）、60%-80%（含）及80%以上。</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根据调查结果，2021年满意度得分最高的为支出占比在40%-60%的消费群体，为80.83分，满意度得分最低的为支出</w:t>
      </w:r>
      <w:r>
        <w:rPr>
          <w:rFonts w:ascii="仿宋" w:eastAsia="仿宋" w:hAnsi="仿宋" w:cs="仿宋" w:hint="eastAsia"/>
          <w:sz w:val="32"/>
          <w:szCs w:val="32"/>
        </w:rPr>
        <w:lastRenderedPageBreak/>
        <w:t>占比在20%以内的消费群体，为80.13分。与2020年相比，各群体满意度得分均有所上升，占比在20%以内的消费群体得分上升最多，上升了5.04分。</w:t>
      </w:r>
    </w:p>
    <w:p w:rsidR="002D6C73" w:rsidRDefault="00FB6868">
      <w:pPr>
        <w:jc w:val="center"/>
      </w:pPr>
      <w:r>
        <w:rPr>
          <w:rFonts w:ascii="仿宋" w:eastAsia="仿宋" w:hAnsi="仿宋" w:cs="仿宋" w:hint="eastAsia"/>
          <w:noProof/>
          <w:spacing w:val="-8"/>
          <w:sz w:val="32"/>
          <w:szCs w:val="32"/>
        </w:rPr>
        <w:drawing>
          <wp:inline distT="0" distB="0" distL="114300" distR="114300">
            <wp:extent cx="4709160" cy="2467610"/>
            <wp:effectExtent l="0" t="0" r="15240" b="8890"/>
            <wp:docPr id="63" name="图表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D6C73" w:rsidRDefault="00FB6868">
      <w:pPr>
        <w:jc w:val="center"/>
        <w:rPr>
          <w:rFonts w:ascii="黑体" w:eastAsia="黑体" w:hAnsi="黑体"/>
          <w:color w:val="1C1C1C"/>
          <w:sz w:val="28"/>
        </w:rPr>
      </w:pPr>
      <w:r>
        <w:rPr>
          <w:rFonts w:ascii="黑体" w:eastAsia="黑体" w:hAnsi="黑体" w:hint="eastAsia"/>
          <w:color w:val="1C1C1C"/>
          <w:sz w:val="28"/>
        </w:rPr>
        <w:t>附图11  2019-2021年不同消费支出消费者满意度得分</w:t>
      </w:r>
    </w:p>
    <w:p w:rsidR="002D6C73" w:rsidRDefault="00FB6868">
      <w:pPr>
        <w:rPr>
          <w:rFonts w:ascii="黑体" w:eastAsia="黑体" w:hAnsi="黑体"/>
          <w:color w:val="1C1C1C"/>
          <w:szCs w:val="22"/>
        </w:rPr>
      </w:pPr>
      <w:r>
        <w:rPr>
          <w:rFonts w:ascii="黑体" w:eastAsia="黑体" w:hAnsi="黑体" w:hint="eastAsia"/>
          <w:color w:val="1C1C1C"/>
          <w:szCs w:val="22"/>
        </w:rPr>
        <w:br w:type="page"/>
      </w:r>
    </w:p>
    <w:p w:rsidR="002D6C73" w:rsidRDefault="00FB6868">
      <w:pPr>
        <w:pStyle w:val="2"/>
        <w:jc w:val="center"/>
        <w:rPr>
          <w:rFonts w:ascii="黑体" w:eastAsia="黑体" w:hAnsi="黑体" w:cs="黑体"/>
          <w:b w:val="0"/>
          <w:bCs/>
          <w:i w:val="0"/>
          <w:iCs/>
          <w:sz w:val="32"/>
          <w:szCs w:val="28"/>
        </w:rPr>
      </w:pPr>
      <w:bookmarkStart w:id="103" w:name="_Toc62721791"/>
      <w:bookmarkStart w:id="104" w:name="_Toc14676"/>
      <w:r>
        <w:rPr>
          <w:rFonts w:ascii="黑体" w:eastAsia="黑体" w:hAnsi="黑体" w:cs="黑体" w:hint="eastAsia"/>
          <w:b w:val="0"/>
          <w:bCs/>
          <w:i w:val="0"/>
          <w:iCs/>
          <w:sz w:val="32"/>
          <w:szCs w:val="28"/>
        </w:rPr>
        <w:lastRenderedPageBreak/>
        <w:t>附录5  在线消费情况</w:t>
      </w:r>
      <w:bookmarkEnd w:id="103"/>
      <w:bookmarkEnd w:id="104"/>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考虑到在线消费不断扩大，我们对比线下消费，同步对于消费者在线消费情况进行了调查。</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当被问及“相比于线下消费，最近一年使用网络购物等在线消费的情况”时，74.5%的消费者选择了“非常多”或“比较多”，仅25.3%的消费者选择了“一般”、“比较少”或“非常少”。</w:t>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t>相比于线下消费，选择使用网络购物等在线消费的最主要原因是“节省时间”，占比54.4%，其次是“产品多样”，占比53.4%，再次是“价格实惠”，占比53.2%。此外，“方便比价”和“物流便捷”的占比也达到了30%以上，分别为32.2%和30.7%。</w:t>
      </w:r>
    </w:p>
    <w:p w:rsidR="002D6C73" w:rsidRDefault="00FB6868">
      <w:r>
        <w:rPr>
          <w:rFonts w:hint="eastAsia"/>
          <w:noProof/>
        </w:rPr>
        <w:drawing>
          <wp:inline distT="0" distB="0" distL="0" distR="0">
            <wp:extent cx="5274310" cy="3076575"/>
            <wp:effectExtent l="0" t="0" r="2540" b="952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D6C73" w:rsidRDefault="00FB6868">
      <w:pPr>
        <w:jc w:val="center"/>
        <w:rPr>
          <w:rFonts w:ascii="黑体" w:eastAsia="黑体" w:hAnsi="黑体" w:cs="黑体"/>
          <w:color w:val="1C1C1C"/>
          <w:sz w:val="28"/>
          <w:szCs w:val="28"/>
        </w:rPr>
      </w:pPr>
      <w:r>
        <w:rPr>
          <w:rFonts w:ascii="黑体" w:eastAsia="黑体" w:hAnsi="黑体" w:cs="黑体" w:hint="eastAsia"/>
          <w:color w:val="1C1C1C"/>
          <w:sz w:val="28"/>
          <w:szCs w:val="28"/>
        </w:rPr>
        <w:t xml:space="preserve">附图12 </w:t>
      </w:r>
      <w:r>
        <w:rPr>
          <w:rFonts w:ascii="黑体" w:eastAsia="黑体" w:hAnsi="黑体" w:cs="黑体" w:hint="eastAsia"/>
          <w:sz w:val="28"/>
          <w:szCs w:val="28"/>
        </w:rPr>
        <w:t>选择使用网络购物等在线消费的原因</w:t>
      </w:r>
      <w:r>
        <w:rPr>
          <w:rFonts w:ascii="黑体" w:eastAsia="黑体" w:hAnsi="黑体" w:cs="黑体" w:hint="eastAsia"/>
          <w:color w:val="1C1C1C"/>
          <w:sz w:val="28"/>
          <w:szCs w:val="28"/>
        </w:rPr>
        <w:br w:type="page"/>
      </w:r>
    </w:p>
    <w:p w:rsidR="002D6C73" w:rsidRDefault="00FB6868">
      <w:pPr>
        <w:ind w:firstLineChars="200" w:firstLine="640"/>
        <w:jc w:val="both"/>
        <w:rPr>
          <w:rFonts w:ascii="仿宋" w:eastAsia="仿宋" w:hAnsi="仿宋" w:cs="仿宋"/>
          <w:sz w:val="32"/>
          <w:szCs w:val="32"/>
        </w:rPr>
      </w:pPr>
      <w:r>
        <w:rPr>
          <w:rFonts w:ascii="仿宋" w:eastAsia="仿宋" w:hAnsi="仿宋" w:cs="仿宋" w:hint="eastAsia"/>
          <w:sz w:val="32"/>
          <w:szCs w:val="32"/>
        </w:rPr>
        <w:lastRenderedPageBreak/>
        <w:t>相比于线下消费，不常使用网络购物等在线消费的最主要原因是“假冒仿冒太多”，占比43.3%。此外，“销量造假或刷单”“商品质量不佳”和“评论信息不可靠”的占比也达到了30%以上，分别为33.1%，32.7%和31.6%。</w:t>
      </w:r>
    </w:p>
    <w:p w:rsidR="002D6C73" w:rsidRDefault="00FB6868">
      <w:pPr>
        <w:rPr>
          <w:rFonts w:ascii="仿宋" w:eastAsia="仿宋" w:hAnsi="仿宋" w:cs="仿宋"/>
          <w:sz w:val="32"/>
          <w:szCs w:val="32"/>
        </w:rPr>
      </w:pPr>
      <w:r>
        <w:rPr>
          <w:rFonts w:hint="eastAsia"/>
          <w:noProof/>
        </w:rPr>
        <w:drawing>
          <wp:inline distT="0" distB="0" distL="0" distR="0">
            <wp:extent cx="5274310" cy="3076575"/>
            <wp:effectExtent l="0" t="0" r="2540" b="9525"/>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D6C73" w:rsidRDefault="00FB6868">
      <w:pPr>
        <w:jc w:val="center"/>
        <w:rPr>
          <w:rFonts w:ascii="黑体" w:eastAsia="黑体" w:hAnsi="黑体" w:cs="黑体"/>
          <w:sz w:val="28"/>
          <w:szCs w:val="28"/>
        </w:rPr>
      </w:pPr>
      <w:r>
        <w:rPr>
          <w:rFonts w:ascii="黑体" w:eastAsia="黑体" w:hAnsi="黑体" w:cs="黑体" w:hint="eastAsia"/>
          <w:color w:val="1C1C1C"/>
          <w:sz w:val="28"/>
          <w:szCs w:val="28"/>
        </w:rPr>
        <w:t xml:space="preserve">附图13 </w:t>
      </w:r>
      <w:r>
        <w:rPr>
          <w:rFonts w:ascii="黑体" w:eastAsia="黑体" w:hAnsi="黑体" w:cs="黑体" w:hint="eastAsia"/>
          <w:sz w:val="28"/>
          <w:szCs w:val="28"/>
        </w:rPr>
        <w:t>不常使用网络购物等在线消费的原因</w:t>
      </w:r>
    </w:p>
    <w:p w:rsidR="002D6C73" w:rsidRDefault="00FB6868">
      <w:pPr>
        <w:rPr>
          <w:rFonts w:ascii="黑体" w:eastAsia="黑体" w:hAnsi="黑体" w:cs="黑体"/>
          <w:sz w:val="28"/>
          <w:szCs w:val="28"/>
        </w:rPr>
      </w:pPr>
      <w:r>
        <w:rPr>
          <w:rFonts w:ascii="黑体" w:eastAsia="黑体" w:hAnsi="黑体" w:cs="黑体" w:hint="eastAsia"/>
          <w:sz w:val="28"/>
          <w:szCs w:val="28"/>
        </w:rPr>
        <w:br w:type="page"/>
      </w:r>
    </w:p>
    <w:p w:rsidR="002D6C73" w:rsidRDefault="002D6C73">
      <w:pPr>
        <w:jc w:val="center"/>
        <w:rPr>
          <w:rFonts w:ascii="黑体" w:eastAsia="黑体" w:hAnsi="黑体" w:cs="黑体"/>
          <w:color w:val="1C1C1C"/>
          <w:sz w:val="28"/>
          <w:szCs w:val="28"/>
        </w:rPr>
        <w:sectPr w:rsidR="002D6C73">
          <w:pgSz w:w="11906" w:h="16838"/>
          <w:pgMar w:top="1440" w:right="1800" w:bottom="1440" w:left="1800" w:header="851" w:footer="992" w:gutter="0"/>
          <w:pgNumType w:fmt="numberInDash"/>
          <w:cols w:space="425"/>
          <w:docGrid w:type="lines" w:linePitch="312"/>
        </w:sectPr>
      </w:pPr>
    </w:p>
    <w:p w:rsidR="002D6C73" w:rsidRDefault="00FB6868">
      <w:r>
        <w:rPr>
          <w:noProof/>
        </w:rPr>
        <w:lastRenderedPageBreak/>
        <w:drawing>
          <wp:inline distT="0" distB="0" distL="114300" distR="114300">
            <wp:extent cx="8174355" cy="4904740"/>
            <wp:effectExtent l="0" t="0" r="17145" b="10160"/>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D6C73" w:rsidRDefault="00FB6868">
      <w:pPr>
        <w:spacing w:line="400" w:lineRule="exact"/>
        <w:jc w:val="center"/>
        <w:rPr>
          <w:rFonts w:ascii="黑体" w:eastAsia="黑体" w:hAnsi="黑体" w:cs="黑体"/>
          <w:sz w:val="28"/>
          <w:szCs w:val="28"/>
        </w:rPr>
      </w:pPr>
      <w:r>
        <w:rPr>
          <w:rFonts w:ascii="黑体" w:eastAsia="黑体" w:hAnsi="黑体" w:cs="黑体" w:hint="eastAsia"/>
          <w:sz w:val="28"/>
          <w:szCs w:val="28"/>
        </w:rPr>
        <w:t>图 100个城市消费者满意度得分与排名</w:t>
      </w:r>
    </w:p>
    <w:sectPr w:rsidR="002D6C73">
      <w:pgSz w:w="16838" w:h="11906" w:orient="landscape"/>
      <w:pgMar w:top="1800" w:right="1440" w:bottom="1800" w:left="144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310" w:rsidRDefault="00561310">
      <w:r>
        <w:separator/>
      </w:r>
    </w:p>
  </w:endnote>
  <w:endnote w:type="continuationSeparator" w:id="0">
    <w:p w:rsidR="00561310" w:rsidRDefault="00561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方正小标宋简体">
    <w:altName w:val="微软雅黑"/>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TimesNewRomanPSMT">
    <w:altName w:val="Times New Roman"/>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528"/>
    </w:sdtPr>
    <w:sdtEndPr>
      <w:rPr>
        <w:sz w:val="21"/>
        <w:szCs w:val="21"/>
      </w:rPr>
    </w:sdtEndPr>
    <w:sdtContent>
      <w:p w:rsidR="00FB6868" w:rsidRDefault="00FB6868">
        <w:pPr>
          <w:pStyle w:val="a9"/>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3 -</w:t>
        </w:r>
        <w:r>
          <w:rPr>
            <w:sz w:val="21"/>
            <w:szCs w:val="21"/>
          </w:rPr>
          <w:fldChar w:fldCharType="end"/>
        </w:r>
      </w:p>
    </w:sdtContent>
  </w:sdt>
  <w:p w:rsidR="00FB6868" w:rsidRDefault="00FB686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83795"/>
    </w:sdtPr>
    <w:sdtEndPr>
      <w:rPr>
        <w:sz w:val="21"/>
        <w:szCs w:val="21"/>
      </w:rPr>
    </w:sdtEndPr>
    <w:sdtContent>
      <w:p w:rsidR="00FB6868" w:rsidRDefault="00FB6868">
        <w:pPr>
          <w:pStyle w:val="a9"/>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54 -</w:t>
        </w:r>
        <w:r>
          <w:rPr>
            <w:sz w:val="21"/>
            <w:szCs w:val="21"/>
          </w:rPr>
          <w:fldChar w:fldCharType="end"/>
        </w:r>
      </w:p>
    </w:sdtContent>
  </w:sdt>
  <w:p w:rsidR="00FB6868" w:rsidRDefault="00FB6868">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298925"/>
    </w:sdtPr>
    <w:sdtEndPr>
      <w:rPr>
        <w:sz w:val="21"/>
        <w:szCs w:val="21"/>
      </w:rPr>
    </w:sdtEndPr>
    <w:sdtContent>
      <w:p w:rsidR="00FB6868" w:rsidRDefault="00FB6868">
        <w:pPr>
          <w:pStyle w:val="a9"/>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97 -</w:t>
        </w:r>
        <w:r>
          <w:rPr>
            <w:sz w:val="21"/>
            <w:szCs w:val="21"/>
          </w:rPr>
          <w:fldChar w:fldCharType="end"/>
        </w:r>
      </w:p>
    </w:sdtContent>
  </w:sdt>
  <w:p w:rsidR="00FB6868" w:rsidRDefault="00FB6868">
    <w:pPr>
      <w:pStyle w:val="a9"/>
      <w:tabs>
        <w:tab w:val="clear" w:pos="4153"/>
        <w:tab w:val="clear" w:pos="8306"/>
        <w:tab w:val="left" w:pos="8782"/>
      </w:tabs>
      <w:ind w:right="360"/>
      <w:rPr>
        <w:sz w:val="21"/>
        <w:szCs w:val="2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83797"/>
    </w:sdtPr>
    <w:sdtEndPr>
      <w:rPr>
        <w:sz w:val="21"/>
        <w:szCs w:val="21"/>
      </w:rPr>
    </w:sdtEndPr>
    <w:sdtContent>
      <w:p w:rsidR="00FB6868" w:rsidRDefault="00FB6868">
        <w:pPr>
          <w:pStyle w:val="a9"/>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113 -</w:t>
        </w:r>
        <w:r>
          <w:rPr>
            <w:sz w:val="21"/>
            <w:szCs w:val="21"/>
          </w:rPr>
          <w:fldChar w:fldCharType="end"/>
        </w:r>
      </w:p>
    </w:sdtContent>
  </w:sdt>
  <w:p w:rsidR="00FB6868" w:rsidRDefault="00FB686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310" w:rsidRDefault="00561310">
      <w:r>
        <w:separator/>
      </w:r>
    </w:p>
  </w:footnote>
  <w:footnote w:type="continuationSeparator" w:id="0">
    <w:p w:rsidR="00561310" w:rsidRDefault="00561310">
      <w:r>
        <w:continuationSeparator/>
      </w:r>
    </w:p>
  </w:footnote>
  <w:footnote w:id="1">
    <w:p w:rsidR="00FB6868" w:rsidRDefault="00FB6868">
      <w:pPr>
        <w:pStyle w:val="ad"/>
      </w:pPr>
      <w:r>
        <w:rPr>
          <w:rStyle w:val="af8"/>
        </w:rPr>
        <w:footnoteRef/>
      </w:r>
      <w:r>
        <w:t xml:space="preserve"> </w:t>
      </w:r>
      <w:r>
        <w:rPr>
          <w:rFonts w:hint="eastAsia"/>
        </w:rPr>
        <w:t>保留两位有效数字时，</w:t>
      </w:r>
      <w:r>
        <w:rPr>
          <w:rFonts w:hint="eastAsia"/>
        </w:rPr>
        <w:t>8</w:t>
      </w:r>
      <w:r>
        <w:rPr>
          <w:rFonts w:hint="eastAsia"/>
        </w:rPr>
        <w:t>组城市得分一致，分别是嘉兴市和吴忠市、沈阳市和济南市、盐城市和襄阳市、淄博市和武汉市、鞍山市和福州市、石嘴山市和东莞市、重庆市和阜阳市、绵阳市和儋州市；保留三位小数时，嘉兴市得分</w:t>
      </w:r>
      <w:r>
        <w:t>8</w:t>
      </w:r>
      <w:r>
        <w:rPr>
          <w:rFonts w:hint="eastAsia"/>
        </w:rPr>
        <w:t>1.385</w:t>
      </w:r>
      <w:r>
        <w:t>，</w:t>
      </w:r>
      <w:r>
        <w:rPr>
          <w:rFonts w:hint="eastAsia"/>
        </w:rPr>
        <w:t>吴忠</w:t>
      </w:r>
      <w:r>
        <w:t>市</w:t>
      </w:r>
      <w:r>
        <w:t>8</w:t>
      </w:r>
      <w:r>
        <w:rPr>
          <w:rFonts w:hint="eastAsia"/>
        </w:rPr>
        <w:t>1.378</w:t>
      </w:r>
      <w:r>
        <w:t>，</w:t>
      </w:r>
      <w:r>
        <w:rPr>
          <w:rFonts w:hint="eastAsia"/>
        </w:rPr>
        <w:t>沈阳市</w:t>
      </w:r>
      <w:r>
        <w:rPr>
          <w:rFonts w:hint="eastAsia"/>
        </w:rPr>
        <w:t>80.783</w:t>
      </w:r>
      <w:r>
        <w:rPr>
          <w:rFonts w:hint="eastAsia"/>
        </w:rPr>
        <w:t>，济南市</w:t>
      </w:r>
      <w:r>
        <w:rPr>
          <w:rFonts w:hint="eastAsia"/>
        </w:rPr>
        <w:t>80.780</w:t>
      </w:r>
      <w:r>
        <w:rPr>
          <w:rFonts w:hint="eastAsia"/>
        </w:rPr>
        <w:t>，淄博市</w:t>
      </w:r>
      <w:r>
        <w:rPr>
          <w:rFonts w:hint="eastAsia"/>
        </w:rPr>
        <w:t>80.090</w:t>
      </w:r>
      <w:r>
        <w:rPr>
          <w:rFonts w:hint="eastAsia"/>
        </w:rPr>
        <w:t>，武汉市</w:t>
      </w:r>
      <w:r>
        <w:rPr>
          <w:rFonts w:hint="eastAsia"/>
        </w:rPr>
        <w:t>80.085</w:t>
      </w:r>
      <w:r>
        <w:rPr>
          <w:rFonts w:hint="eastAsia"/>
        </w:rPr>
        <w:t>，鞍山市</w:t>
      </w:r>
      <w:r>
        <w:rPr>
          <w:rFonts w:hint="eastAsia"/>
        </w:rPr>
        <w:t>79.364</w:t>
      </w:r>
      <w:r>
        <w:rPr>
          <w:rFonts w:hint="eastAsia"/>
        </w:rPr>
        <w:t>，福州市</w:t>
      </w:r>
      <w:r>
        <w:rPr>
          <w:rFonts w:hint="eastAsia"/>
        </w:rPr>
        <w:t>79.357</w:t>
      </w:r>
      <w:r>
        <w:rPr>
          <w:rFonts w:hint="eastAsia"/>
        </w:rPr>
        <w:t>，石嘴山市</w:t>
      </w:r>
      <w:r>
        <w:rPr>
          <w:rFonts w:hint="eastAsia"/>
        </w:rPr>
        <w:t>79.312</w:t>
      </w:r>
      <w:r>
        <w:rPr>
          <w:rFonts w:hint="eastAsia"/>
        </w:rPr>
        <w:t>，东莞市</w:t>
      </w:r>
      <w:r>
        <w:rPr>
          <w:rFonts w:hint="eastAsia"/>
        </w:rPr>
        <w:t>79.307</w:t>
      </w:r>
      <w:r>
        <w:rPr>
          <w:rFonts w:hint="eastAsia"/>
        </w:rPr>
        <w:t>，重庆市</w:t>
      </w:r>
      <w:r>
        <w:rPr>
          <w:rFonts w:hint="eastAsia"/>
        </w:rPr>
        <w:t>78.794</w:t>
      </w:r>
      <w:r>
        <w:rPr>
          <w:rFonts w:hint="eastAsia"/>
        </w:rPr>
        <w:t>，阜阳市</w:t>
      </w:r>
      <w:r>
        <w:rPr>
          <w:rFonts w:hint="eastAsia"/>
        </w:rPr>
        <w:t>78.789</w:t>
      </w:r>
      <w:r>
        <w:rPr>
          <w:rFonts w:hint="eastAsia"/>
        </w:rPr>
        <w:t>，绵阳市</w:t>
      </w:r>
      <w:r>
        <w:rPr>
          <w:rFonts w:hint="eastAsia"/>
        </w:rPr>
        <w:t>78.784</w:t>
      </w:r>
      <w:r>
        <w:rPr>
          <w:rFonts w:hint="eastAsia"/>
        </w:rPr>
        <w:t>，儋州市</w:t>
      </w:r>
      <w:r>
        <w:rPr>
          <w:rFonts w:hint="eastAsia"/>
        </w:rPr>
        <w:t>78.782</w:t>
      </w:r>
      <w:r>
        <w:rPr>
          <w:rFonts w:hint="eastAsia"/>
        </w:rPr>
        <w:t>；保留四位小数时，盐城市得分</w:t>
      </w:r>
      <w:r>
        <w:rPr>
          <w:rFonts w:hint="eastAsia"/>
        </w:rPr>
        <w:t>80.7735</w:t>
      </w:r>
      <w:r>
        <w:rPr>
          <w:rFonts w:hint="eastAsia"/>
        </w:rPr>
        <w:t>，襄阳市</w:t>
      </w:r>
      <w:r>
        <w:rPr>
          <w:rFonts w:hint="eastAsia"/>
        </w:rPr>
        <w:t>80.7728</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BAE8EAB"/>
    <w:multiLevelType w:val="singleLevel"/>
    <w:tmpl w:val="FBAE8EAB"/>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proofState w:grammar="clean"/>
  <w:defaultTabStop w:val="420"/>
  <w:drawingGridHorizontalSpacing w:val="120"/>
  <w:drawingGridVerticalSpacing w:val="435"/>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8A8"/>
    <w:rsid w:val="00012A2F"/>
    <w:rsid w:val="0002090F"/>
    <w:rsid w:val="00022ED7"/>
    <w:rsid w:val="00030B8D"/>
    <w:rsid w:val="00031A98"/>
    <w:rsid w:val="00045886"/>
    <w:rsid w:val="00052D48"/>
    <w:rsid w:val="0006132D"/>
    <w:rsid w:val="00061AE2"/>
    <w:rsid w:val="0008311F"/>
    <w:rsid w:val="0008354F"/>
    <w:rsid w:val="000923F4"/>
    <w:rsid w:val="000A37F2"/>
    <w:rsid w:val="000A5789"/>
    <w:rsid w:val="000B2B10"/>
    <w:rsid w:val="000B325C"/>
    <w:rsid w:val="000B32F3"/>
    <w:rsid w:val="000C1236"/>
    <w:rsid w:val="000C3472"/>
    <w:rsid w:val="000C6AAC"/>
    <w:rsid w:val="000D1B99"/>
    <w:rsid w:val="000E7D04"/>
    <w:rsid w:val="00106A6D"/>
    <w:rsid w:val="0011084F"/>
    <w:rsid w:val="001119E5"/>
    <w:rsid w:val="00111AB0"/>
    <w:rsid w:val="00126971"/>
    <w:rsid w:val="00131D04"/>
    <w:rsid w:val="00142B06"/>
    <w:rsid w:val="001560F9"/>
    <w:rsid w:val="00156992"/>
    <w:rsid w:val="00157099"/>
    <w:rsid w:val="00172A27"/>
    <w:rsid w:val="00176D87"/>
    <w:rsid w:val="00182CE9"/>
    <w:rsid w:val="0018563A"/>
    <w:rsid w:val="00192BEE"/>
    <w:rsid w:val="001969A0"/>
    <w:rsid w:val="001A27A4"/>
    <w:rsid w:val="001B3732"/>
    <w:rsid w:val="001B38E1"/>
    <w:rsid w:val="001B757F"/>
    <w:rsid w:val="001C4A26"/>
    <w:rsid w:val="001C534A"/>
    <w:rsid w:val="001C5965"/>
    <w:rsid w:val="001F3071"/>
    <w:rsid w:val="001F416B"/>
    <w:rsid w:val="00204013"/>
    <w:rsid w:val="002065BD"/>
    <w:rsid w:val="00206660"/>
    <w:rsid w:val="0021584E"/>
    <w:rsid w:val="002335C6"/>
    <w:rsid w:val="00250D10"/>
    <w:rsid w:val="0026036F"/>
    <w:rsid w:val="00261D3B"/>
    <w:rsid w:val="002703FD"/>
    <w:rsid w:val="00270BE1"/>
    <w:rsid w:val="002A1710"/>
    <w:rsid w:val="002B182C"/>
    <w:rsid w:val="002C34D6"/>
    <w:rsid w:val="002D2918"/>
    <w:rsid w:val="002D6C73"/>
    <w:rsid w:val="002E2716"/>
    <w:rsid w:val="002E4652"/>
    <w:rsid w:val="002F1FEB"/>
    <w:rsid w:val="002F275A"/>
    <w:rsid w:val="002F2960"/>
    <w:rsid w:val="00322268"/>
    <w:rsid w:val="00326392"/>
    <w:rsid w:val="0033186C"/>
    <w:rsid w:val="00337D19"/>
    <w:rsid w:val="00340670"/>
    <w:rsid w:val="00357852"/>
    <w:rsid w:val="00357A99"/>
    <w:rsid w:val="00363E1F"/>
    <w:rsid w:val="00373DBC"/>
    <w:rsid w:val="00386780"/>
    <w:rsid w:val="00392384"/>
    <w:rsid w:val="003B32E0"/>
    <w:rsid w:val="003B40A2"/>
    <w:rsid w:val="003C08EF"/>
    <w:rsid w:val="003C5720"/>
    <w:rsid w:val="003E2968"/>
    <w:rsid w:val="003F0988"/>
    <w:rsid w:val="003F1C88"/>
    <w:rsid w:val="003F33E6"/>
    <w:rsid w:val="003F5CFF"/>
    <w:rsid w:val="00402704"/>
    <w:rsid w:val="004109AA"/>
    <w:rsid w:val="00412A2F"/>
    <w:rsid w:val="00420646"/>
    <w:rsid w:val="004321EF"/>
    <w:rsid w:val="00433440"/>
    <w:rsid w:val="00433BF2"/>
    <w:rsid w:val="0043657C"/>
    <w:rsid w:val="00451294"/>
    <w:rsid w:val="00461F0E"/>
    <w:rsid w:val="004625FC"/>
    <w:rsid w:val="0046681F"/>
    <w:rsid w:val="00473FE0"/>
    <w:rsid w:val="0047574C"/>
    <w:rsid w:val="00476A0D"/>
    <w:rsid w:val="00482A3B"/>
    <w:rsid w:val="00486C58"/>
    <w:rsid w:val="00491CAB"/>
    <w:rsid w:val="00492E29"/>
    <w:rsid w:val="00493835"/>
    <w:rsid w:val="004A3E89"/>
    <w:rsid w:val="004D30A1"/>
    <w:rsid w:val="004D378F"/>
    <w:rsid w:val="004D3D04"/>
    <w:rsid w:val="004D5B5C"/>
    <w:rsid w:val="004E15DB"/>
    <w:rsid w:val="0051719E"/>
    <w:rsid w:val="00522172"/>
    <w:rsid w:val="00535C87"/>
    <w:rsid w:val="00551FB9"/>
    <w:rsid w:val="00552917"/>
    <w:rsid w:val="00554D4A"/>
    <w:rsid w:val="00561310"/>
    <w:rsid w:val="00561323"/>
    <w:rsid w:val="00566EED"/>
    <w:rsid w:val="00582EE9"/>
    <w:rsid w:val="00584828"/>
    <w:rsid w:val="00591921"/>
    <w:rsid w:val="005B797B"/>
    <w:rsid w:val="005E06F3"/>
    <w:rsid w:val="005E0DE2"/>
    <w:rsid w:val="005F4A02"/>
    <w:rsid w:val="005F6079"/>
    <w:rsid w:val="006009FE"/>
    <w:rsid w:val="00602320"/>
    <w:rsid w:val="00612820"/>
    <w:rsid w:val="00634573"/>
    <w:rsid w:val="00643C98"/>
    <w:rsid w:val="00645482"/>
    <w:rsid w:val="00646012"/>
    <w:rsid w:val="0066560A"/>
    <w:rsid w:val="00667331"/>
    <w:rsid w:val="00674CD9"/>
    <w:rsid w:val="006750B8"/>
    <w:rsid w:val="00676EDF"/>
    <w:rsid w:val="0067763C"/>
    <w:rsid w:val="0068077A"/>
    <w:rsid w:val="006A311D"/>
    <w:rsid w:val="006A5A61"/>
    <w:rsid w:val="006C4B42"/>
    <w:rsid w:val="006D4E28"/>
    <w:rsid w:val="006E0E8C"/>
    <w:rsid w:val="006E163E"/>
    <w:rsid w:val="006F1EF5"/>
    <w:rsid w:val="007002D7"/>
    <w:rsid w:val="00701B80"/>
    <w:rsid w:val="00727151"/>
    <w:rsid w:val="007313F8"/>
    <w:rsid w:val="007333C3"/>
    <w:rsid w:val="0073724F"/>
    <w:rsid w:val="00744223"/>
    <w:rsid w:val="00744DD0"/>
    <w:rsid w:val="00751051"/>
    <w:rsid w:val="00751650"/>
    <w:rsid w:val="007650F3"/>
    <w:rsid w:val="007651A4"/>
    <w:rsid w:val="007666B2"/>
    <w:rsid w:val="00770AB3"/>
    <w:rsid w:val="00773BF9"/>
    <w:rsid w:val="0077609F"/>
    <w:rsid w:val="0078313E"/>
    <w:rsid w:val="00786B19"/>
    <w:rsid w:val="007A5DCF"/>
    <w:rsid w:val="007B0B55"/>
    <w:rsid w:val="007C43C7"/>
    <w:rsid w:val="007D236A"/>
    <w:rsid w:val="007E2B06"/>
    <w:rsid w:val="007E4CA5"/>
    <w:rsid w:val="007F33EC"/>
    <w:rsid w:val="007F7B20"/>
    <w:rsid w:val="00802AAE"/>
    <w:rsid w:val="00804A97"/>
    <w:rsid w:val="00810188"/>
    <w:rsid w:val="00810B7B"/>
    <w:rsid w:val="00812D65"/>
    <w:rsid w:val="00817A17"/>
    <w:rsid w:val="00817E66"/>
    <w:rsid w:val="00820482"/>
    <w:rsid w:val="00845518"/>
    <w:rsid w:val="00847624"/>
    <w:rsid w:val="0085514B"/>
    <w:rsid w:val="008571C0"/>
    <w:rsid w:val="0086060A"/>
    <w:rsid w:val="00877A54"/>
    <w:rsid w:val="00883E4B"/>
    <w:rsid w:val="00884CD5"/>
    <w:rsid w:val="00884FE6"/>
    <w:rsid w:val="00891CD5"/>
    <w:rsid w:val="0089789B"/>
    <w:rsid w:val="008A5BBF"/>
    <w:rsid w:val="008A7DDC"/>
    <w:rsid w:val="008B318F"/>
    <w:rsid w:val="008B6492"/>
    <w:rsid w:val="008C50BE"/>
    <w:rsid w:val="008D4597"/>
    <w:rsid w:val="008E2A11"/>
    <w:rsid w:val="008F3B7C"/>
    <w:rsid w:val="008F4AF1"/>
    <w:rsid w:val="00922AC3"/>
    <w:rsid w:val="00943DC4"/>
    <w:rsid w:val="009535CE"/>
    <w:rsid w:val="00954326"/>
    <w:rsid w:val="00954736"/>
    <w:rsid w:val="00957335"/>
    <w:rsid w:val="00963589"/>
    <w:rsid w:val="00967302"/>
    <w:rsid w:val="009927A0"/>
    <w:rsid w:val="00992B85"/>
    <w:rsid w:val="00993E6D"/>
    <w:rsid w:val="009B2593"/>
    <w:rsid w:val="009C3839"/>
    <w:rsid w:val="009C4875"/>
    <w:rsid w:val="009C7209"/>
    <w:rsid w:val="009E2905"/>
    <w:rsid w:val="009F1D66"/>
    <w:rsid w:val="00A04050"/>
    <w:rsid w:val="00A413B7"/>
    <w:rsid w:val="00A41A41"/>
    <w:rsid w:val="00A41EAE"/>
    <w:rsid w:val="00A54816"/>
    <w:rsid w:val="00A75205"/>
    <w:rsid w:val="00A860F0"/>
    <w:rsid w:val="00AB48C7"/>
    <w:rsid w:val="00AC577F"/>
    <w:rsid w:val="00AD175B"/>
    <w:rsid w:val="00AD3D92"/>
    <w:rsid w:val="00AD720A"/>
    <w:rsid w:val="00AE39D5"/>
    <w:rsid w:val="00AE5F4B"/>
    <w:rsid w:val="00AE6A8F"/>
    <w:rsid w:val="00AF0E8B"/>
    <w:rsid w:val="00B0402C"/>
    <w:rsid w:val="00B14ACE"/>
    <w:rsid w:val="00B161CE"/>
    <w:rsid w:val="00B23478"/>
    <w:rsid w:val="00B37E2F"/>
    <w:rsid w:val="00B426A9"/>
    <w:rsid w:val="00B43BDB"/>
    <w:rsid w:val="00B533A0"/>
    <w:rsid w:val="00B5443F"/>
    <w:rsid w:val="00B55F29"/>
    <w:rsid w:val="00B64778"/>
    <w:rsid w:val="00B71346"/>
    <w:rsid w:val="00B81C96"/>
    <w:rsid w:val="00B81F75"/>
    <w:rsid w:val="00B871C8"/>
    <w:rsid w:val="00B90269"/>
    <w:rsid w:val="00BB0D4F"/>
    <w:rsid w:val="00BB0FB4"/>
    <w:rsid w:val="00BB15A1"/>
    <w:rsid w:val="00BB7CAB"/>
    <w:rsid w:val="00BC071A"/>
    <w:rsid w:val="00BF521F"/>
    <w:rsid w:val="00C13CE2"/>
    <w:rsid w:val="00C16346"/>
    <w:rsid w:val="00C175B9"/>
    <w:rsid w:val="00C17643"/>
    <w:rsid w:val="00C31481"/>
    <w:rsid w:val="00C47FCA"/>
    <w:rsid w:val="00C5322F"/>
    <w:rsid w:val="00C560C0"/>
    <w:rsid w:val="00C6111C"/>
    <w:rsid w:val="00C6641C"/>
    <w:rsid w:val="00C7470B"/>
    <w:rsid w:val="00C76C3B"/>
    <w:rsid w:val="00C76D09"/>
    <w:rsid w:val="00C841F8"/>
    <w:rsid w:val="00C8513E"/>
    <w:rsid w:val="00C87C93"/>
    <w:rsid w:val="00C91DF8"/>
    <w:rsid w:val="00CA534C"/>
    <w:rsid w:val="00CB61EF"/>
    <w:rsid w:val="00CE24CA"/>
    <w:rsid w:val="00CE543C"/>
    <w:rsid w:val="00CE6F2A"/>
    <w:rsid w:val="00CF5055"/>
    <w:rsid w:val="00CF5DB1"/>
    <w:rsid w:val="00D16A12"/>
    <w:rsid w:val="00D17700"/>
    <w:rsid w:val="00D31713"/>
    <w:rsid w:val="00D31CB9"/>
    <w:rsid w:val="00D3269B"/>
    <w:rsid w:val="00D34FB6"/>
    <w:rsid w:val="00D46528"/>
    <w:rsid w:val="00D47C3A"/>
    <w:rsid w:val="00D53CE5"/>
    <w:rsid w:val="00D53EB4"/>
    <w:rsid w:val="00D611B0"/>
    <w:rsid w:val="00D62FB8"/>
    <w:rsid w:val="00D63AFD"/>
    <w:rsid w:val="00D6749A"/>
    <w:rsid w:val="00D750D6"/>
    <w:rsid w:val="00D9038E"/>
    <w:rsid w:val="00D91C88"/>
    <w:rsid w:val="00D92A41"/>
    <w:rsid w:val="00DB2008"/>
    <w:rsid w:val="00DB2AF9"/>
    <w:rsid w:val="00DB6BB7"/>
    <w:rsid w:val="00DC1600"/>
    <w:rsid w:val="00DC691F"/>
    <w:rsid w:val="00DE2658"/>
    <w:rsid w:val="00DE476E"/>
    <w:rsid w:val="00DF5C0B"/>
    <w:rsid w:val="00E03267"/>
    <w:rsid w:val="00E04189"/>
    <w:rsid w:val="00E061A0"/>
    <w:rsid w:val="00E11232"/>
    <w:rsid w:val="00E17585"/>
    <w:rsid w:val="00E20EE6"/>
    <w:rsid w:val="00E2437D"/>
    <w:rsid w:val="00E31218"/>
    <w:rsid w:val="00E45EF5"/>
    <w:rsid w:val="00E46B79"/>
    <w:rsid w:val="00E52B5A"/>
    <w:rsid w:val="00E5590C"/>
    <w:rsid w:val="00E7163C"/>
    <w:rsid w:val="00E748FD"/>
    <w:rsid w:val="00E762EE"/>
    <w:rsid w:val="00E76C74"/>
    <w:rsid w:val="00E83A2F"/>
    <w:rsid w:val="00E863A8"/>
    <w:rsid w:val="00E92F2A"/>
    <w:rsid w:val="00EC2D5E"/>
    <w:rsid w:val="00EC318A"/>
    <w:rsid w:val="00ED1457"/>
    <w:rsid w:val="00ED2147"/>
    <w:rsid w:val="00ED3A1E"/>
    <w:rsid w:val="00EF3DEE"/>
    <w:rsid w:val="00F0114C"/>
    <w:rsid w:val="00F05454"/>
    <w:rsid w:val="00F07574"/>
    <w:rsid w:val="00F13791"/>
    <w:rsid w:val="00F21EF8"/>
    <w:rsid w:val="00F27DE4"/>
    <w:rsid w:val="00F343F0"/>
    <w:rsid w:val="00F44718"/>
    <w:rsid w:val="00F451AB"/>
    <w:rsid w:val="00F756BF"/>
    <w:rsid w:val="00F83A2D"/>
    <w:rsid w:val="00F83AA6"/>
    <w:rsid w:val="00F857A4"/>
    <w:rsid w:val="00F95753"/>
    <w:rsid w:val="00FA01D6"/>
    <w:rsid w:val="00FA10BA"/>
    <w:rsid w:val="00FA5251"/>
    <w:rsid w:val="00FA7455"/>
    <w:rsid w:val="00FB23AC"/>
    <w:rsid w:val="00FB6868"/>
    <w:rsid w:val="00FD0725"/>
    <w:rsid w:val="00FD401A"/>
    <w:rsid w:val="00FE53FD"/>
    <w:rsid w:val="00FE565F"/>
    <w:rsid w:val="00FE638E"/>
    <w:rsid w:val="00FF2679"/>
    <w:rsid w:val="010559DD"/>
    <w:rsid w:val="0116336F"/>
    <w:rsid w:val="0139669D"/>
    <w:rsid w:val="01763BCE"/>
    <w:rsid w:val="01BD75BE"/>
    <w:rsid w:val="020646DD"/>
    <w:rsid w:val="026B3634"/>
    <w:rsid w:val="02785724"/>
    <w:rsid w:val="02AA327D"/>
    <w:rsid w:val="02E37511"/>
    <w:rsid w:val="03235D6C"/>
    <w:rsid w:val="0381697D"/>
    <w:rsid w:val="03A03184"/>
    <w:rsid w:val="03AC71EE"/>
    <w:rsid w:val="03C45CBB"/>
    <w:rsid w:val="03C85109"/>
    <w:rsid w:val="040F5BED"/>
    <w:rsid w:val="043E6C3C"/>
    <w:rsid w:val="045F1833"/>
    <w:rsid w:val="04D05CEB"/>
    <w:rsid w:val="05145BD8"/>
    <w:rsid w:val="052120A3"/>
    <w:rsid w:val="05637014"/>
    <w:rsid w:val="056B5E35"/>
    <w:rsid w:val="056F72B2"/>
    <w:rsid w:val="057B24BA"/>
    <w:rsid w:val="057C4FC6"/>
    <w:rsid w:val="057E74F5"/>
    <w:rsid w:val="05810D04"/>
    <w:rsid w:val="059E1945"/>
    <w:rsid w:val="05E41A4E"/>
    <w:rsid w:val="05F119CC"/>
    <w:rsid w:val="061834A6"/>
    <w:rsid w:val="0635559F"/>
    <w:rsid w:val="06387616"/>
    <w:rsid w:val="06C90C44"/>
    <w:rsid w:val="06E15F59"/>
    <w:rsid w:val="06F02D93"/>
    <w:rsid w:val="073F5E18"/>
    <w:rsid w:val="077922F3"/>
    <w:rsid w:val="07B85EB1"/>
    <w:rsid w:val="07F42AAE"/>
    <w:rsid w:val="08230F87"/>
    <w:rsid w:val="08280702"/>
    <w:rsid w:val="08386081"/>
    <w:rsid w:val="084B3FEC"/>
    <w:rsid w:val="08572FF3"/>
    <w:rsid w:val="088E0E17"/>
    <w:rsid w:val="08962D19"/>
    <w:rsid w:val="08BA6A96"/>
    <w:rsid w:val="08D00067"/>
    <w:rsid w:val="09023F99"/>
    <w:rsid w:val="090E7E8D"/>
    <w:rsid w:val="09320D22"/>
    <w:rsid w:val="094042E6"/>
    <w:rsid w:val="094644D7"/>
    <w:rsid w:val="095F0577"/>
    <w:rsid w:val="09785C8A"/>
    <w:rsid w:val="09975029"/>
    <w:rsid w:val="09BB7394"/>
    <w:rsid w:val="09C71DCA"/>
    <w:rsid w:val="0A524FB1"/>
    <w:rsid w:val="0A684239"/>
    <w:rsid w:val="0A782765"/>
    <w:rsid w:val="0A8120CC"/>
    <w:rsid w:val="0A8F6E8F"/>
    <w:rsid w:val="0A957715"/>
    <w:rsid w:val="0AA80986"/>
    <w:rsid w:val="0AD16319"/>
    <w:rsid w:val="0ADE7410"/>
    <w:rsid w:val="0AE97BF6"/>
    <w:rsid w:val="0AFD0EBC"/>
    <w:rsid w:val="0B2C17A1"/>
    <w:rsid w:val="0B623B93"/>
    <w:rsid w:val="0B6435BB"/>
    <w:rsid w:val="0BBE087D"/>
    <w:rsid w:val="0BF93D72"/>
    <w:rsid w:val="0C006EB6"/>
    <w:rsid w:val="0C454E7A"/>
    <w:rsid w:val="0C4D6756"/>
    <w:rsid w:val="0C9B273A"/>
    <w:rsid w:val="0CA43CE5"/>
    <w:rsid w:val="0CE322B5"/>
    <w:rsid w:val="0D04253E"/>
    <w:rsid w:val="0D4D3C52"/>
    <w:rsid w:val="0DC54D8F"/>
    <w:rsid w:val="0DCD2DC7"/>
    <w:rsid w:val="0DEF2150"/>
    <w:rsid w:val="0E030449"/>
    <w:rsid w:val="0E0F47D6"/>
    <w:rsid w:val="0E910299"/>
    <w:rsid w:val="0E94148D"/>
    <w:rsid w:val="0EB63B25"/>
    <w:rsid w:val="0F3F3C37"/>
    <w:rsid w:val="0FD312F8"/>
    <w:rsid w:val="0FDB200C"/>
    <w:rsid w:val="0FFC3664"/>
    <w:rsid w:val="102722AD"/>
    <w:rsid w:val="10AD5132"/>
    <w:rsid w:val="10E55D53"/>
    <w:rsid w:val="10FB7C4C"/>
    <w:rsid w:val="11132378"/>
    <w:rsid w:val="11186A50"/>
    <w:rsid w:val="111F40E1"/>
    <w:rsid w:val="114F07E8"/>
    <w:rsid w:val="11924A5D"/>
    <w:rsid w:val="11A715CA"/>
    <w:rsid w:val="11F25B20"/>
    <w:rsid w:val="12276EF4"/>
    <w:rsid w:val="12481D5F"/>
    <w:rsid w:val="125A7EB4"/>
    <w:rsid w:val="126A2BF3"/>
    <w:rsid w:val="12A42463"/>
    <w:rsid w:val="12B74046"/>
    <w:rsid w:val="134B4103"/>
    <w:rsid w:val="134F56EF"/>
    <w:rsid w:val="1369635F"/>
    <w:rsid w:val="13F43461"/>
    <w:rsid w:val="140A38C1"/>
    <w:rsid w:val="14553B17"/>
    <w:rsid w:val="14661738"/>
    <w:rsid w:val="14AD2D11"/>
    <w:rsid w:val="14B60A59"/>
    <w:rsid w:val="14EB18BB"/>
    <w:rsid w:val="150B768C"/>
    <w:rsid w:val="15265184"/>
    <w:rsid w:val="15433DB9"/>
    <w:rsid w:val="155142DE"/>
    <w:rsid w:val="15E35B99"/>
    <w:rsid w:val="16234EED"/>
    <w:rsid w:val="16332CCA"/>
    <w:rsid w:val="16677F31"/>
    <w:rsid w:val="1683496B"/>
    <w:rsid w:val="1706734A"/>
    <w:rsid w:val="172D53E2"/>
    <w:rsid w:val="174567D7"/>
    <w:rsid w:val="175D64D0"/>
    <w:rsid w:val="17780D63"/>
    <w:rsid w:val="17A31315"/>
    <w:rsid w:val="17F229ED"/>
    <w:rsid w:val="18394A9B"/>
    <w:rsid w:val="18455C50"/>
    <w:rsid w:val="18894393"/>
    <w:rsid w:val="189B3722"/>
    <w:rsid w:val="18F63219"/>
    <w:rsid w:val="18FC27B3"/>
    <w:rsid w:val="19246D19"/>
    <w:rsid w:val="19584673"/>
    <w:rsid w:val="19F30824"/>
    <w:rsid w:val="19FE5E1E"/>
    <w:rsid w:val="1A045DC3"/>
    <w:rsid w:val="1A0D4AD8"/>
    <w:rsid w:val="1A1A208B"/>
    <w:rsid w:val="1A2F0966"/>
    <w:rsid w:val="1A401090"/>
    <w:rsid w:val="1A5C2369"/>
    <w:rsid w:val="1A6828F0"/>
    <w:rsid w:val="1A9058A9"/>
    <w:rsid w:val="1AE259D8"/>
    <w:rsid w:val="1B7C43C9"/>
    <w:rsid w:val="1BAD6638"/>
    <w:rsid w:val="1BDB5484"/>
    <w:rsid w:val="1BE61C24"/>
    <w:rsid w:val="1BEA6AFC"/>
    <w:rsid w:val="1C715266"/>
    <w:rsid w:val="1CAB7AE1"/>
    <w:rsid w:val="1CB82DF6"/>
    <w:rsid w:val="1CC7132A"/>
    <w:rsid w:val="1D1D508B"/>
    <w:rsid w:val="1D2C40BC"/>
    <w:rsid w:val="1D3B29EA"/>
    <w:rsid w:val="1D5E1C8E"/>
    <w:rsid w:val="1D884F5D"/>
    <w:rsid w:val="1DB00ED0"/>
    <w:rsid w:val="1DC53ABB"/>
    <w:rsid w:val="1E00438A"/>
    <w:rsid w:val="1E5C4BFD"/>
    <w:rsid w:val="1E6A437D"/>
    <w:rsid w:val="1E840F3A"/>
    <w:rsid w:val="1E9B5D2E"/>
    <w:rsid w:val="1EC35A1D"/>
    <w:rsid w:val="1ECB3353"/>
    <w:rsid w:val="1F342C07"/>
    <w:rsid w:val="1F8A4FBC"/>
    <w:rsid w:val="1FAC74FB"/>
    <w:rsid w:val="1FE06210"/>
    <w:rsid w:val="203462B0"/>
    <w:rsid w:val="2040495B"/>
    <w:rsid w:val="205123E9"/>
    <w:rsid w:val="208512E0"/>
    <w:rsid w:val="209A36CC"/>
    <w:rsid w:val="20A07DA0"/>
    <w:rsid w:val="20E165FA"/>
    <w:rsid w:val="20F53248"/>
    <w:rsid w:val="21130F53"/>
    <w:rsid w:val="212C5072"/>
    <w:rsid w:val="215C7423"/>
    <w:rsid w:val="21AB2C5C"/>
    <w:rsid w:val="21BD1792"/>
    <w:rsid w:val="21F650DA"/>
    <w:rsid w:val="21FA5CFD"/>
    <w:rsid w:val="21FE49AD"/>
    <w:rsid w:val="22274D44"/>
    <w:rsid w:val="229015F1"/>
    <w:rsid w:val="22D41F3F"/>
    <w:rsid w:val="22EC5466"/>
    <w:rsid w:val="232B7E87"/>
    <w:rsid w:val="234E13EE"/>
    <w:rsid w:val="23970786"/>
    <w:rsid w:val="23F84985"/>
    <w:rsid w:val="242C3514"/>
    <w:rsid w:val="24A72788"/>
    <w:rsid w:val="24C640DD"/>
    <w:rsid w:val="25035421"/>
    <w:rsid w:val="250F386E"/>
    <w:rsid w:val="254C623B"/>
    <w:rsid w:val="257B7155"/>
    <w:rsid w:val="25900D83"/>
    <w:rsid w:val="25CE2857"/>
    <w:rsid w:val="26243349"/>
    <w:rsid w:val="266A793A"/>
    <w:rsid w:val="267F47AF"/>
    <w:rsid w:val="26CA2142"/>
    <w:rsid w:val="26E710A3"/>
    <w:rsid w:val="27071C30"/>
    <w:rsid w:val="2777107D"/>
    <w:rsid w:val="27927A00"/>
    <w:rsid w:val="27953F9D"/>
    <w:rsid w:val="27991F2A"/>
    <w:rsid w:val="27B30E28"/>
    <w:rsid w:val="28687E65"/>
    <w:rsid w:val="28A078B6"/>
    <w:rsid w:val="28A16ED3"/>
    <w:rsid w:val="28B119B2"/>
    <w:rsid w:val="29003BF9"/>
    <w:rsid w:val="292C544C"/>
    <w:rsid w:val="293463EA"/>
    <w:rsid w:val="29612DAE"/>
    <w:rsid w:val="2966771D"/>
    <w:rsid w:val="297426A4"/>
    <w:rsid w:val="29882ED5"/>
    <w:rsid w:val="29973753"/>
    <w:rsid w:val="29C30439"/>
    <w:rsid w:val="29C408CE"/>
    <w:rsid w:val="2A121A50"/>
    <w:rsid w:val="2A510485"/>
    <w:rsid w:val="2A8A32B7"/>
    <w:rsid w:val="2AF83E1C"/>
    <w:rsid w:val="2B0B4AD7"/>
    <w:rsid w:val="2B312C9A"/>
    <w:rsid w:val="2B410C07"/>
    <w:rsid w:val="2B4D019C"/>
    <w:rsid w:val="2BCE4512"/>
    <w:rsid w:val="2BDE20E2"/>
    <w:rsid w:val="2BF150EC"/>
    <w:rsid w:val="2BF57C11"/>
    <w:rsid w:val="2C296474"/>
    <w:rsid w:val="2C4E1120"/>
    <w:rsid w:val="2CAA4B86"/>
    <w:rsid w:val="2CF76A1E"/>
    <w:rsid w:val="2D202DC8"/>
    <w:rsid w:val="2D5A7ACF"/>
    <w:rsid w:val="2D965BA3"/>
    <w:rsid w:val="2DCF2F7A"/>
    <w:rsid w:val="2DE4042D"/>
    <w:rsid w:val="2DFA0D7D"/>
    <w:rsid w:val="2E00186E"/>
    <w:rsid w:val="2E086270"/>
    <w:rsid w:val="2E0A7E3C"/>
    <w:rsid w:val="2E183793"/>
    <w:rsid w:val="2E1B7B4D"/>
    <w:rsid w:val="2E2A35E1"/>
    <w:rsid w:val="2E3C6269"/>
    <w:rsid w:val="2E6E7857"/>
    <w:rsid w:val="2F191309"/>
    <w:rsid w:val="2FD51137"/>
    <w:rsid w:val="30122633"/>
    <w:rsid w:val="302023BB"/>
    <w:rsid w:val="302774F6"/>
    <w:rsid w:val="307C0EC3"/>
    <w:rsid w:val="309317F7"/>
    <w:rsid w:val="30C8448F"/>
    <w:rsid w:val="30E87D95"/>
    <w:rsid w:val="311F308B"/>
    <w:rsid w:val="31460074"/>
    <w:rsid w:val="3150061A"/>
    <w:rsid w:val="31663A7F"/>
    <w:rsid w:val="3177520D"/>
    <w:rsid w:val="317E5DFE"/>
    <w:rsid w:val="31B41A25"/>
    <w:rsid w:val="31BB6ACD"/>
    <w:rsid w:val="31BE2259"/>
    <w:rsid w:val="31D16A7B"/>
    <w:rsid w:val="328D2734"/>
    <w:rsid w:val="32965E2A"/>
    <w:rsid w:val="32D653E4"/>
    <w:rsid w:val="32DE6731"/>
    <w:rsid w:val="32F16CCB"/>
    <w:rsid w:val="333C12B0"/>
    <w:rsid w:val="3399048A"/>
    <w:rsid w:val="3405307C"/>
    <w:rsid w:val="34060295"/>
    <w:rsid w:val="340A5845"/>
    <w:rsid w:val="34120C85"/>
    <w:rsid w:val="357C0694"/>
    <w:rsid w:val="35E50F6C"/>
    <w:rsid w:val="35F70776"/>
    <w:rsid w:val="36030AE8"/>
    <w:rsid w:val="36277162"/>
    <w:rsid w:val="365469AA"/>
    <w:rsid w:val="36AD060C"/>
    <w:rsid w:val="36ED633C"/>
    <w:rsid w:val="37054AD1"/>
    <w:rsid w:val="376249A9"/>
    <w:rsid w:val="378E7063"/>
    <w:rsid w:val="3799307A"/>
    <w:rsid w:val="37A83DDA"/>
    <w:rsid w:val="37FD7AE0"/>
    <w:rsid w:val="37FE7C91"/>
    <w:rsid w:val="38237904"/>
    <w:rsid w:val="38482EC7"/>
    <w:rsid w:val="38707A07"/>
    <w:rsid w:val="38DD7AB3"/>
    <w:rsid w:val="38F505F6"/>
    <w:rsid w:val="39043CD2"/>
    <w:rsid w:val="3933135A"/>
    <w:rsid w:val="39451584"/>
    <w:rsid w:val="39550757"/>
    <w:rsid w:val="39B17F5B"/>
    <w:rsid w:val="39C11211"/>
    <w:rsid w:val="39F4397F"/>
    <w:rsid w:val="3A084132"/>
    <w:rsid w:val="3A2B4D58"/>
    <w:rsid w:val="3A39340F"/>
    <w:rsid w:val="3A4D2F4C"/>
    <w:rsid w:val="3A6A6B8E"/>
    <w:rsid w:val="3AA16A08"/>
    <w:rsid w:val="3AB570C2"/>
    <w:rsid w:val="3AB60179"/>
    <w:rsid w:val="3AD85FED"/>
    <w:rsid w:val="3AE02BAB"/>
    <w:rsid w:val="3AFD635D"/>
    <w:rsid w:val="3B7D2B61"/>
    <w:rsid w:val="3B9C1EA7"/>
    <w:rsid w:val="3BB87D12"/>
    <w:rsid w:val="3BC1546A"/>
    <w:rsid w:val="3BC71AFA"/>
    <w:rsid w:val="3BE754C1"/>
    <w:rsid w:val="3BF63CF6"/>
    <w:rsid w:val="3BF74C54"/>
    <w:rsid w:val="3C056CEB"/>
    <w:rsid w:val="3C0B0141"/>
    <w:rsid w:val="3C4B553C"/>
    <w:rsid w:val="3D155CBC"/>
    <w:rsid w:val="3D257C7B"/>
    <w:rsid w:val="3D3639BB"/>
    <w:rsid w:val="3D3A0FE2"/>
    <w:rsid w:val="3D47142E"/>
    <w:rsid w:val="3DC94AA2"/>
    <w:rsid w:val="3DD44091"/>
    <w:rsid w:val="3DDB658B"/>
    <w:rsid w:val="3E04391C"/>
    <w:rsid w:val="3E073969"/>
    <w:rsid w:val="3E236DA5"/>
    <w:rsid w:val="3F72791C"/>
    <w:rsid w:val="3F7A2219"/>
    <w:rsid w:val="3F970905"/>
    <w:rsid w:val="3FB5472E"/>
    <w:rsid w:val="3FC96EB0"/>
    <w:rsid w:val="3FF30B60"/>
    <w:rsid w:val="401705A5"/>
    <w:rsid w:val="40251D40"/>
    <w:rsid w:val="405E5D3B"/>
    <w:rsid w:val="406D6B6B"/>
    <w:rsid w:val="40AD420F"/>
    <w:rsid w:val="40C61775"/>
    <w:rsid w:val="40D23C76"/>
    <w:rsid w:val="40D774B1"/>
    <w:rsid w:val="41107BC1"/>
    <w:rsid w:val="41566655"/>
    <w:rsid w:val="41CC2DBB"/>
    <w:rsid w:val="41FA176A"/>
    <w:rsid w:val="41FD4D22"/>
    <w:rsid w:val="421E4007"/>
    <w:rsid w:val="42674891"/>
    <w:rsid w:val="426C1EA8"/>
    <w:rsid w:val="431762B8"/>
    <w:rsid w:val="432664FB"/>
    <w:rsid w:val="437F1D8F"/>
    <w:rsid w:val="43994F1E"/>
    <w:rsid w:val="43F307BE"/>
    <w:rsid w:val="44276C2C"/>
    <w:rsid w:val="4444057E"/>
    <w:rsid w:val="44573811"/>
    <w:rsid w:val="44663377"/>
    <w:rsid w:val="446E36D8"/>
    <w:rsid w:val="44BC7C62"/>
    <w:rsid w:val="44BF09B5"/>
    <w:rsid w:val="45543C5D"/>
    <w:rsid w:val="45654037"/>
    <w:rsid w:val="45A57BAB"/>
    <w:rsid w:val="45B002FD"/>
    <w:rsid w:val="45B14F57"/>
    <w:rsid w:val="46223505"/>
    <w:rsid w:val="46265976"/>
    <w:rsid w:val="469034EF"/>
    <w:rsid w:val="469A13E8"/>
    <w:rsid w:val="46C779D4"/>
    <w:rsid w:val="47030DED"/>
    <w:rsid w:val="47034D20"/>
    <w:rsid w:val="47135926"/>
    <w:rsid w:val="47393B39"/>
    <w:rsid w:val="473C453F"/>
    <w:rsid w:val="4757086C"/>
    <w:rsid w:val="47965103"/>
    <w:rsid w:val="47C82E9D"/>
    <w:rsid w:val="47EE5F11"/>
    <w:rsid w:val="47FC208C"/>
    <w:rsid w:val="481A6FD2"/>
    <w:rsid w:val="48832F73"/>
    <w:rsid w:val="48871B74"/>
    <w:rsid w:val="48914416"/>
    <w:rsid w:val="48976F9D"/>
    <w:rsid w:val="48B325DE"/>
    <w:rsid w:val="48C31761"/>
    <w:rsid w:val="48F74BC1"/>
    <w:rsid w:val="49693AB4"/>
    <w:rsid w:val="496B07D2"/>
    <w:rsid w:val="499019A0"/>
    <w:rsid w:val="499E049E"/>
    <w:rsid w:val="49A44C44"/>
    <w:rsid w:val="49C0722B"/>
    <w:rsid w:val="49C90BBB"/>
    <w:rsid w:val="49D64E06"/>
    <w:rsid w:val="49D7069C"/>
    <w:rsid w:val="49F53D16"/>
    <w:rsid w:val="49FC1B85"/>
    <w:rsid w:val="4A0D5F9E"/>
    <w:rsid w:val="4A66742B"/>
    <w:rsid w:val="4AB42E7C"/>
    <w:rsid w:val="4AC2685D"/>
    <w:rsid w:val="4AFA62A3"/>
    <w:rsid w:val="4B2257F9"/>
    <w:rsid w:val="4B26353C"/>
    <w:rsid w:val="4B7444F5"/>
    <w:rsid w:val="4BA10E14"/>
    <w:rsid w:val="4BD56D10"/>
    <w:rsid w:val="4C2061DD"/>
    <w:rsid w:val="4C227F34"/>
    <w:rsid w:val="4C56276E"/>
    <w:rsid w:val="4C566198"/>
    <w:rsid w:val="4C6E7826"/>
    <w:rsid w:val="4C783AA6"/>
    <w:rsid w:val="4C8E75EA"/>
    <w:rsid w:val="4CAE6D59"/>
    <w:rsid w:val="4D6A36BC"/>
    <w:rsid w:val="4D7009BD"/>
    <w:rsid w:val="4D8C284A"/>
    <w:rsid w:val="4D924EB8"/>
    <w:rsid w:val="4D934966"/>
    <w:rsid w:val="4D9B1F81"/>
    <w:rsid w:val="4DBC3CE3"/>
    <w:rsid w:val="4DCD4142"/>
    <w:rsid w:val="4DF96CE5"/>
    <w:rsid w:val="4E013DEC"/>
    <w:rsid w:val="4E0C01AF"/>
    <w:rsid w:val="4E182972"/>
    <w:rsid w:val="4E65437B"/>
    <w:rsid w:val="4E784EA3"/>
    <w:rsid w:val="4EF42B90"/>
    <w:rsid w:val="4EF456FF"/>
    <w:rsid w:val="4EF63225"/>
    <w:rsid w:val="4F004052"/>
    <w:rsid w:val="4F1D6FB1"/>
    <w:rsid w:val="4F214C15"/>
    <w:rsid w:val="4F44672C"/>
    <w:rsid w:val="4F6857F5"/>
    <w:rsid w:val="4F6A6575"/>
    <w:rsid w:val="4F7B372A"/>
    <w:rsid w:val="4FE139C2"/>
    <w:rsid w:val="4FE267A8"/>
    <w:rsid w:val="4FF2254F"/>
    <w:rsid w:val="500876B4"/>
    <w:rsid w:val="500D57C8"/>
    <w:rsid w:val="500E459E"/>
    <w:rsid w:val="503C6D48"/>
    <w:rsid w:val="506B7C43"/>
    <w:rsid w:val="506C7D83"/>
    <w:rsid w:val="50E77F9D"/>
    <w:rsid w:val="50F47C38"/>
    <w:rsid w:val="50FC480D"/>
    <w:rsid w:val="515C03CF"/>
    <w:rsid w:val="51856AE2"/>
    <w:rsid w:val="51A64D11"/>
    <w:rsid w:val="51ED7C35"/>
    <w:rsid w:val="520B6FE7"/>
    <w:rsid w:val="52146D94"/>
    <w:rsid w:val="522462FB"/>
    <w:rsid w:val="52417145"/>
    <w:rsid w:val="525039D6"/>
    <w:rsid w:val="525761CE"/>
    <w:rsid w:val="52B21B59"/>
    <w:rsid w:val="530806BE"/>
    <w:rsid w:val="53206AC2"/>
    <w:rsid w:val="533C259D"/>
    <w:rsid w:val="534644AC"/>
    <w:rsid w:val="53A15444"/>
    <w:rsid w:val="53A307D1"/>
    <w:rsid w:val="54862A71"/>
    <w:rsid w:val="54991BBB"/>
    <w:rsid w:val="54A8495A"/>
    <w:rsid w:val="54DC110F"/>
    <w:rsid w:val="54E15A64"/>
    <w:rsid w:val="5514418E"/>
    <w:rsid w:val="55332E6F"/>
    <w:rsid w:val="554161BE"/>
    <w:rsid w:val="556D1D67"/>
    <w:rsid w:val="558570B1"/>
    <w:rsid w:val="559519EA"/>
    <w:rsid w:val="55DA64FB"/>
    <w:rsid w:val="5626019E"/>
    <w:rsid w:val="5654407F"/>
    <w:rsid w:val="56B8088C"/>
    <w:rsid w:val="56DF6C95"/>
    <w:rsid w:val="56E03FFB"/>
    <w:rsid w:val="56EB73E7"/>
    <w:rsid w:val="56FC57A6"/>
    <w:rsid w:val="571728EA"/>
    <w:rsid w:val="57402D27"/>
    <w:rsid w:val="574D2267"/>
    <w:rsid w:val="57572CCF"/>
    <w:rsid w:val="57605DD4"/>
    <w:rsid w:val="576153F6"/>
    <w:rsid w:val="576158FB"/>
    <w:rsid w:val="57861832"/>
    <w:rsid w:val="57A9177C"/>
    <w:rsid w:val="57BA1E8A"/>
    <w:rsid w:val="57DE396D"/>
    <w:rsid w:val="58227FCE"/>
    <w:rsid w:val="59906FAB"/>
    <w:rsid w:val="59AD1108"/>
    <w:rsid w:val="59BE2972"/>
    <w:rsid w:val="5A3068D8"/>
    <w:rsid w:val="5A4B5FD3"/>
    <w:rsid w:val="5A5A4343"/>
    <w:rsid w:val="5A821DF3"/>
    <w:rsid w:val="5A917D40"/>
    <w:rsid w:val="5B160E40"/>
    <w:rsid w:val="5B8A3417"/>
    <w:rsid w:val="5BA06CCD"/>
    <w:rsid w:val="5BC91CB4"/>
    <w:rsid w:val="5BCA3A6F"/>
    <w:rsid w:val="5BF26AA0"/>
    <w:rsid w:val="5C0A0B88"/>
    <w:rsid w:val="5C184BC2"/>
    <w:rsid w:val="5C1C7D7A"/>
    <w:rsid w:val="5C3D310D"/>
    <w:rsid w:val="5C4E0D30"/>
    <w:rsid w:val="5C69772C"/>
    <w:rsid w:val="5D0273FA"/>
    <w:rsid w:val="5D0F6B03"/>
    <w:rsid w:val="5D704AEA"/>
    <w:rsid w:val="5D740137"/>
    <w:rsid w:val="5E5166CA"/>
    <w:rsid w:val="5E540638"/>
    <w:rsid w:val="5E5835B4"/>
    <w:rsid w:val="5EE24179"/>
    <w:rsid w:val="5EEA0227"/>
    <w:rsid w:val="5F1A61D0"/>
    <w:rsid w:val="5F294E00"/>
    <w:rsid w:val="5F64501C"/>
    <w:rsid w:val="5F814D8D"/>
    <w:rsid w:val="5FA42829"/>
    <w:rsid w:val="5FC4546B"/>
    <w:rsid w:val="5FCC68F7"/>
    <w:rsid w:val="5FD722BE"/>
    <w:rsid w:val="60163727"/>
    <w:rsid w:val="601D1A7B"/>
    <w:rsid w:val="601E082E"/>
    <w:rsid w:val="60977494"/>
    <w:rsid w:val="60AA20C1"/>
    <w:rsid w:val="60B43B18"/>
    <w:rsid w:val="60CB2763"/>
    <w:rsid w:val="60E92A9F"/>
    <w:rsid w:val="60ED6779"/>
    <w:rsid w:val="611D5DFB"/>
    <w:rsid w:val="61247BC3"/>
    <w:rsid w:val="613920C7"/>
    <w:rsid w:val="61760BC2"/>
    <w:rsid w:val="61916060"/>
    <w:rsid w:val="619D4093"/>
    <w:rsid w:val="61A26A90"/>
    <w:rsid w:val="61D2367E"/>
    <w:rsid w:val="61DB4462"/>
    <w:rsid w:val="6203530E"/>
    <w:rsid w:val="62E25518"/>
    <w:rsid w:val="62E95123"/>
    <w:rsid w:val="62F17EBE"/>
    <w:rsid w:val="63132F1B"/>
    <w:rsid w:val="63186283"/>
    <w:rsid w:val="63216418"/>
    <w:rsid w:val="635602DE"/>
    <w:rsid w:val="635D6277"/>
    <w:rsid w:val="636429FB"/>
    <w:rsid w:val="638F7D3A"/>
    <w:rsid w:val="643D2117"/>
    <w:rsid w:val="647C2872"/>
    <w:rsid w:val="649160DB"/>
    <w:rsid w:val="64CE26A9"/>
    <w:rsid w:val="65537230"/>
    <w:rsid w:val="657A02B4"/>
    <w:rsid w:val="65F86793"/>
    <w:rsid w:val="661F30DA"/>
    <w:rsid w:val="664A237C"/>
    <w:rsid w:val="66504B25"/>
    <w:rsid w:val="66576209"/>
    <w:rsid w:val="665C62AD"/>
    <w:rsid w:val="66743BD3"/>
    <w:rsid w:val="66EC51E2"/>
    <w:rsid w:val="66F26570"/>
    <w:rsid w:val="67677574"/>
    <w:rsid w:val="6780592A"/>
    <w:rsid w:val="67927636"/>
    <w:rsid w:val="67AE1395"/>
    <w:rsid w:val="67D44FEA"/>
    <w:rsid w:val="67ED5DDC"/>
    <w:rsid w:val="68401F12"/>
    <w:rsid w:val="6867027C"/>
    <w:rsid w:val="686F37B4"/>
    <w:rsid w:val="688A4CB2"/>
    <w:rsid w:val="68CD2057"/>
    <w:rsid w:val="68E67E07"/>
    <w:rsid w:val="690F32C0"/>
    <w:rsid w:val="692E1C6B"/>
    <w:rsid w:val="699851AD"/>
    <w:rsid w:val="69A41DA4"/>
    <w:rsid w:val="69A45FB3"/>
    <w:rsid w:val="6A3C022E"/>
    <w:rsid w:val="6A534D26"/>
    <w:rsid w:val="6AF1726A"/>
    <w:rsid w:val="6AF6488E"/>
    <w:rsid w:val="6B4A3901"/>
    <w:rsid w:val="6B6D2669"/>
    <w:rsid w:val="6B7D1E93"/>
    <w:rsid w:val="6B944603"/>
    <w:rsid w:val="6BB94600"/>
    <w:rsid w:val="6BC2398C"/>
    <w:rsid w:val="6BD84869"/>
    <w:rsid w:val="6BEF6917"/>
    <w:rsid w:val="6C0427AB"/>
    <w:rsid w:val="6C21566B"/>
    <w:rsid w:val="6C26294D"/>
    <w:rsid w:val="6C276CBC"/>
    <w:rsid w:val="6C2813A5"/>
    <w:rsid w:val="6C2E6CD4"/>
    <w:rsid w:val="6C5C6891"/>
    <w:rsid w:val="6CA87DFD"/>
    <w:rsid w:val="6CCE379D"/>
    <w:rsid w:val="6CF15A85"/>
    <w:rsid w:val="6D114DC4"/>
    <w:rsid w:val="6D1E19E8"/>
    <w:rsid w:val="6D24392A"/>
    <w:rsid w:val="6D8F68C7"/>
    <w:rsid w:val="6DCA69DB"/>
    <w:rsid w:val="6DD52B54"/>
    <w:rsid w:val="6DD655D2"/>
    <w:rsid w:val="6DE1670B"/>
    <w:rsid w:val="6E3C57B6"/>
    <w:rsid w:val="6E5553BE"/>
    <w:rsid w:val="6E661CDF"/>
    <w:rsid w:val="6E7D62B3"/>
    <w:rsid w:val="6E8B3532"/>
    <w:rsid w:val="6E9941E1"/>
    <w:rsid w:val="6ECE434C"/>
    <w:rsid w:val="6ED4563E"/>
    <w:rsid w:val="6EE215ED"/>
    <w:rsid w:val="6EE444C2"/>
    <w:rsid w:val="6EFE3F02"/>
    <w:rsid w:val="6F057A72"/>
    <w:rsid w:val="6F5175FA"/>
    <w:rsid w:val="6F686405"/>
    <w:rsid w:val="6F7171F9"/>
    <w:rsid w:val="6F88521F"/>
    <w:rsid w:val="6FE00A14"/>
    <w:rsid w:val="6FEF189F"/>
    <w:rsid w:val="6FF3739B"/>
    <w:rsid w:val="6FFF7C85"/>
    <w:rsid w:val="700F1F41"/>
    <w:rsid w:val="7020062D"/>
    <w:rsid w:val="70502F8B"/>
    <w:rsid w:val="70913A44"/>
    <w:rsid w:val="70A01949"/>
    <w:rsid w:val="70B00CE9"/>
    <w:rsid w:val="70D72A5F"/>
    <w:rsid w:val="70E422D4"/>
    <w:rsid w:val="70EB4F76"/>
    <w:rsid w:val="710E21F8"/>
    <w:rsid w:val="71BE777B"/>
    <w:rsid w:val="71D46F9E"/>
    <w:rsid w:val="71DB690A"/>
    <w:rsid w:val="71DE5E90"/>
    <w:rsid w:val="72105496"/>
    <w:rsid w:val="72384680"/>
    <w:rsid w:val="72680BCC"/>
    <w:rsid w:val="72990AB5"/>
    <w:rsid w:val="729F135A"/>
    <w:rsid w:val="72CB3A14"/>
    <w:rsid w:val="72DF5BFA"/>
    <w:rsid w:val="72FA192C"/>
    <w:rsid w:val="73795632"/>
    <w:rsid w:val="738D1AFA"/>
    <w:rsid w:val="73AA0F61"/>
    <w:rsid w:val="73BF7A39"/>
    <w:rsid w:val="74AA0E4C"/>
    <w:rsid w:val="74B667E8"/>
    <w:rsid w:val="74BA024E"/>
    <w:rsid w:val="74F445D9"/>
    <w:rsid w:val="750B717B"/>
    <w:rsid w:val="7544443B"/>
    <w:rsid w:val="75995703"/>
    <w:rsid w:val="759C4277"/>
    <w:rsid w:val="75DB56A4"/>
    <w:rsid w:val="761A613E"/>
    <w:rsid w:val="76282E75"/>
    <w:rsid w:val="7659339C"/>
    <w:rsid w:val="766D7524"/>
    <w:rsid w:val="76766876"/>
    <w:rsid w:val="767866E1"/>
    <w:rsid w:val="76977734"/>
    <w:rsid w:val="76B84C18"/>
    <w:rsid w:val="76C1432F"/>
    <w:rsid w:val="76D21DA0"/>
    <w:rsid w:val="77477A7E"/>
    <w:rsid w:val="7750356B"/>
    <w:rsid w:val="776B21BC"/>
    <w:rsid w:val="77E561DF"/>
    <w:rsid w:val="77FC247B"/>
    <w:rsid w:val="781668CA"/>
    <w:rsid w:val="78401D41"/>
    <w:rsid w:val="7883171E"/>
    <w:rsid w:val="789B25C4"/>
    <w:rsid w:val="78AD54CB"/>
    <w:rsid w:val="78F6445B"/>
    <w:rsid w:val="78FD0D77"/>
    <w:rsid w:val="790F0F50"/>
    <w:rsid w:val="7934169F"/>
    <w:rsid w:val="7940558A"/>
    <w:rsid w:val="79796A4E"/>
    <w:rsid w:val="79BC5129"/>
    <w:rsid w:val="7A066163"/>
    <w:rsid w:val="7A09730C"/>
    <w:rsid w:val="7A2B67DE"/>
    <w:rsid w:val="7A396538"/>
    <w:rsid w:val="7A3F5123"/>
    <w:rsid w:val="7A7C235B"/>
    <w:rsid w:val="7B7315D6"/>
    <w:rsid w:val="7BD962C4"/>
    <w:rsid w:val="7BE73D72"/>
    <w:rsid w:val="7C3C7666"/>
    <w:rsid w:val="7C6D071B"/>
    <w:rsid w:val="7CA73018"/>
    <w:rsid w:val="7CED53B8"/>
    <w:rsid w:val="7D0526F7"/>
    <w:rsid w:val="7D0E09B5"/>
    <w:rsid w:val="7D4719CB"/>
    <w:rsid w:val="7D523F71"/>
    <w:rsid w:val="7D6922BB"/>
    <w:rsid w:val="7D8D6754"/>
    <w:rsid w:val="7E5A4710"/>
    <w:rsid w:val="7E646B6D"/>
    <w:rsid w:val="7EA23531"/>
    <w:rsid w:val="7EB94FBC"/>
    <w:rsid w:val="7EE36A72"/>
    <w:rsid w:val="7EE512E5"/>
    <w:rsid w:val="7EED1C1F"/>
    <w:rsid w:val="7EFF5B5F"/>
    <w:rsid w:val="7FD06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F811DBE"/>
  <w15:docId w15:val="{EA5A9F2B-8A79-4556-88A3-E536F177B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unhideWhenUsed="1" w:qFormat="1"/>
    <w:lsdException w:name="heading 3"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unhideWhenUsed="1" w:qFormat="1"/>
    <w:lsdException w:name="annotation text" w:qFormat="1"/>
    <w:lsdException w:name="header" w:uiPriority="99"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qFormat="1"/>
    <w:lsdException w:name="line number" w:semiHidden="1" w:unhideWhenUsed="1"/>
    <w:lsdException w:name="page number" w:uiPriority="99"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宋体" w:hAnsi="宋体" w:cs="宋体"/>
      <w:sz w:val="24"/>
      <w:szCs w:val="24"/>
    </w:rPr>
  </w:style>
  <w:style w:type="paragraph" w:styleId="1">
    <w:name w:val="heading 1"/>
    <w:basedOn w:val="a"/>
    <w:next w:val="a"/>
    <w:uiPriority w:val="99"/>
    <w:unhideWhenUsed/>
    <w:qFormat/>
    <w:pPr>
      <w:widowControl w:val="0"/>
      <w:autoSpaceDE w:val="0"/>
      <w:autoSpaceDN w:val="0"/>
      <w:adjustRightInd w:val="0"/>
      <w:jc w:val="both"/>
      <w:outlineLvl w:val="0"/>
    </w:pPr>
    <w:rPr>
      <w:rFonts w:ascii="Courier New" w:hAnsi="Courier New" w:cs="Times New Roman"/>
      <w:b/>
      <w:color w:val="000000"/>
      <w:kern w:val="2"/>
      <w:sz w:val="32"/>
    </w:rPr>
  </w:style>
  <w:style w:type="paragraph" w:styleId="2">
    <w:name w:val="heading 2"/>
    <w:basedOn w:val="a"/>
    <w:next w:val="a"/>
    <w:uiPriority w:val="99"/>
    <w:unhideWhenUsed/>
    <w:qFormat/>
    <w:pPr>
      <w:widowControl w:val="0"/>
      <w:autoSpaceDE w:val="0"/>
      <w:autoSpaceDN w:val="0"/>
      <w:adjustRightInd w:val="0"/>
      <w:jc w:val="both"/>
      <w:outlineLvl w:val="1"/>
    </w:pPr>
    <w:rPr>
      <w:rFonts w:ascii="Courier New" w:hAnsi="Courier New" w:cs="Times New Roman"/>
      <w:b/>
      <w:i/>
      <w:color w:val="000000"/>
      <w:kern w:val="2"/>
      <w:sz w:val="28"/>
    </w:rPr>
  </w:style>
  <w:style w:type="paragraph" w:styleId="3">
    <w:name w:val="heading 3"/>
    <w:basedOn w:val="a"/>
    <w:next w:val="a"/>
    <w:link w:val="30"/>
    <w:uiPriority w:val="99"/>
    <w:unhideWhenUsed/>
    <w:qFormat/>
    <w:pPr>
      <w:widowControl w:val="0"/>
      <w:autoSpaceDE w:val="0"/>
      <w:autoSpaceDN w:val="0"/>
      <w:adjustRightInd w:val="0"/>
      <w:jc w:val="both"/>
      <w:outlineLvl w:val="2"/>
    </w:pPr>
    <w:rPr>
      <w:rFonts w:ascii="Courier New" w:hAnsi="Courier New" w:cs="Times New Roman"/>
      <w:b/>
      <w:color w:val="000000"/>
      <w:kern w:val="2"/>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TOC3">
    <w:name w:val="toc 3"/>
    <w:basedOn w:val="a"/>
    <w:next w:val="a"/>
    <w:uiPriority w:val="39"/>
    <w:qFormat/>
    <w:pPr>
      <w:widowControl w:val="0"/>
      <w:ind w:leftChars="400" w:left="840"/>
      <w:jc w:val="both"/>
    </w:pPr>
    <w:rPr>
      <w:rFonts w:asciiTheme="minorHAnsi" w:eastAsiaTheme="minorEastAsia" w:hAnsiTheme="minorHAnsi" w:cstheme="minorBidi"/>
      <w:kern w:val="2"/>
      <w:sz w:val="21"/>
    </w:rPr>
  </w:style>
  <w:style w:type="paragraph" w:styleId="a5">
    <w:name w:val="Date"/>
    <w:basedOn w:val="a"/>
    <w:next w:val="a"/>
    <w:link w:val="a6"/>
    <w:semiHidden/>
    <w:unhideWhenUsed/>
    <w:qFormat/>
    <w:pPr>
      <w:ind w:leftChars="2500" w:left="100"/>
    </w:pPr>
  </w:style>
  <w:style w:type="paragraph" w:styleId="a7">
    <w:name w:val="Balloon Text"/>
    <w:basedOn w:val="a"/>
    <w:link w:val="a8"/>
    <w:qFormat/>
    <w:rPr>
      <w:sz w:val="18"/>
      <w:szCs w:val="18"/>
    </w:rPr>
  </w:style>
  <w:style w:type="paragraph" w:styleId="a9">
    <w:name w:val="footer"/>
    <w:basedOn w:val="a"/>
    <w:link w:val="aa"/>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b">
    <w:name w:val="header"/>
    <w:basedOn w:val="a"/>
    <w:link w:val="ac"/>
    <w:uiPriority w:val="99"/>
    <w:qFormat/>
    <w:pPr>
      <w:widowControl w:val="0"/>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heme="minorHAnsi" w:eastAsiaTheme="minorEastAsia" w:hAnsiTheme="minorHAnsi" w:cstheme="minorBidi"/>
      <w:kern w:val="2"/>
      <w:sz w:val="18"/>
    </w:rPr>
  </w:style>
  <w:style w:type="paragraph" w:styleId="TOC1">
    <w:name w:val="toc 1"/>
    <w:basedOn w:val="a"/>
    <w:next w:val="a"/>
    <w:uiPriority w:val="39"/>
    <w:qFormat/>
    <w:pPr>
      <w:widowControl w:val="0"/>
      <w:jc w:val="both"/>
    </w:pPr>
    <w:rPr>
      <w:rFonts w:asciiTheme="minorHAnsi" w:eastAsiaTheme="minorEastAsia" w:hAnsiTheme="minorHAnsi" w:cstheme="minorBidi"/>
      <w:kern w:val="2"/>
      <w:sz w:val="21"/>
    </w:rPr>
  </w:style>
  <w:style w:type="paragraph" w:styleId="ad">
    <w:name w:val="footnote text"/>
    <w:basedOn w:val="a"/>
    <w:uiPriority w:val="99"/>
    <w:unhideWhenUsed/>
    <w:qFormat/>
    <w:pPr>
      <w:widowControl w:val="0"/>
      <w:snapToGrid w:val="0"/>
    </w:pPr>
    <w:rPr>
      <w:rFonts w:asciiTheme="minorHAnsi" w:hAnsiTheme="minorHAnsi" w:cs="Times New Roman"/>
      <w:kern w:val="2"/>
      <w:sz w:val="18"/>
      <w:szCs w:val="20"/>
    </w:rPr>
  </w:style>
  <w:style w:type="paragraph" w:styleId="TOC2">
    <w:name w:val="toc 2"/>
    <w:basedOn w:val="a"/>
    <w:next w:val="a"/>
    <w:uiPriority w:val="39"/>
    <w:qFormat/>
    <w:pPr>
      <w:widowControl w:val="0"/>
      <w:ind w:leftChars="200" w:left="420"/>
      <w:jc w:val="both"/>
    </w:pPr>
    <w:rPr>
      <w:rFonts w:asciiTheme="minorHAnsi" w:eastAsiaTheme="minorEastAsia" w:hAnsiTheme="minorHAnsi" w:cstheme="minorBidi"/>
      <w:kern w:val="2"/>
      <w:sz w:val="21"/>
    </w:rPr>
  </w:style>
  <w:style w:type="paragraph" w:styleId="ae">
    <w:name w:val="Normal (Web)"/>
    <w:basedOn w:val="a"/>
    <w:uiPriority w:val="99"/>
    <w:qFormat/>
    <w:pPr>
      <w:spacing w:beforeAutospacing="1" w:afterAutospacing="1"/>
    </w:pPr>
    <w:rPr>
      <w:rFonts w:cs="Times New Roman"/>
    </w:rPr>
  </w:style>
  <w:style w:type="paragraph" w:styleId="af">
    <w:name w:val="annotation subject"/>
    <w:basedOn w:val="a3"/>
    <w:next w:val="a3"/>
    <w:link w:val="af0"/>
    <w:qFormat/>
    <w:rPr>
      <w:b/>
      <w:bCs/>
    </w:rPr>
  </w:style>
  <w:style w:type="table" w:styleId="af1">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qFormat/>
    <w:rPr>
      <w:b/>
    </w:rPr>
  </w:style>
  <w:style w:type="character" w:styleId="af3">
    <w:name w:val="page number"/>
    <w:basedOn w:val="a0"/>
    <w:uiPriority w:val="99"/>
    <w:unhideWhenUsed/>
    <w:qFormat/>
  </w:style>
  <w:style w:type="character" w:styleId="af4">
    <w:name w:val="FollowedHyperlink"/>
    <w:basedOn w:val="a0"/>
    <w:qFormat/>
    <w:rPr>
      <w:color w:val="333333"/>
      <w:u w:val="none"/>
    </w:rPr>
  </w:style>
  <w:style w:type="character" w:styleId="af5">
    <w:name w:val="Emphasis"/>
    <w:basedOn w:val="a0"/>
    <w:qFormat/>
    <w:rPr>
      <w:i/>
    </w:rPr>
  </w:style>
  <w:style w:type="character" w:styleId="af6">
    <w:name w:val="Hyperlink"/>
    <w:basedOn w:val="a0"/>
    <w:uiPriority w:val="99"/>
    <w:qFormat/>
    <w:rPr>
      <w:color w:val="0000FF"/>
      <w:u w:val="single"/>
    </w:rPr>
  </w:style>
  <w:style w:type="character" w:styleId="af7">
    <w:name w:val="annotation reference"/>
    <w:basedOn w:val="a0"/>
    <w:qFormat/>
    <w:rPr>
      <w:sz w:val="21"/>
      <w:szCs w:val="21"/>
    </w:rPr>
  </w:style>
  <w:style w:type="character" w:styleId="af8">
    <w:name w:val="footnote reference"/>
    <w:uiPriority w:val="99"/>
    <w:unhideWhenUsed/>
    <w:qFormat/>
    <w:rPr>
      <w:vertAlign w:val="superscript"/>
    </w:rPr>
  </w:style>
  <w:style w:type="paragraph" w:customStyle="1" w:styleId="af9">
    <w:name w:val="总报告正文"/>
    <w:basedOn w:val="a"/>
    <w:qFormat/>
    <w:pPr>
      <w:widowControl w:val="0"/>
      <w:spacing w:line="600" w:lineRule="exact"/>
      <w:ind w:firstLineChars="200" w:firstLine="200"/>
    </w:pPr>
    <w:rPr>
      <w:rFonts w:asciiTheme="minorHAnsi" w:eastAsiaTheme="minorEastAsia" w:hAnsiTheme="minorHAnsi" w:cstheme="minorBidi"/>
      <w:kern w:val="2"/>
      <w:sz w:val="21"/>
    </w:rPr>
  </w:style>
  <w:style w:type="paragraph" w:customStyle="1" w:styleId="10">
    <w:name w:val="样式1"/>
    <w:basedOn w:val="a"/>
    <w:qFormat/>
    <w:pPr>
      <w:jc w:val="center"/>
    </w:pPr>
    <w:rPr>
      <w:rFonts w:asciiTheme="minorHAnsi" w:eastAsiaTheme="minorEastAsia" w:hAnsiTheme="minorHAnsi" w:cstheme="minorBidi"/>
      <w:bCs/>
      <w:color w:val="000000"/>
      <w:kern w:val="2"/>
      <w:sz w:val="30"/>
    </w:rPr>
  </w:style>
  <w:style w:type="paragraph" w:styleId="afa">
    <w:name w:val="List Paragraph"/>
    <w:basedOn w:val="a"/>
    <w:uiPriority w:val="99"/>
    <w:qFormat/>
    <w:pPr>
      <w:ind w:firstLineChars="200" w:firstLine="420"/>
    </w:pPr>
  </w:style>
  <w:style w:type="character" w:customStyle="1" w:styleId="30">
    <w:name w:val="标题 3 字符"/>
    <w:link w:val="3"/>
    <w:uiPriority w:val="99"/>
    <w:qFormat/>
    <w:rPr>
      <w:rFonts w:ascii="Courier New" w:hAnsi="Courier New" w:cs="Times New Roman"/>
      <w:b/>
      <w:color w:val="000000"/>
      <w:kern w:val="2"/>
      <w:sz w:val="26"/>
    </w:rPr>
  </w:style>
  <w:style w:type="character" w:customStyle="1" w:styleId="bsharetext">
    <w:name w:val="bsharetext"/>
    <w:basedOn w:val="a0"/>
    <w:qFormat/>
  </w:style>
  <w:style w:type="character" w:customStyle="1" w:styleId="a8">
    <w:name w:val="批注框文本 字符"/>
    <w:basedOn w:val="a0"/>
    <w:link w:val="a7"/>
    <w:qFormat/>
    <w:rPr>
      <w:rFonts w:ascii="宋体" w:hAnsi="宋体" w:cs="宋体"/>
      <w:sz w:val="18"/>
      <w:szCs w:val="18"/>
    </w:rPr>
  </w:style>
  <w:style w:type="character" w:customStyle="1" w:styleId="a4">
    <w:name w:val="批注文字 字符"/>
    <w:basedOn w:val="a0"/>
    <w:link w:val="a3"/>
    <w:qFormat/>
    <w:rPr>
      <w:rFonts w:ascii="宋体" w:hAnsi="宋体" w:cs="宋体"/>
      <w:sz w:val="24"/>
      <w:szCs w:val="24"/>
    </w:rPr>
  </w:style>
  <w:style w:type="character" w:customStyle="1" w:styleId="af0">
    <w:name w:val="批注主题 字符"/>
    <w:basedOn w:val="a4"/>
    <w:link w:val="af"/>
    <w:qFormat/>
    <w:rPr>
      <w:rFonts w:ascii="宋体" w:hAnsi="宋体" w:cs="宋体"/>
      <w:b/>
      <w:bCs/>
      <w:sz w:val="24"/>
      <w:szCs w:val="24"/>
    </w:rPr>
  </w:style>
  <w:style w:type="character" w:customStyle="1" w:styleId="bjh-p">
    <w:name w:val="bjh-p"/>
    <w:basedOn w:val="a0"/>
    <w:qFormat/>
  </w:style>
  <w:style w:type="paragraph" w:styleId="afb">
    <w:name w:val="No Spacing"/>
    <w:link w:val="afc"/>
    <w:uiPriority w:val="1"/>
    <w:qFormat/>
    <w:rPr>
      <w:rFonts w:asciiTheme="minorHAnsi" w:eastAsiaTheme="minorEastAsia" w:hAnsiTheme="minorHAnsi" w:cstheme="minorBidi"/>
      <w:sz w:val="22"/>
      <w:szCs w:val="22"/>
    </w:rPr>
  </w:style>
  <w:style w:type="character" w:customStyle="1" w:styleId="afc">
    <w:name w:val="无间隔 字符"/>
    <w:basedOn w:val="a0"/>
    <w:link w:val="afb"/>
    <w:uiPriority w:val="1"/>
    <w:qFormat/>
    <w:rPr>
      <w:rFonts w:asciiTheme="minorHAnsi" w:eastAsiaTheme="minorEastAsia" w:hAnsiTheme="minorHAnsi" w:cstheme="minorBidi"/>
      <w:sz w:val="22"/>
      <w:szCs w:val="22"/>
    </w:rPr>
  </w:style>
  <w:style w:type="character" w:customStyle="1" w:styleId="ac">
    <w:name w:val="页眉 字符"/>
    <w:basedOn w:val="a0"/>
    <w:link w:val="ab"/>
    <w:uiPriority w:val="99"/>
    <w:qFormat/>
    <w:rPr>
      <w:rFonts w:asciiTheme="minorHAnsi" w:eastAsiaTheme="minorEastAsia" w:hAnsiTheme="minorHAnsi" w:cstheme="minorBidi"/>
      <w:kern w:val="2"/>
      <w:sz w:val="18"/>
      <w:szCs w:val="24"/>
    </w:rPr>
  </w:style>
  <w:style w:type="character" w:customStyle="1" w:styleId="aa">
    <w:name w:val="页脚 字符"/>
    <w:basedOn w:val="a0"/>
    <w:link w:val="a9"/>
    <w:uiPriority w:val="99"/>
    <w:qFormat/>
    <w:rPr>
      <w:rFonts w:asciiTheme="minorHAnsi" w:eastAsiaTheme="minorEastAsia" w:hAnsiTheme="minorHAnsi" w:cstheme="minorBidi"/>
      <w:kern w:val="2"/>
      <w:sz w:val="18"/>
      <w:szCs w:val="18"/>
    </w:rPr>
  </w:style>
  <w:style w:type="character" w:customStyle="1" w:styleId="a6">
    <w:name w:val="日期 字符"/>
    <w:basedOn w:val="a0"/>
    <w:link w:val="a5"/>
    <w:semiHidden/>
    <w:qFormat/>
    <w:rPr>
      <w:rFonts w:ascii="宋体" w:hAnsi="宋体" w:cs="宋体"/>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6.emf"/><Relationship Id="rId39" Type="http://schemas.openxmlformats.org/officeDocument/2006/relationships/chart" Target="charts/chart19.xm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image" Target="media/image7.png"/><Relationship Id="rId38" Type="http://schemas.openxmlformats.org/officeDocument/2006/relationships/chart" Target="charts/chart18.xml"/><Relationship Id="rId46" Type="http://schemas.openxmlformats.org/officeDocument/2006/relationships/chart" Target="charts/chart25.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2.xml"/><Relationship Id="rId41" Type="http://schemas.openxmlformats.org/officeDocument/2006/relationships/footer" Target="footer4.xml"/><Relationship Id="rId54"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chart" Target="charts/chart15.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4.png"/><Relationship Id="rId28" Type="http://schemas.openxmlformats.org/officeDocument/2006/relationships/chart" Target="charts/chart13.xml"/><Relationship Id="rId36" Type="http://schemas.openxmlformats.org/officeDocument/2006/relationships/chart" Target="charts/chart16.xml"/><Relationship Id="rId49" Type="http://schemas.openxmlformats.org/officeDocument/2006/relationships/chart" Target="charts/chart28.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footer" Target="footer3.xml"/><Relationship Id="rId44" Type="http://schemas.openxmlformats.org/officeDocument/2006/relationships/chart" Target="charts/chart23.xml"/><Relationship Id="rId52" Type="http://schemas.openxmlformats.org/officeDocument/2006/relationships/chart" Target="charts/chart3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3.png"/><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image" Target="media/image9.png"/><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8" Type="http://schemas.openxmlformats.org/officeDocument/2006/relationships/endnotes" Target="endnotes.xml"/><Relationship Id="rId51" Type="http://schemas.openxmlformats.org/officeDocument/2006/relationships/chart" Target="charts/chart30.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accent1">
                        <a:lumMod val="7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71.75</c:v>
                </c:pt>
                <c:pt idx="1">
                  <c:v>73.680000000000007</c:v>
                </c:pt>
                <c:pt idx="2">
                  <c:v>77.02</c:v>
                </c:pt>
                <c:pt idx="3">
                  <c:v>79.319999999999993</c:v>
                </c:pt>
                <c:pt idx="4">
                  <c:v>80.59</c:v>
                </c:pt>
              </c:numCache>
            </c:numRef>
          </c:val>
          <c:extLst>
            <c:ext xmlns:c16="http://schemas.microsoft.com/office/drawing/2014/chart" uri="{C3380CC4-5D6E-409C-BE32-E72D297353CC}">
              <c16:uniqueId val="{00000000-5DDA-48B1-8595-76F024338EEB}"/>
            </c:ext>
          </c:extLst>
        </c:ser>
        <c:dLbls>
          <c:showLegendKey val="0"/>
          <c:showVal val="1"/>
          <c:showCatName val="0"/>
          <c:showSerName val="0"/>
          <c:showPercent val="0"/>
          <c:showBubbleSize val="0"/>
        </c:dLbls>
        <c:gapWidth val="219"/>
        <c:overlap val="-27"/>
        <c:axId val="290117967"/>
        <c:axId val="290122127"/>
      </c:barChart>
      <c:lineChart>
        <c:grouping val="standard"/>
        <c:varyColors val="0"/>
        <c:ser>
          <c:idx val="1"/>
          <c:order val="1"/>
          <c:tx>
            <c:strRef>
              <c:f>Sheet1!$C$1</c:f>
              <c:strCache>
                <c:ptCount val="1"/>
                <c:pt idx="0">
                  <c:v>增长率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spPr>
                <a:noFill/>
                <a:ln>
                  <a:noFill/>
                </a:ln>
                <a:effectLst/>
              </c:spPr>
              <c:txPr>
                <a:bodyPr rot="0" spcFirstLastPara="1" vertOverflow="ellipsis" vert="horz" wrap="square" lIns="38100" tIns="19050" rIns="38100" bIns="19050" anchor="ctr" anchorCtr="1">
                  <a:noAutofit/>
                </a:bodyPr>
                <a:lstStyle/>
                <a:p>
                  <a:pPr>
                    <a:defRPr lang="zh-CN" sz="900" b="1" i="0" u="none" strike="noStrike" kern="1200" baseline="0">
                      <a:solidFill>
                        <a:schemeClr val="bg1"/>
                      </a:solidFill>
                      <a:latin typeface="+mn-lt"/>
                      <a:ea typeface="+mn-ea"/>
                      <a:cs typeface="+mn-cs"/>
                    </a:defRPr>
                  </a:pPr>
                  <a:endParaRPr lang="zh-CN"/>
                </a:p>
              </c:txPr>
              <c:dLblPos val="r"/>
              <c:showLegendKey val="0"/>
              <c:showVal val="1"/>
              <c:showCatName val="0"/>
              <c:showSerName val="0"/>
              <c:showPercent val="0"/>
              <c:showBubbleSize val="0"/>
              <c:extLst>
                <c:ext xmlns:c16="http://schemas.microsoft.com/office/drawing/2014/chart" uri="{C3380CC4-5D6E-409C-BE32-E72D297353CC}">
                  <c16:uniqueId val="{00000001-5DDA-48B1-8595-76F024338EEB}"/>
                </c:ext>
              </c:extLst>
            </c:dLbl>
            <c:dLbl>
              <c:idx val="1"/>
              <c:layout>
                <c:manualLayout>
                  <c:x val="1.1317120154105499E-2"/>
                  <c:y val="-3.71517027863776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DA-48B1-8595-76F024338EEB}"/>
                </c:ext>
              </c:extLst>
            </c:dLbl>
            <c:dLbl>
              <c:idx val="2"/>
              <c:layout>
                <c:manualLayout>
                  <c:x val="9.0296171442330805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DA-48B1-8595-76F024338EEB}"/>
                </c:ext>
              </c:extLst>
            </c:dLbl>
            <c:dLbl>
              <c:idx val="3"/>
              <c:layout>
                <c:manualLayout>
                  <c:x val="1.5892126173850201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DA-48B1-8595-76F024338EEB}"/>
                </c:ext>
              </c:extLst>
            </c:dLbl>
            <c:dLbl>
              <c:idx val="4"/>
              <c:layout>
                <c:manualLayout>
                  <c:x val="6.7421141343607001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DA-48B1-8595-76F024338EEB}"/>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2">
                        <a:lumMod val="7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Sheet1!$C$2:$C$6</c:f>
              <c:numCache>
                <c:formatCode>0.00%</c:formatCode>
                <c:ptCount val="5"/>
                <c:pt idx="1">
                  <c:v>2.68989547038328E-2</c:v>
                </c:pt>
                <c:pt idx="2">
                  <c:v>4.5331161780673E-2</c:v>
                </c:pt>
                <c:pt idx="3">
                  <c:v>2.9862373409504001E-2</c:v>
                </c:pt>
                <c:pt idx="4">
                  <c:v>1.6011094301563399E-2</c:v>
                </c:pt>
              </c:numCache>
            </c:numRef>
          </c:val>
          <c:smooth val="0"/>
          <c:extLst>
            <c:ext xmlns:c16="http://schemas.microsoft.com/office/drawing/2014/chart" uri="{C3380CC4-5D6E-409C-BE32-E72D297353CC}">
              <c16:uniqueId val="{00000006-5DDA-48B1-8595-76F024338EEB}"/>
            </c:ext>
          </c:extLst>
        </c:ser>
        <c:dLbls>
          <c:showLegendKey val="0"/>
          <c:showVal val="1"/>
          <c:showCatName val="0"/>
          <c:showSerName val="0"/>
          <c:showPercent val="0"/>
          <c:showBubbleSize val="0"/>
        </c:dLbls>
        <c:marker val="1"/>
        <c:smooth val="0"/>
        <c:axId val="290115471"/>
        <c:axId val="290122959"/>
      </c:lineChart>
      <c:catAx>
        <c:axId val="29011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0122127"/>
        <c:crosses val="autoZero"/>
        <c:auto val="1"/>
        <c:lblAlgn val="ctr"/>
        <c:lblOffset val="100"/>
        <c:noMultiLvlLbl val="0"/>
      </c:catAx>
      <c:valAx>
        <c:axId val="290122127"/>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0117967"/>
        <c:crosses val="autoZero"/>
        <c:crossBetween val="between"/>
      </c:valAx>
      <c:catAx>
        <c:axId val="290115471"/>
        <c:scaling>
          <c:orientation val="minMax"/>
        </c:scaling>
        <c:delete val="1"/>
        <c:axPos val="b"/>
        <c:numFmt formatCode="General" sourceLinked="1"/>
        <c:majorTickMark val="out"/>
        <c:minorTickMark val="none"/>
        <c:tickLblPos val="nextTo"/>
        <c:crossAx val="290122959"/>
        <c:crosses val="autoZero"/>
        <c:auto val="1"/>
        <c:lblAlgn val="ctr"/>
        <c:lblOffset val="100"/>
        <c:noMultiLvlLbl val="0"/>
      </c:catAx>
      <c:valAx>
        <c:axId val="290122959"/>
        <c:scaling>
          <c:orientation val="minMax"/>
          <c:max val="0.08"/>
        </c:scaling>
        <c:delete val="0"/>
        <c:axPos val="r"/>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011547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Pt>
            <c:idx val="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1117-4086-9D57-013962038799}"/>
              </c:ext>
            </c:extLst>
          </c:dPt>
          <c:dPt>
            <c:idx val="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1117-4086-9D57-013962038799}"/>
              </c:ext>
            </c:extLst>
          </c:dPt>
          <c:dPt>
            <c:idx val="6"/>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1117-4086-9D57-013962038799}"/>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损失比较小，就算了</c:v>
                </c:pt>
                <c:pt idx="1">
                  <c:v>感觉投诉也没有什么用</c:v>
                </c:pt>
                <c:pt idx="2">
                  <c:v>认为流程可能会比较复杂或花时间</c:v>
                </c:pt>
                <c:pt idx="3">
                  <c:v>不知道去哪投诉</c:v>
                </c:pt>
                <c:pt idx="4">
                  <c:v>当时没有意识到自己的权益受到侵害</c:v>
                </c:pt>
                <c:pt idx="5">
                  <c:v>投诉影响消费的心情</c:v>
                </c:pt>
                <c:pt idx="6">
                  <c:v>害怕投诉后遭到报复或其他不良影响</c:v>
                </c:pt>
              </c:strCache>
            </c:strRef>
          </c:cat>
          <c:val>
            <c:numRef>
              <c:f>Sheet1!$B$2:$B$8</c:f>
              <c:numCache>
                <c:formatCode>0.0</c:formatCode>
                <c:ptCount val="7"/>
                <c:pt idx="0">
                  <c:v>50.338818973862502</c:v>
                </c:pt>
                <c:pt idx="1">
                  <c:v>48.245401742497599</c:v>
                </c:pt>
                <c:pt idx="2">
                  <c:v>44.1372216844143</c:v>
                </c:pt>
                <c:pt idx="3">
                  <c:v>35.630445304937098</c:v>
                </c:pt>
                <c:pt idx="4">
                  <c:v>16.9590997095837</c:v>
                </c:pt>
                <c:pt idx="5">
                  <c:v>12.4031945788964</c:v>
                </c:pt>
                <c:pt idx="6">
                  <c:v>10.987415295256501</c:v>
                </c:pt>
              </c:numCache>
            </c:numRef>
          </c:val>
          <c:extLst>
            <c:ext xmlns:c16="http://schemas.microsoft.com/office/drawing/2014/chart" uri="{C3380CC4-5D6E-409C-BE32-E72D297353CC}">
              <c16:uniqueId val="{00000006-1117-4086-9D57-013962038799}"/>
            </c:ext>
          </c:extLst>
        </c:ser>
        <c:dLbls>
          <c:showLegendKey val="0"/>
          <c:showVal val="1"/>
          <c:showCatName val="0"/>
          <c:showSerName val="0"/>
          <c:showPercent val="0"/>
          <c:showBubbleSize val="0"/>
        </c:dLbls>
        <c:gapWidth val="41"/>
        <c:overlap val="-27"/>
        <c:axId val="741175503"/>
        <c:axId val="741187567"/>
      </c:barChart>
      <c:catAx>
        <c:axId val="74117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41187567"/>
        <c:crosses val="autoZero"/>
        <c:auto val="1"/>
        <c:lblAlgn val="ctr"/>
        <c:lblOffset val="100"/>
        <c:noMultiLvlLbl val="0"/>
      </c:catAx>
      <c:valAx>
        <c:axId val="741187567"/>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411755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1"/>
        <c:ser>
          <c:idx val="0"/>
          <c:order val="0"/>
          <c:tx>
            <c:strRef>
              <c:f>Sheet1!$B$1</c:f>
              <c:strCache>
                <c:ptCount val="1"/>
                <c:pt idx="0">
                  <c:v>Y 值</c:v>
                </c:pt>
              </c:strCache>
            </c:strRef>
          </c:tx>
          <c:invertIfNegative val="0"/>
          <c:dPt>
            <c:idx val="0"/>
            <c:invertIfNegative val="1"/>
            <c:bubble3D val="0"/>
            <c:spPr>
              <a:solidFill>
                <a:schemeClr val="accent4">
                  <a:alpha val="90000"/>
                </a:schemeClr>
              </a:solidFill>
              <a:ln>
                <a:noFill/>
              </a:ln>
              <a:effectLst/>
            </c:spPr>
            <c:extLst>
              <c:ext xmlns:c16="http://schemas.microsoft.com/office/drawing/2014/chart" uri="{C3380CC4-5D6E-409C-BE32-E72D297353CC}">
                <c16:uniqueId val="{00000001-3244-4F81-A715-DF5FD6427534}"/>
              </c:ext>
            </c:extLst>
          </c:dPt>
          <c:dPt>
            <c:idx val="1"/>
            <c:invertIfNegative val="1"/>
            <c:bubble3D val="0"/>
            <c:spPr>
              <a:solidFill>
                <a:schemeClr val="accent3">
                  <a:alpha val="75000"/>
                </a:schemeClr>
              </a:solidFill>
              <a:ln>
                <a:noFill/>
              </a:ln>
              <a:effectLst/>
            </c:spPr>
            <c:extLst>
              <c:ext xmlns:c16="http://schemas.microsoft.com/office/drawing/2014/chart" uri="{C3380CC4-5D6E-409C-BE32-E72D297353CC}">
                <c16:uniqueId val="{00000003-3244-4F81-A715-DF5FD6427534}"/>
              </c:ext>
            </c:extLst>
          </c:dPt>
          <c:dPt>
            <c:idx val="2"/>
            <c:invertIfNegative val="1"/>
            <c:bubble3D val="0"/>
            <c:spPr>
              <a:solidFill>
                <a:schemeClr val="accent5">
                  <a:alpha val="75000"/>
                </a:schemeClr>
              </a:solidFill>
              <a:ln>
                <a:solidFill>
                  <a:schemeClr val="accent4"/>
                </a:solidFill>
              </a:ln>
              <a:effectLst/>
            </c:spPr>
            <c:extLst>
              <c:ext xmlns:c16="http://schemas.microsoft.com/office/drawing/2014/chart" uri="{C3380CC4-5D6E-409C-BE32-E72D297353CC}">
                <c16:uniqueId val="{00000005-3244-4F81-A715-DF5FD6427534}"/>
              </c:ext>
            </c:extLst>
          </c:dPt>
          <c:dPt>
            <c:idx val="3"/>
            <c:invertIfNegative val="1"/>
            <c:bubble3D val="0"/>
            <c:spPr>
              <a:solidFill>
                <a:schemeClr val="accent1">
                  <a:lumMod val="60000"/>
                  <a:alpha val="75000"/>
                </a:schemeClr>
              </a:solidFill>
              <a:ln>
                <a:solidFill>
                  <a:schemeClr val="accent2">
                    <a:lumMod val="75000"/>
                  </a:schemeClr>
                </a:solidFill>
              </a:ln>
              <a:effectLst/>
            </c:spPr>
            <c:extLst>
              <c:ext xmlns:c16="http://schemas.microsoft.com/office/drawing/2014/chart" uri="{C3380CC4-5D6E-409C-BE32-E72D297353CC}">
                <c16:uniqueId val="{00000007-3244-4F81-A715-DF5FD6427534}"/>
              </c:ext>
            </c:extLst>
          </c:dPt>
          <c:dPt>
            <c:idx val="4"/>
            <c:invertIfNegative val="1"/>
            <c:bubble3D val="0"/>
            <c:spPr>
              <a:solidFill>
                <a:srgbClr val="7030A0"/>
              </a:solidFill>
              <a:ln>
                <a:noFill/>
              </a:ln>
              <a:effectLst/>
            </c:spPr>
            <c:extLst>
              <c:ext xmlns:c16="http://schemas.microsoft.com/office/drawing/2014/chart" uri="{C3380CC4-5D6E-409C-BE32-E72D297353CC}">
                <c16:uniqueId val="{00000009-3244-4F81-A715-DF5FD6427534}"/>
              </c:ext>
            </c:extLst>
          </c:dPt>
          <c:dPt>
            <c:idx val="5"/>
            <c:invertIfNegative val="1"/>
            <c:bubble3D val="0"/>
            <c:spPr>
              <a:solidFill>
                <a:srgbClr val="00B050"/>
              </a:solidFill>
              <a:ln>
                <a:noFill/>
              </a:ln>
              <a:effectLst/>
            </c:spPr>
            <c:extLst>
              <c:ext xmlns:c16="http://schemas.microsoft.com/office/drawing/2014/chart" uri="{C3380CC4-5D6E-409C-BE32-E72D297353CC}">
                <c16:uniqueId val="{0000000B-3244-4F81-A715-DF5FD6427534}"/>
              </c:ext>
            </c:extLst>
          </c:dPt>
          <c:dPt>
            <c:idx val="6"/>
            <c:invertIfNegative val="1"/>
            <c:bubble3D val="0"/>
            <c:spPr>
              <a:solidFill>
                <a:schemeClr val="accent6">
                  <a:lumMod val="60000"/>
                  <a:lumOff val="40000"/>
                </a:schemeClr>
              </a:solidFill>
              <a:ln>
                <a:solidFill>
                  <a:schemeClr val="accent6">
                    <a:lumMod val="75000"/>
                  </a:schemeClr>
                </a:solidFill>
              </a:ln>
              <a:effectLst/>
            </c:spPr>
            <c:extLst>
              <c:ext xmlns:c16="http://schemas.microsoft.com/office/drawing/2014/chart" uri="{C3380CC4-5D6E-409C-BE32-E72D297353CC}">
                <c16:uniqueId val="{0000000D-3244-4F81-A715-DF5FD6427534}"/>
              </c:ext>
            </c:extLst>
          </c:dPt>
          <c:dPt>
            <c:idx val="7"/>
            <c:invertIfNegative val="1"/>
            <c:bubble3D val="0"/>
            <c:spPr>
              <a:solidFill>
                <a:schemeClr val="accent3">
                  <a:lumMod val="80000"/>
                  <a:lumOff val="20000"/>
                  <a:alpha val="75000"/>
                </a:schemeClr>
              </a:solidFill>
              <a:ln>
                <a:noFill/>
              </a:ln>
              <a:effectLst/>
            </c:spPr>
            <c:extLst>
              <c:ext xmlns:c16="http://schemas.microsoft.com/office/drawing/2014/chart" uri="{C3380CC4-5D6E-409C-BE32-E72D297353CC}">
                <c16:uniqueId val="{0000000F-3244-4F81-A715-DF5FD6427534}"/>
              </c:ext>
            </c:extLst>
          </c:dPt>
          <c:dPt>
            <c:idx val="8"/>
            <c:invertIfNegative val="1"/>
            <c:bubble3D val="0"/>
            <c:spPr>
              <a:solidFill>
                <a:schemeClr val="accent5">
                  <a:lumMod val="80000"/>
                  <a:lumOff val="20000"/>
                  <a:alpha val="75000"/>
                </a:schemeClr>
              </a:solidFill>
              <a:ln>
                <a:noFill/>
              </a:ln>
              <a:effectLst/>
            </c:spPr>
            <c:extLst>
              <c:ext xmlns:c16="http://schemas.microsoft.com/office/drawing/2014/chart" uri="{C3380CC4-5D6E-409C-BE32-E72D297353CC}">
                <c16:uniqueId val="{00000011-3244-4F81-A715-DF5FD6427534}"/>
              </c:ext>
            </c:extLst>
          </c:dPt>
          <c:dPt>
            <c:idx val="9"/>
            <c:invertIfNegative val="1"/>
            <c:bubble3D val="0"/>
            <c:spPr>
              <a:solidFill>
                <a:schemeClr val="accent1">
                  <a:lumMod val="80000"/>
                  <a:alpha val="75000"/>
                </a:schemeClr>
              </a:solidFill>
              <a:ln>
                <a:noFill/>
              </a:ln>
              <a:effectLst/>
            </c:spPr>
            <c:extLst>
              <c:ext xmlns:c16="http://schemas.microsoft.com/office/drawing/2014/chart" uri="{C3380CC4-5D6E-409C-BE32-E72D297353CC}">
                <c16:uniqueId val="{00000013-3244-4F81-A715-DF5FD6427534}"/>
              </c:ext>
            </c:extLst>
          </c:dPt>
          <c:dPt>
            <c:idx val="10"/>
            <c:invertIfNegative val="1"/>
            <c:bubble3D val="0"/>
            <c:spPr>
              <a:solidFill>
                <a:schemeClr val="accent1">
                  <a:lumMod val="40000"/>
                  <a:lumOff val="60000"/>
                </a:schemeClr>
              </a:solidFill>
              <a:ln>
                <a:noFill/>
              </a:ln>
              <a:effectLst/>
            </c:spPr>
            <c:extLst>
              <c:ext xmlns:c16="http://schemas.microsoft.com/office/drawing/2014/chart" uri="{C3380CC4-5D6E-409C-BE32-E72D297353CC}">
                <c16:uniqueId val="{00000015-3244-4F81-A715-DF5FD6427534}"/>
              </c:ext>
            </c:extLst>
          </c:dPt>
          <c:dPt>
            <c:idx val="11"/>
            <c:invertIfNegative val="1"/>
            <c:bubble3D val="0"/>
            <c:spPr>
              <a:solidFill>
                <a:schemeClr val="accent5">
                  <a:lumMod val="80000"/>
                  <a:alpha val="75000"/>
                </a:schemeClr>
              </a:solidFill>
              <a:ln>
                <a:noFill/>
              </a:ln>
              <a:effectLst/>
            </c:spPr>
            <c:extLst>
              <c:ext xmlns:c16="http://schemas.microsoft.com/office/drawing/2014/chart" uri="{C3380CC4-5D6E-409C-BE32-E72D297353CC}">
                <c16:uniqueId val="{00000017-3244-4F81-A715-DF5FD6427534}"/>
              </c:ext>
            </c:extLst>
          </c:dPt>
          <c:dPt>
            <c:idx val="12"/>
            <c:invertIfNegative val="1"/>
            <c:bubble3D val="0"/>
            <c:spPr>
              <a:solidFill>
                <a:schemeClr val="accent1">
                  <a:lumMod val="60000"/>
                  <a:lumOff val="40000"/>
                  <a:alpha val="75000"/>
                </a:schemeClr>
              </a:solidFill>
              <a:ln>
                <a:solidFill>
                  <a:schemeClr val="accent1"/>
                </a:solidFill>
              </a:ln>
              <a:effectLst/>
            </c:spPr>
            <c:extLst>
              <c:ext xmlns:c16="http://schemas.microsoft.com/office/drawing/2014/chart" uri="{C3380CC4-5D6E-409C-BE32-E72D297353CC}">
                <c16:uniqueId val="{00000019-3244-4F81-A715-DF5FD6427534}"/>
              </c:ext>
            </c:extLst>
          </c:dPt>
          <c:dPt>
            <c:idx val="13"/>
            <c:invertIfNegative val="1"/>
            <c:bubble3D val="0"/>
            <c:spPr>
              <a:solidFill>
                <a:srgbClr val="FF0000"/>
              </a:solidFill>
              <a:ln>
                <a:noFill/>
              </a:ln>
              <a:effectLst/>
            </c:spPr>
            <c:extLst>
              <c:ext xmlns:c16="http://schemas.microsoft.com/office/drawing/2014/chart" uri="{C3380CC4-5D6E-409C-BE32-E72D297353CC}">
                <c16:uniqueId val="{0000001B-3244-4F81-A715-DF5FD6427534}"/>
              </c:ext>
            </c:extLst>
          </c:dPt>
          <c:dPt>
            <c:idx val="14"/>
            <c:invertIfNegative val="1"/>
            <c:bubble3D val="0"/>
            <c:spPr>
              <a:solidFill>
                <a:schemeClr val="accent6">
                  <a:lumMod val="60000"/>
                  <a:lumOff val="40000"/>
                </a:schemeClr>
              </a:solidFill>
              <a:ln>
                <a:noFill/>
              </a:ln>
              <a:effectLst/>
            </c:spPr>
            <c:extLst>
              <c:ext xmlns:c16="http://schemas.microsoft.com/office/drawing/2014/chart" uri="{C3380CC4-5D6E-409C-BE32-E72D297353CC}">
                <c16:uniqueId val="{0000001D-3244-4F81-A715-DF5FD6427534}"/>
              </c:ext>
            </c:extLst>
          </c:dPt>
          <c:dPt>
            <c:idx val="15"/>
            <c:invertIfNegative val="1"/>
            <c:bubble3D val="0"/>
            <c:spPr>
              <a:solidFill>
                <a:schemeClr val="accent1">
                  <a:lumMod val="50000"/>
                  <a:alpha val="75000"/>
                </a:schemeClr>
              </a:solidFill>
              <a:ln>
                <a:noFill/>
              </a:ln>
              <a:effectLst/>
            </c:spPr>
            <c:extLst>
              <c:ext xmlns:c16="http://schemas.microsoft.com/office/drawing/2014/chart" uri="{C3380CC4-5D6E-409C-BE32-E72D297353CC}">
                <c16:uniqueId val="{0000001F-3244-4F81-A715-DF5FD6427534}"/>
              </c:ext>
            </c:extLst>
          </c:dPt>
          <c:dPt>
            <c:idx val="16"/>
            <c:invertIfNegative val="1"/>
            <c:bubble3D val="0"/>
            <c:spPr>
              <a:solidFill>
                <a:schemeClr val="accent5"/>
              </a:solidFill>
              <a:ln>
                <a:noFill/>
              </a:ln>
              <a:effectLst/>
            </c:spPr>
            <c:extLst>
              <c:ext xmlns:c16="http://schemas.microsoft.com/office/drawing/2014/chart" uri="{C3380CC4-5D6E-409C-BE32-E72D297353CC}">
                <c16:uniqueId val="{00000021-3244-4F81-A715-DF5FD6427534}"/>
              </c:ext>
            </c:extLst>
          </c:dPt>
          <c:dPt>
            <c:idx val="17"/>
            <c:invertIfNegative val="1"/>
            <c:bubble3D val="0"/>
            <c:spPr>
              <a:solidFill>
                <a:schemeClr val="accent5">
                  <a:lumMod val="50000"/>
                  <a:alpha val="75000"/>
                </a:schemeClr>
              </a:solidFill>
              <a:ln>
                <a:solidFill>
                  <a:schemeClr val="accent2"/>
                </a:solidFill>
              </a:ln>
              <a:effectLst/>
            </c:spPr>
            <c:extLst>
              <c:ext xmlns:c16="http://schemas.microsoft.com/office/drawing/2014/chart" uri="{C3380CC4-5D6E-409C-BE32-E72D297353CC}">
                <c16:uniqueId val="{00000023-3244-4F81-A715-DF5FD6427534}"/>
              </c:ext>
            </c:extLst>
          </c:dPt>
          <c:dPt>
            <c:idx val="18"/>
            <c:invertIfNegative val="1"/>
            <c:bubble3D val="0"/>
            <c:spPr>
              <a:solidFill>
                <a:srgbClr val="C00000"/>
              </a:solidFill>
              <a:ln>
                <a:solidFill>
                  <a:schemeClr val="accent6"/>
                </a:solidFill>
              </a:ln>
              <a:effectLst/>
            </c:spPr>
            <c:extLst>
              <c:ext xmlns:c16="http://schemas.microsoft.com/office/drawing/2014/chart" uri="{C3380CC4-5D6E-409C-BE32-E72D297353CC}">
                <c16:uniqueId val="{00000025-3244-4F81-A715-DF5FD6427534}"/>
              </c:ext>
            </c:extLst>
          </c:dPt>
          <c:dPt>
            <c:idx val="19"/>
            <c:invertIfNegative val="1"/>
            <c:bubble3D val="0"/>
            <c:spPr>
              <a:solidFill>
                <a:schemeClr val="accent1">
                  <a:alpha val="90000"/>
                </a:schemeClr>
              </a:solidFill>
              <a:ln>
                <a:noFill/>
              </a:ln>
              <a:effectLst/>
            </c:spPr>
            <c:extLst>
              <c:ext xmlns:c16="http://schemas.microsoft.com/office/drawing/2014/chart" uri="{C3380CC4-5D6E-409C-BE32-E72D297353CC}">
                <c16:uniqueId val="{00000027-3244-4F81-A715-DF5FD6427534}"/>
              </c:ext>
            </c:extLst>
          </c:dPt>
          <c:dPt>
            <c:idx val="20"/>
            <c:invertIfNegative val="1"/>
            <c:bubble3D val="0"/>
            <c:spPr>
              <a:solidFill>
                <a:schemeClr val="accent6">
                  <a:alpha val="90000"/>
                </a:schemeClr>
              </a:solidFill>
              <a:ln>
                <a:noFill/>
              </a:ln>
              <a:effectLst/>
            </c:spPr>
            <c:extLst>
              <c:ext xmlns:c16="http://schemas.microsoft.com/office/drawing/2014/chart" uri="{C3380CC4-5D6E-409C-BE32-E72D297353CC}">
                <c16:uniqueId val="{00000029-3244-4F81-A715-DF5FD6427534}"/>
              </c:ext>
            </c:extLst>
          </c:dPt>
          <c:dPt>
            <c:idx val="21"/>
            <c:invertIfNegative val="1"/>
            <c:bubble3D val="0"/>
            <c:spPr>
              <a:solidFill>
                <a:schemeClr val="accent2">
                  <a:alpha val="90000"/>
                </a:schemeClr>
              </a:solidFill>
              <a:ln>
                <a:noFill/>
              </a:ln>
              <a:effectLst/>
            </c:spPr>
            <c:extLst>
              <c:ext xmlns:c16="http://schemas.microsoft.com/office/drawing/2014/chart" uri="{C3380CC4-5D6E-409C-BE32-E72D297353CC}">
                <c16:uniqueId val="{0000002B-3244-4F81-A715-DF5FD6427534}"/>
              </c:ext>
            </c:extLst>
          </c:dPt>
          <c:dPt>
            <c:idx val="22"/>
            <c:invertIfNegative val="1"/>
            <c:bubble3D val="0"/>
            <c:spPr>
              <a:solidFill>
                <a:schemeClr val="accent4">
                  <a:lumMod val="75000"/>
                </a:schemeClr>
              </a:solidFill>
              <a:ln>
                <a:noFill/>
              </a:ln>
              <a:effectLst/>
            </c:spPr>
            <c:extLst>
              <c:ext xmlns:c16="http://schemas.microsoft.com/office/drawing/2014/chart" uri="{C3380CC4-5D6E-409C-BE32-E72D297353CC}">
                <c16:uniqueId val="{0000002D-3244-4F81-A715-DF5FD6427534}"/>
              </c:ext>
            </c:extLst>
          </c:dPt>
          <c:dPt>
            <c:idx val="23"/>
            <c:invertIfNegative val="1"/>
            <c:bubble3D val="0"/>
            <c:spPr>
              <a:solidFill>
                <a:schemeClr val="accent4">
                  <a:alpha val="90000"/>
                </a:schemeClr>
              </a:solidFill>
              <a:ln>
                <a:noFill/>
              </a:ln>
              <a:effectLst/>
            </c:spPr>
            <c:extLst>
              <c:ext xmlns:c16="http://schemas.microsoft.com/office/drawing/2014/chart" uri="{C3380CC4-5D6E-409C-BE32-E72D297353CC}">
                <c16:uniqueId val="{0000002F-3244-4F81-A715-DF5FD6427534}"/>
              </c:ext>
            </c:extLst>
          </c:dPt>
          <c:dPt>
            <c:idx val="24"/>
            <c:invertIfNegative val="1"/>
            <c:bubble3D val="0"/>
            <c:spPr>
              <a:solidFill>
                <a:schemeClr val="accent2"/>
              </a:solidFill>
              <a:ln>
                <a:noFill/>
              </a:ln>
              <a:effectLst/>
            </c:spPr>
            <c:extLst>
              <c:ext xmlns:c16="http://schemas.microsoft.com/office/drawing/2014/chart" uri="{C3380CC4-5D6E-409C-BE32-E72D297353CC}">
                <c16:uniqueId val="{00000031-3244-4F81-A715-DF5FD6427534}"/>
              </c:ext>
            </c:extLst>
          </c:dPt>
          <c:dLbls>
            <c:dLbl>
              <c:idx val="0"/>
              <c:layout>
                <c:manualLayout>
                  <c:x val="-4.7047393563276099E-2"/>
                  <c:y val="4.12241688864897E-2"/>
                </c:manualLayout>
              </c:layout>
              <c:tx>
                <c:rich>
                  <a:bodyPr rot="0" spcFirstLastPara="1" vertOverflow="ellipsis" vert="horz" wrap="square" lIns="38100" tIns="19050" rIns="38100" bIns="19050" anchor="ctr" anchorCtr="1">
                    <a:spAutoFit/>
                  </a:bodyPr>
                  <a:lstStyle/>
                  <a:p>
                    <a:fld id="{8FB826FE-8903-4EF3-8B36-40A718EB7C43}"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244-4F81-A715-DF5FD6427534}"/>
                </c:ext>
              </c:extLst>
            </c:dLbl>
            <c:dLbl>
              <c:idx val="1"/>
              <c:layout>
                <c:manualLayout>
                  <c:x val="-0.100059787515171"/>
                  <c:y val="-2.1641221821936899E-2"/>
                </c:manualLayout>
              </c:layout>
              <c:tx>
                <c:rich>
                  <a:bodyPr rot="0" spcFirstLastPara="1" vertOverflow="ellipsis" vert="horz" wrap="square" lIns="38100" tIns="19050" rIns="38100" bIns="19050" anchor="ctr" anchorCtr="1">
                    <a:spAutoFit/>
                  </a:bodyPr>
                  <a:lstStyle/>
                  <a:p>
                    <a:fld id="{E41D004B-1421-483C-99F1-651E1E0D25B5}"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244-4F81-A715-DF5FD6427534}"/>
                </c:ext>
              </c:extLst>
            </c:dLbl>
            <c:dLbl>
              <c:idx val="2"/>
              <c:layout>
                <c:manualLayout>
                  <c:x val="-4.7436371136979197E-2"/>
                  <c:y val="3.7516692678690899E-2"/>
                </c:manualLayout>
              </c:layout>
              <c:tx>
                <c:rich>
                  <a:bodyPr rot="0" spcFirstLastPara="1" vertOverflow="ellipsis" vert="horz" wrap="square" lIns="38100" tIns="19050" rIns="38100" bIns="19050" anchor="ctr" anchorCtr="1">
                    <a:spAutoFit/>
                  </a:bodyPr>
                  <a:lstStyle/>
                  <a:p>
                    <a:fld id="{150DA3A2-FEB9-43D4-B5B6-5204AACBC9ED}"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244-4F81-A715-DF5FD6427534}"/>
                </c:ext>
              </c:extLst>
            </c:dLbl>
            <c:dLbl>
              <c:idx val="3"/>
              <c:layout>
                <c:manualLayout>
                  <c:x val="-6.0718765507386703E-2"/>
                  <c:y val="3.6760974922843997E-2"/>
                </c:manualLayout>
              </c:layout>
              <c:tx>
                <c:rich>
                  <a:bodyPr rot="0" spcFirstLastPara="1" vertOverflow="ellipsis" vert="horz" wrap="square" lIns="38100" tIns="19050" rIns="38100" bIns="19050" anchor="ctr" anchorCtr="1">
                    <a:spAutoFit/>
                  </a:bodyPr>
                  <a:lstStyle/>
                  <a:p>
                    <a:fld id="{D0ECA1B1-6B3A-4932-8B2B-AFEF425441EE}"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244-4F81-A715-DF5FD6427534}"/>
                </c:ext>
              </c:extLst>
            </c:dLbl>
            <c:dLbl>
              <c:idx val="4"/>
              <c:layout>
                <c:manualLayout>
                  <c:x val="-6.87170197119438E-2"/>
                  <c:y val="-2.80174143656782E-2"/>
                </c:manualLayout>
              </c:layout>
              <c:tx>
                <c:rich>
                  <a:bodyPr rot="0" spcFirstLastPara="1" vertOverflow="ellipsis" vert="horz" wrap="square" lIns="38100" tIns="19050" rIns="38100" bIns="19050" anchor="ctr" anchorCtr="1">
                    <a:spAutoFit/>
                  </a:bodyPr>
                  <a:lstStyle/>
                  <a:p>
                    <a:fld id="{85078AA9-FEEC-4ED1-912B-85EA9334BBA6}"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244-4F81-A715-DF5FD6427534}"/>
                </c:ext>
              </c:extLst>
            </c:dLbl>
            <c:dLbl>
              <c:idx val="5"/>
              <c:layout>
                <c:manualLayout>
                  <c:x val="-9.7584584387088294E-2"/>
                  <c:y val="1.8209981576445999E-2"/>
                </c:manualLayout>
              </c:layout>
              <c:tx>
                <c:rich>
                  <a:bodyPr rot="0" spcFirstLastPara="1" vertOverflow="ellipsis" vert="horz" wrap="square" lIns="38100" tIns="19050" rIns="38100" bIns="19050" anchor="ctr" anchorCtr="1">
                    <a:spAutoFit/>
                  </a:bodyPr>
                  <a:lstStyle/>
                  <a:p>
                    <a:fld id="{6CCF015D-4A27-47C6-99EC-95503AACFE7D}"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244-4F81-A715-DF5FD6427534}"/>
                </c:ext>
              </c:extLst>
            </c:dLbl>
            <c:dLbl>
              <c:idx val="6"/>
              <c:layout>
                <c:manualLayout>
                  <c:x val="-5.0730543647875499E-2"/>
                  <c:y val="4.1001678068929903E-2"/>
                </c:manualLayout>
              </c:layout>
              <c:tx>
                <c:rich>
                  <a:bodyPr rot="0" spcFirstLastPara="1" vertOverflow="ellipsis" vert="horz" wrap="square" lIns="38100" tIns="19050" rIns="38100" bIns="19050" anchor="ctr" anchorCtr="1">
                    <a:spAutoFit/>
                  </a:bodyPr>
                  <a:lstStyle/>
                  <a:p>
                    <a:fld id="{22B2CAEA-34BE-4BDD-8CB2-BC12CB0A0B86}"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244-4F81-A715-DF5FD6427534}"/>
                </c:ext>
              </c:extLst>
            </c:dLbl>
            <c:dLbl>
              <c:idx val="7"/>
              <c:layout>
                <c:manualLayout>
                  <c:x val="-1.2744187158837499E-2"/>
                  <c:y val="1.5624581949610901E-2"/>
                </c:manualLayout>
              </c:layout>
              <c:tx>
                <c:rich>
                  <a:bodyPr rot="0" spcFirstLastPara="1" vertOverflow="ellipsis" vert="horz" wrap="square" lIns="38100" tIns="19050" rIns="38100" bIns="19050" anchor="ctr" anchorCtr="1">
                    <a:spAutoFit/>
                  </a:bodyPr>
                  <a:lstStyle/>
                  <a:p>
                    <a:fld id="{73604147-E4F4-4DA7-8E1B-3F78C45645DD}"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244-4F81-A715-DF5FD6427534}"/>
                </c:ext>
              </c:extLst>
            </c:dLbl>
            <c:dLbl>
              <c:idx val="8"/>
              <c:layout>
                <c:manualLayout>
                  <c:x val="-4.0374628570062E-2"/>
                  <c:y val="2.3656312707558198E-2"/>
                </c:manualLayout>
              </c:layout>
              <c:tx>
                <c:rich>
                  <a:bodyPr rot="0" spcFirstLastPara="1" vertOverflow="ellipsis" vert="horz" wrap="square" lIns="38100" tIns="19050" rIns="38100" bIns="19050" anchor="ctr" anchorCtr="1">
                    <a:spAutoFit/>
                  </a:bodyPr>
                  <a:lstStyle/>
                  <a:p>
                    <a:fld id="{AA7EB5CA-23D8-4A1B-B6B1-602B607491B5}"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3244-4F81-A715-DF5FD6427534}"/>
                </c:ext>
              </c:extLst>
            </c:dLbl>
            <c:dLbl>
              <c:idx val="9"/>
              <c:layout>
                <c:manualLayout>
                  <c:x val="-9.1459353457810904E-3"/>
                  <c:y val="-1.23022401633478E-2"/>
                </c:manualLayout>
              </c:layout>
              <c:tx>
                <c:rich>
                  <a:bodyPr rot="0" spcFirstLastPara="1" vertOverflow="ellipsis" vert="horz" wrap="square" lIns="38100" tIns="19050" rIns="38100" bIns="19050" anchor="ctr" anchorCtr="1">
                    <a:spAutoFit/>
                  </a:bodyPr>
                  <a:lstStyle/>
                  <a:p>
                    <a:fld id="{1D03D764-2055-4B4E-A4B2-504E210B952D}"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3244-4F81-A715-DF5FD6427534}"/>
                </c:ext>
              </c:extLst>
            </c:dLbl>
            <c:dLbl>
              <c:idx val="10"/>
              <c:layout>
                <c:manualLayout>
                  <c:x val="-4.4848289180253402E-2"/>
                  <c:y val="3.3927268033373599E-2"/>
                </c:manualLayout>
              </c:layout>
              <c:tx>
                <c:rich>
                  <a:bodyPr rot="0" spcFirstLastPara="1" vertOverflow="ellipsis" vert="horz" wrap="square" lIns="38100" tIns="19050" rIns="38100" bIns="19050" anchor="ctr" anchorCtr="1">
                    <a:spAutoFit/>
                  </a:bodyPr>
                  <a:lstStyle/>
                  <a:p>
                    <a:fld id="{76DB9600-A8A4-4457-81E4-51EF8619CB23}"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3244-4F81-A715-DF5FD6427534}"/>
                </c:ext>
              </c:extLst>
            </c:dLbl>
            <c:dLbl>
              <c:idx val="11"/>
              <c:layout>
                <c:manualLayout>
                  <c:x val="-8.6231891856342599E-2"/>
                  <c:y val="3.3791379654294299E-3"/>
                </c:manualLayout>
              </c:layout>
              <c:tx>
                <c:rich>
                  <a:bodyPr rot="0" spcFirstLastPara="1" vertOverflow="ellipsis" vert="horz" wrap="square" lIns="38100" tIns="19050" rIns="38100" bIns="19050" anchor="ctr" anchorCtr="1">
                    <a:spAutoFit/>
                  </a:bodyPr>
                  <a:lstStyle/>
                  <a:p>
                    <a:fld id="{2A642FC1-8C3B-45B6-85A1-8173FB5DD37A}"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3244-4F81-A715-DF5FD6427534}"/>
                </c:ext>
              </c:extLst>
            </c:dLbl>
            <c:dLbl>
              <c:idx val="12"/>
              <c:layout>
                <c:manualLayout>
                  <c:x val="-4.4736247376822802E-2"/>
                  <c:y val="-3.0376098665759198E-2"/>
                </c:manualLayout>
              </c:layout>
              <c:tx>
                <c:rich>
                  <a:bodyPr rot="0" spcFirstLastPara="1" vertOverflow="ellipsis" vert="horz" wrap="square" lIns="38100" tIns="19050" rIns="38100" bIns="19050" anchor="ctr" anchorCtr="1">
                    <a:spAutoFit/>
                  </a:bodyPr>
                  <a:lstStyle/>
                  <a:p>
                    <a:fld id="{BB9EF46F-AD91-45AA-BB2F-92A23B02267E}"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3244-4F81-A715-DF5FD6427534}"/>
                </c:ext>
              </c:extLst>
            </c:dLbl>
            <c:dLbl>
              <c:idx val="13"/>
              <c:layout>
                <c:manualLayout>
                  <c:x val="-4.0933641836911602E-2"/>
                  <c:y val="3.07595902226083E-2"/>
                </c:manualLayout>
              </c:layout>
              <c:tx>
                <c:rich>
                  <a:bodyPr rot="0" spcFirstLastPara="1" vertOverflow="ellipsis" vert="horz" wrap="square" lIns="38100" tIns="19050" rIns="38100" bIns="19050" anchor="ctr" anchorCtr="1">
                    <a:spAutoFit/>
                  </a:bodyPr>
                  <a:lstStyle/>
                  <a:p>
                    <a:fld id="{0A9F1257-B3FD-462E-BEA7-6B30C3D6AFC3}"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3244-4F81-A715-DF5FD6427534}"/>
                </c:ext>
              </c:extLst>
            </c:dLbl>
            <c:dLbl>
              <c:idx val="14"/>
              <c:layout>
                <c:manualLayout>
                  <c:x val="-3.5268057324269499E-2"/>
                  <c:y val="3.1517185538096897E-2"/>
                </c:manualLayout>
              </c:layout>
              <c:tx>
                <c:rich>
                  <a:bodyPr rot="0" spcFirstLastPara="1" vertOverflow="ellipsis" vert="horz" wrap="square" lIns="38100" tIns="19050" rIns="38100" bIns="19050" anchor="ctr" anchorCtr="1">
                    <a:spAutoFit/>
                  </a:bodyPr>
                  <a:lstStyle/>
                  <a:p>
                    <a:fld id="{62FCE5AF-FABA-45D4-9333-59BA9436F94D}"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3244-4F81-A715-DF5FD6427534}"/>
                </c:ext>
              </c:extLst>
            </c:dLbl>
            <c:dLbl>
              <c:idx val="15"/>
              <c:layout>
                <c:manualLayout>
                  <c:x val="-1.06836702359813E-2"/>
                  <c:y val="8.59969254960854E-3"/>
                </c:manualLayout>
              </c:layout>
              <c:tx>
                <c:rich>
                  <a:bodyPr rot="0" spcFirstLastPara="1" vertOverflow="ellipsis" vert="horz" wrap="square" lIns="38100" tIns="19050" rIns="38100" bIns="19050" anchor="ctr" anchorCtr="1">
                    <a:spAutoFit/>
                  </a:bodyPr>
                  <a:lstStyle/>
                  <a:p>
                    <a:fld id="{5231F130-715C-4544-8C32-F342F75638FB}"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3244-4F81-A715-DF5FD6427534}"/>
                </c:ext>
              </c:extLst>
            </c:dLbl>
            <c:dLbl>
              <c:idx val="16"/>
              <c:layout>
                <c:manualLayout>
                  <c:x val="-9.61165617395775E-2"/>
                  <c:y val="7.87706678244951E-3"/>
                </c:manualLayout>
              </c:layout>
              <c:tx>
                <c:rich>
                  <a:bodyPr rot="0" spcFirstLastPara="1" vertOverflow="ellipsis" vert="horz" wrap="square" lIns="38100" tIns="19050" rIns="38100" bIns="19050" anchor="ctr" anchorCtr="1">
                    <a:spAutoFit/>
                  </a:bodyPr>
                  <a:lstStyle/>
                  <a:p>
                    <a:fld id="{B4CB8974-5389-4A29-9B98-4C24DAD5CA62}"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3244-4F81-A715-DF5FD6427534}"/>
                </c:ext>
              </c:extLst>
            </c:dLbl>
            <c:dLbl>
              <c:idx val="17"/>
              <c:layout>
                <c:manualLayout>
                  <c:x val="-4.78347951380792E-2"/>
                  <c:y val="3.83435230059729E-2"/>
                </c:manualLayout>
              </c:layout>
              <c:tx>
                <c:rich>
                  <a:bodyPr rot="0" spcFirstLastPara="1" vertOverflow="ellipsis" vert="horz" wrap="square" lIns="38100" tIns="19050" rIns="38100" bIns="19050" anchor="ctr" anchorCtr="1">
                    <a:spAutoFit/>
                  </a:bodyPr>
                  <a:lstStyle/>
                  <a:p>
                    <a:fld id="{31E43DD8-BFFB-4A64-9173-C3EE2686B8D8}"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3244-4F81-A715-DF5FD6427534}"/>
                </c:ext>
              </c:extLst>
            </c:dLbl>
            <c:dLbl>
              <c:idx val="18"/>
              <c:layout>
                <c:manualLayout>
                  <c:x val="-6.1228633436765698E-2"/>
                  <c:y val="4.9729044674184701E-2"/>
                </c:manualLayout>
              </c:layout>
              <c:tx>
                <c:rich>
                  <a:bodyPr rot="0" spcFirstLastPara="1" vertOverflow="ellipsis" vert="horz" wrap="square" lIns="38100" tIns="19050" rIns="38100" bIns="19050" anchor="ctr" anchorCtr="1">
                    <a:spAutoFit/>
                  </a:bodyPr>
                  <a:lstStyle/>
                  <a:p>
                    <a:fld id="{88A3A21C-D90A-4325-BF59-E1ED2B4A03B9}"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3244-4F81-A715-DF5FD6427534}"/>
                </c:ext>
              </c:extLst>
            </c:dLbl>
            <c:dLbl>
              <c:idx val="19"/>
              <c:layout>
                <c:manualLayout>
                  <c:x val="-9.6266987127748005E-2"/>
                  <c:y val="-1.8653320346879099E-2"/>
                </c:manualLayout>
              </c:layout>
              <c:tx>
                <c:rich>
                  <a:bodyPr rot="0" spcFirstLastPara="1" vertOverflow="ellipsis" vert="horz" wrap="square" lIns="38100" tIns="19050" rIns="38100" bIns="19050" anchor="ctr" anchorCtr="1">
                    <a:spAutoFit/>
                  </a:bodyPr>
                  <a:lstStyle/>
                  <a:p>
                    <a:fld id="{B6B01FB8-6A59-4270-A3D4-DCECFE79BADA}"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7-3244-4F81-A715-DF5FD6427534}"/>
                </c:ext>
              </c:extLst>
            </c:dLbl>
            <c:dLbl>
              <c:idx val="20"/>
              <c:layout>
                <c:manualLayout>
                  <c:x val="-2.9431002218116798E-3"/>
                  <c:y val="-2.12211178520718E-3"/>
                </c:manualLayout>
              </c:layout>
              <c:tx>
                <c:rich>
                  <a:bodyPr rot="0" spcFirstLastPara="1" vertOverflow="ellipsis" vert="horz" wrap="square" lIns="38100" tIns="19050" rIns="38100" bIns="19050" anchor="ctr" anchorCtr="1">
                    <a:spAutoFit/>
                  </a:bodyPr>
                  <a:lstStyle/>
                  <a:p>
                    <a:fld id="{D82BDD76-76A2-4CA5-9EBE-70804DC27BAC}"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3244-4F81-A715-DF5FD6427534}"/>
                </c:ext>
              </c:extLst>
            </c:dLbl>
            <c:dLbl>
              <c:idx val="21"/>
              <c:layout>
                <c:manualLayout>
                  <c:x val="-2.64974679987325E-2"/>
                  <c:y val="-6.3193494255841004E-2"/>
                </c:manualLayout>
              </c:layout>
              <c:tx>
                <c:rich>
                  <a:bodyPr rot="0" spcFirstLastPara="1" vertOverflow="ellipsis" vert="horz" wrap="square" lIns="38100" tIns="19050" rIns="38100" bIns="19050" anchor="ctr" anchorCtr="1">
                    <a:spAutoFit/>
                  </a:bodyPr>
                  <a:lstStyle/>
                  <a:p>
                    <a:fld id="{051E762A-05BB-4AA9-BA4C-FE9A1BC53891}"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B-3244-4F81-A715-DF5FD6427534}"/>
                </c:ext>
              </c:extLst>
            </c:dLbl>
            <c:dLbl>
              <c:idx val="22"/>
              <c:layout>
                <c:manualLayout>
                  <c:x val="-6.8455150395494505E-2"/>
                  <c:y val="4.30036260370582E-2"/>
                </c:manualLayout>
              </c:layout>
              <c:tx>
                <c:rich>
                  <a:bodyPr rot="0" spcFirstLastPara="1" vertOverflow="ellipsis" vert="horz" wrap="square" lIns="38100" tIns="19050" rIns="38100" bIns="19050" anchor="ctr" anchorCtr="1">
                    <a:spAutoFit/>
                  </a:bodyPr>
                  <a:lstStyle/>
                  <a:p>
                    <a:fld id="{390282B8-51D1-4AA0-BD96-1C56564F78A7}"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D-3244-4F81-A715-DF5FD6427534}"/>
                </c:ext>
              </c:extLst>
            </c:dLbl>
            <c:dLbl>
              <c:idx val="23"/>
              <c:layout>
                <c:manualLayout>
                  <c:x val="-3.7826365098440101E-3"/>
                  <c:y val="-1.23968222303062E-2"/>
                </c:manualLayout>
              </c:layout>
              <c:tx>
                <c:rich>
                  <a:bodyPr rot="0" spcFirstLastPara="1" vertOverflow="ellipsis" vert="horz" wrap="square" lIns="38100" tIns="19050" rIns="38100" bIns="19050" anchor="ctr" anchorCtr="1">
                    <a:spAutoFit/>
                  </a:bodyPr>
                  <a:lstStyle/>
                  <a:p>
                    <a:fld id="{8368C7B3-F213-45BF-873F-F0FAA0130A70}"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F-3244-4F81-A715-DF5FD6427534}"/>
                </c:ext>
              </c:extLst>
            </c:dLbl>
            <c:dLbl>
              <c:idx val="24"/>
              <c:layout>
                <c:manualLayout>
                  <c:x val="-1.59596792997686E-2"/>
                  <c:y val="3.2267740004928602E-2"/>
                </c:manualLayout>
              </c:layout>
              <c:tx>
                <c:rich>
                  <a:bodyPr rot="0" spcFirstLastPara="1" vertOverflow="ellipsis" vert="horz" wrap="square" lIns="38100" tIns="19050" rIns="38100" bIns="19050" anchor="ctr" anchorCtr="1">
                    <a:spAutoFit/>
                  </a:bodyPr>
                  <a:lstStyle/>
                  <a:p>
                    <a:fld id="{5DB05A20-A6DE-4093-BD8B-777DB49F202A}" type="CELLRANGE">
                      <a:rPr lang="zh-CN" altLang="en-US"/>
                      <a:pPr/>
                      <a:t>[CELLRANGE]</a:t>
                    </a:fld>
                    <a:endParaRPr lang="zh-CN" alt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1-3244-4F81-A715-DF5FD6427534}"/>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endParaRPr lang="zh-CN"/>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Sheet1!$A$2:$A$26</c:f>
              <c:numCache>
                <c:formatCode>0.0000</c:formatCode>
                <c:ptCount val="25"/>
                <c:pt idx="0">
                  <c:v>2.2349999999999998E-2</c:v>
                </c:pt>
                <c:pt idx="1">
                  <c:v>2.2349999999999998E-2</c:v>
                </c:pt>
                <c:pt idx="2">
                  <c:v>1.83E-2</c:v>
                </c:pt>
                <c:pt idx="3">
                  <c:v>1.5699999999999999E-2</c:v>
                </c:pt>
                <c:pt idx="4">
                  <c:v>1.78E-2</c:v>
                </c:pt>
                <c:pt idx="5">
                  <c:v>3.5499999999999997E-2</c:v>
                </c:pt>
                <c:pt idx="6">
                  <c:v>3.9E-2</c:v>
                </c:pt>
                <c:pt idx="7">
                  <c:v>3.9699999999999999E-2</c:v>
                </c:pt>
                <c:pt idx="8">
                  <c:v>7.46E-2</c:v>
                </c:pt>
                <c:pt idx="9">
                  <c:v>3.78E-2</c:v>
                </c:pt>
                <c:pt idx="10">
                  <c:v>3.4299999999999997E-2</c:v>
                </c:pt>
                <c:pt idx="11">
                  <c:v>3.56E-2</c:v>
                </c:pt>
                <c:pt idx="12">
                  <c:v>3.56E-2</c:v>
                </c:pt>
                <c:pt idx="13">
                  <c:v>5.2900000000000003E-2</c:v>
                </c:pt>
                <c:pt idx="14">
                  <c:v>6.7900000000000002E-2</c:v>
                </c:pt>
                <c:pt idx="15">
                  <c:v>6.4199999999999993E-2</c:v>
                </c:pt>
                <c:pt idx="16">
                  <c:v>6.3600000000000004E-2</c:v>
                </c:pt>
                <c:pt idx="17">
                  <c:v>4.7300000000000002E-2</c:v>
                </c:pt>
                <c:pt idx="18">
                  <c:v>4.4999999999999998E-2</c:v>
                </c:pt>
                <c:pt idx="19">
                  <c:v>2.1899999999999999E-2</c:v>
                </c:pt>
                <c:pt idx="20">
                  <c:v>2.35E-2</c:v>
                </c:pt>
                <c:pt idx="21">
                  <c:v>2.4199999999999999E-2</c:v>
                </c:pt>
                <c:pt idx="22">
                  <c:v>3.7400000000000003E-2</c:v>
                </c:pt>
                <c:pt idx="23">
                  <c:v>3.6400000000000002E-2</c:v>
                </c:pt>
                <c:pt idx="24">
                  <c:v>8.7099999999999997E-2</c:v>
                </c:pt>
              </c:numCache>
            </c:numRef>
          </c:xVal>
          <c:yVal>
            <c:numRef>
              <c:f>Sheet1!$B$2:$B$26</c:f>
              <c:numCache>
                <c:formatCode>General</c:formatCode>
                <c:ptCount val="25"/>
                <c:pt idx="0">
                  <c:v>82.289220150505699</c:v>
                </c:pt>
                <c:pt idx="1">
                  <c:v>83.520746457045107</c:v>
                </c:pt>
                <c:pt idx="2">
                  <c:v>80.172844248127504</c:v>
                </c:pt>
                <c:pt idx="3">
                  <c:v>82.555971941962198</c:v>
                </c:pt>
                <c:pt idx="4">
                  <c:v>84.684209685408007</c:v>
                </c:pt>
                <c:pt idx="5">
                  <c:v>79.933215101695197</c:v>
                </c:pt>
                <c:pt idx="6">
                  <c:v>82.417847081029905</c:v>
                </c:pt>
                <c:pt idx="7">
                  <c:v>79.999358748276606</c:v>
                </c:pt>
                <c:pt idx="8">
                  <c:v>78.002843950214896</c:v>
                </c:pt>
                <c:pt idx="9">
                  <c:v>80.868795752554107</c:v>
                </c:pt>
                <c:pt idx="10">
                  <c:v>82.079918196488194</c:v>
                </c:pt>
                <c:pt idx="11">
                  <c:v>80.394318490469601</c:v>
                </c:pt>
                <c:pt idx="12">
                  <c:v>83.648351414252801</c:v>
                </c:pt>
                <c:pt idx="13">
                  <c:v>74.933723196881104</c:v>
                </c:pt>
                <c:pt idx="14">
                  <c:v>79.254821134704201</c:v>
                </c:pt>
                <c:pt idx="15">
                  <c:v>80.543874225091102</c:v>
                </c:pt>
                <c:pt idx="16">
                  <c:v>79.081293538697494</c:v>
                </c:pt>
                <c:pt idx="17">
                  <c:v>83.488917125511804</c:v>
                </c:pt>
                <c:pt idx="18">
                  <c:v>86.968420590784007</c:v>
                </c:pt>
                <c:pt idx="19">
                  <c:v>82.824256469679398</c:v>
                </c:pt>
                <c:pt idx="20">
                  <c:v>82.967382040753094</c:v>
                </c:pt>
                <c:pt idx="21">
                  <c:v>83.023165724025702</c:v>
                </c:pt>
                <c:pt idx="22">
                  <c:v>79.150969020115298</c:v>
                </c:pt>
                <c:pt idx="23">
                  <c:v>80.264902778443499</c:v>
                </c:pt>
                <c:pt idx="24">
                  <c:v>78.0332007221716</c:v>
                </c:pt>
              </c:numCache>
            </c:numRef>
          </c:yVal>
          <c:bubbleSize>
            <c:numRef>
              <c:f>Sheet1!$C$2:$C$26</c:f>
              <c:numCache>
                <c:formatCode>0.00</c:formatCode>
                <c:ptCount val="25"/>
                <c:pt idx="0">
                  <c:v>2.3370210493703798</c:v>
                </c:pt>
                <c:pt idx="1">
                  <c:v>0.23323320974134301</c:v>
                </c:pt>
                <c:pt idx="2">
                  <c:v>-2.1503597412756599</c:v>
                </c:pt>
                <c:pt idx="3">
                  <c:v>-4.7020245924826298</c:v>
                </c:pt>
                <c:pt idx="4">
                  <c:v>0.494172469007779</c:v>
                </c:pt>
                <c:pt idx="5">
                  <c:v>3.44321510169519</c:v>
                </c:pt>
                <c:pt idx="6">
                  <c:v>-4.0839012619583697</c:v>
                </c:pt>
                <c:pt idx="7">
                  <c:v>-0.37385236387378001</c:v>
                </c:pt>
                <c:pt idx="8">
                  <c:v>-7.7156049785102696E-2</c:v>
                </c:pt>
                <c:pt idx="9">
                  <c:v>1.0572571710070899</c:v>
                </c:pt>
                <c:pt idx="10">
                  <c:v>1.9999181964882</c:v>
                </c:pt>
                <c:pt idx="11">
                  <c:v>1.8240300755777701</c:v>
                </c:pt>
                <c:pt idx="12">
                  <c:v>-0.57199171917123703</c:v>
                </c:pt>
                <c:pt idx="13">
                  <c:v>0.39372319688108298</c:v>
                </c:pt>
                <c:pt idx="14">
                  <c:v>0.48482113470419103</c:v>
                </c:pt>
                <c:pt idx="15">
                  <c:v>1.06387422509107</c:v>
                </c:pt>
                <c:pt idx="16">
                  <c:v>5.0512935386974904</c:v>
                </c:pt>
                <c:pt idx="17">
                  <c:v>-5.2913501886795196</c:v>
                </c:pt>
                <c:pt idx="18">
                  <c:v>-5.0815794092160296</c:v>
                </c:pt>
                <c:pt idx="19">
                  <c:v>7.7510207839270198</c:v>
                </c:pt>
                <c:pt idx="20">
                  <c:v>11.798493151864299</c:v>
                </c:pt>
                <c:pt idx="21">
                  <c:v>9.3279488163505402</c:v>
                </c:pt>
                <c:pt idx="22">
                  <c:v>5.9934838285191496</c:v>
                </c:pt>
                <c:pt idx="23">
                  <c:v>4.1719794196840798</c:v>
                </c:pt>
                <c:pt idx="24">
                  <c:v>2.33320072217164</c:v>
                </c:pt>
              </c:numCache>
            </c:numRef>
          </c:bubbleSize>
          <c:bubble3D val="0"/>
          <c:extLst>
            <c:ext xmlns:c15="http://schemas.microsoft.com/office/drawing/2012/chart" uri="{02D57815-91ED-43cb-92C2-25804820EDAC}">
              <c15:datalabelsRange>
                <c15:f>Sheet1!$E$2:$E$26</c15:f>
                <c15:dlblRangeCache>
                  <c:ptCount val="25"/>
                  <c:pt idx="0">
                    <c:v>种类丰富性</c:v>
                  </c:pt>
                  <c:pt idx="1">
                    <c:v>替代产品丰富性</c:v>
                  </c:pt>
                  <c:pt idx="2">
                    <c:v>分布合理</c:v>
                  </c:pt>
                  <c:pt idx="3">
                    <c:v>物流便利</c:v>
                  </c:pt>
                  <c:pt idx="4">
                    <c:v>公共基础设施完善</c:v>
                  </c:pt>
                  <c:pt idx="5">
                    <c:v>供给创新性</c:v>
                  </c:pt>
                  <c:pt idx="6">
                    <c:v>货品真实</c:v>
                  </c:pt>
                  <c:pt idx="7">
                    <c:v>商品或服务质量</c:v>
                  </c:pt>
                  <c:pt idx="8">
                    <c:v>服务水平</c:v>
                  </c:pt>
                  <c:pt idx="9">
                    <c:v>安全性</c:v>
                  </c:pt>
                  <c:pt idx="10">
                    <c:v>舒适性</c:v>
                  </c:pt>
                  <c:pt idx="11">
                    <c:v>价格公道</c:v>
                  </c:pt>
                  <c:pt idx="12">
                    <c:v>明码标价</c:v>
                  </c:pt>
                  <c:pt idx="13">
                    <c:v>信息真实</c:v>
                  </c:pt>
                  <c:pt idx="14">
                    <c:v>售后保障</c:v>
                  </c:pt>
                  <c:pt idx="15">
                    <c:v>商家信任度</c:v>
                  </c:pt>
                  <c:pt idx="16">
                    <c:v>交易安全</c:v>
                  </c:pt>
                  <c:pt idx="17">
                    <c:v>消费知情权</c:v>
                  </c:pt>
                  <c:pt idx="18">
                    <c:v>消费自主选择权</c:v>
                  </c:pt>
                  <c:pt idx="19">
                    <c:v>维权渠道</c:v>
                  </c:pt>
                  <c:pt idx="20">
                    <c:v>维权效率</c:v>
                  </c:pt>
                  <c:pt idx="21">
                    <c:v>维权结果</c:v>
                  </c:pt>
                  <c:pt idx="22">
                    <c:v>消费警示提示</c:v>
                  </c:pt>
                  <c:pt idx="23">
                    <c:v>消费知识法制宣传</c:v>
                  </c:pt>
                  <c:pt idx="24">
                    <c:v>消费执法</c:v>
                  </c:pt>
                </c15:dlblRangeCache>
              </c15:datalabelsRange>
            </c:ext>
            <c:ext xmlns:c16="http://schemas.microsoft.com/office/drawing/2014/chart" uri="{C3380CC4-5D6E-409C-BE32-E72D297353CC}">
              <c16:uniqueId val="{00000032-3244-4F81-A715-DF5FD6427534}"/>
            </c:ext>
          </c:extLst>
        </c:ser>
        <c:dLbls>
          <c:showLegendKey val="0"/>
          <c:showVal val="0"/>
          <c:showCatName val="0"/>
          <c:showSerName val="0"/>
          <c:showPercent val="0"/>
          <c:showBubbleSize val="0"/>
        </c:dLbls>
        <c:bubbleScale val="30"/>
        <c:showNegBubbles val="1"/>
        <c:axId val="749736223"/>
        <c:axId val="749737887"/>
      </c:bubbleChart>
      <c:valAx>
        <c:axId val="749736223"/>
        <c:scaling>
          <c:orientation val="minMax"/>
          <c:max val="0.09"/>
        </c:scaling>
        <c:delete val="0"/>
        <c:axPos val="b"/>
        <c:numFmt formatCode="0.0000" sourceLinked="1"/>
        <c:majorTickMark val="none"/>
        <c:minorTickMark val="none"/>
        <c:tickLblPos val="none"/>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49737887"/>
        <c:crossesAt val="81"/>
        <c:crossBetween val="midCat"/>
      </c:valAx>
      <c:valAx>
        <c:axId val="749737887"/>
        <c:scaling>
          <c:orientation val="minMax"/>
          <c:max val="88"/>
          <c:min val="74"/>
        </c:scaling>
        <c:delete val="0"/>
        <c:axPos val="l"/>
        <c:numFmt formatCode="General" sourceLinked="1"/>
        <c:majorTickMark val="none"/>
        <c:minorTickMark val="none"/>
        <c:tickLblPos val="none"/>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49736223"/>
        <c:crossesAt val="4.2000000000000003E-2"/>
        <c:crossBetween val="midCat"/>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6">
                <a:lumMod val="75000"/>
              </a:schemeClr>
            </a:solidFill>
            <a:ln>
              <a:noFill/>
            </a:ln>
            <a:effectLst/>
          </c:spPr>
          <c:invertIfNegative val="0"/>
          <c:dPt>
            <c:idx val="37"/>
            <c:invertIfNegative val="0"/>
            <c:bubble3D val="0"/>
            <c:spPr>
              <a:solidFill>
                <a:srgbClr val="C00000"/>
              </a:solidFill>
              <a:ln>
                <a:noFill/>
              </a:ln>
              <a:effectLst/>
            </c:spPr>
            <c:extLst>
              <c:ext xmlns:c16="http://schemas.microsoft.com/office/drawing/2014/chart" uri="{C3380CC4-5D6E-409C-BE32-E72D297353CC}">
                <c16:uniqueId val="{00000001-E107-4B7A-9505-6AD45D3E92AA}"/>
              </c:ext>
            </c:extLst>
          </c:dPt>
          <c:dLbls>
            <c:dLbl>
              <c:idx val="37"/>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C00000"/>
                      </a:solidFill>
                      <a:latin typeface="+mn-lt"/>
                      <a:ea typeface="+mn-ea"/>
                      <a:cs typeface="+mn-cs"/>
                    </a:defRPr>
                  </a:pPr>
                  <a:endParaRPr lang="zh-CN"/>
                </a:p>
              </c:txPr>
              <c:dLblPos val="outEnd"/>
              <c:showLegendKey val="0"/>
              <c:showVal val="1"/>
              <c:showCatName val="0"/>
              <c:showSerName val="0"/>
              <c:showPercent val="0"/>
              <c:showBubbleSize val="0"/>
              <c:extLst>
                <c:ext xmlns:c16="http://schemas.microsoft.com/office/drawing/2014/chart" uri="{C3380CC4-5D6E-409C-BE32-E72D297353CC}">
                  <c16:uniqueId val="{00000001-E107-4B7A-9505-6AD45D3E92AA}"/>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Sheet1!$A$2:$A$52</c:f>
              <c:strCache>
                <c:ptCount val="51"/>
                <c:pt idx="0">
                  <c:v>苏州市（1）</c:v>
                </c:pt>
                <c:pt idx="1">
                  <c:v>杭州市（2）</c:v>
                </c:pt>
                <c:pt idx="2">
                  <c:v>青岛市（3）</c:v>
                </c:pt>
                <c:pt idx="3">
                  <c:v>南京市（4）</c:v>
                </c:pt>
                <c:pt idx="4">
                  <c:v>无锡市（5）</c:v>
                </c:pt>
                <c:pt idx="5">
                  <c:v>烟台市（6）</c:v>
                </c:pt>
                <c:pt idx="6">
                  <c:v>常州市（7）</c:v>
                </c:pt>
                <c:pt idx="7">
                  <c:v>上海市（8）</c:v>
                </c:pt>
                <c:pt idx="8">
                  <c:v>北京市（9）</c:v>
                </c:pt>
                <c:pt idx="9">
                  <c:v>厦门市（10）</c:v>
                </c:pt>
                <c:pt idx="10">
                  <c:v>宁波市（11）</c:v>
                </c:pt>
                <c:pt idx="11">
                  <c:v>宜昌市（12）</c:v>
                </c:pt>
                <c:pt idx="12">
                  <c:v>泉州市（13）</c:v>
                </c:pt>
                <c:pt idx="13">
                  <c:v>潍坊市（14）</c:v>
                </c:pt>
                <c:pt idx="14">
                  <c:v>佛山市（15）</c:v>
                </c:pt>
                <c:pt idx="15">
                  <c:v>金华市（16）</c:v>
                </c:pt>
                <c:pt idx="16">
                  <c:v>成都市（17）</c:v>
                </c:pt>
                <c:pt idx="17">
                  <c:v>天津市（18）</c:v>
                </c:pt>
                <c:pt idx="18">
                  <c:v>济宁市（19）</c:v>
                </c:pt>
                <c:pt idx="19">
                  <c:v>嘉兴市（20）</c:v>
                </c:pt>
                <c:pt idx="20">
                  <c:v>吴忠市（21）</c:v>
                </c:pt>
                <c:pt idx="21">
                  <c:v>南通市（22）</c:v>
                </c:pt>
                <c:pt idx="22">
                  <c:v>洛阳市（23）</c:v>
                </c:pt>
                <c:pt idx="23">
                  <c:v>南宁市（24）</c:v>
                </c:pt>
                <c:pt idx="24">
                  <c:v>绍兴市（25）</c:v>
                </c:pt>
                <c:pt idx="25">
                  <c:v>深圳市（26）</c:v>
                </c:pt>
                <c:pt idx="26">
                  <c:v>温州市（27）</c:v>
                </c:pt>
                <c:pt idx="27">
                  <c:v>广州市（28）</c:v>
                </c:pt>
                <c:pt idx="28">
                  <c:v>沈阳市（29）</c:v>
                </c:pt>
                <c:pt idx="29">
                  <c:v>济南市（30）</c:v>
                </c:pt>
                <c:pt idx="30">
                  <c:v>盐城市（31）</c:v>
                </c:pt>
                <c:pt idx="31">
                  <c:v>襄阳市（32）</c:v>
                </c:pt>
                <c:pt idx="32">
                  <c:v>岳阳市（33）</c:v>
                </c:pt>
                <c:pt idx="33">
                  <c:v>临沂市（34）</c:v>
                </c:pt>
                <c:pt idx="34">
                  <c:v>克拉玛依市（35）</c:v>
                </c:pt>
                <c:pt idx="35">
                  <c:v>日喀则市（36）</c:v>
                </c:pt>
                <c:pt idx="36">
                  <c:v>山南市（37）</c:v>
                </c:pt>
                <c:pt idx="37">
                  <c:v>全国综合得分</c:v>
                </c:pt>
                <c:pt idx="38">
                  <c:v>大庆市（38）</c:v>
                </c:pt>
                <c:pt idx="39">
                  <c:v>徐州市（39）</c:v>
                </c:pt>
                <c:pt idx="40">
                  <c:v>银川市（40）</c:v>
                </c:pt>
                <c:pt idx="41">
                  <c:v>哈尔滨市（41）</c:v>
                </c:pt>
                <c:pt idx="42">
                  <c:v>拉萨市（42）</c:v>
                </c:pt>
                <c:pt idx="43">
                  <c:v>芜湖市（43）</c:v>
                </c:pt>
                <c:pt idx="44">
                  <c:v>淄博市（44）</c:v>
                </c:pt>
                <c:pt idx="45">
                  <c:v>武汉市（45）</c:v>
                </c:pt>
                <c:pt idx="46">
                  <c:v>西宁市（46）</c:v>
                </c:pt>
                <c:pt idx="47">
                  <c:v>海西蒙古族藏族自治州（47）</c:v>
                </c:pt>
                <c:pt idx="48">
                  <c:v>石家庄市（48）</c:v>
                </c:pt>
                <c:pt idx="49">
                  <c:v>渭南市（49）</c:v>
                </c:pt>
                <c:pt idx="50">
                  <c:v>包头市（50）</c:v>
                </c:pt>
              </c:strCache>
            </c:strRef>
          </c:cat>
          <c:val>
            <c:numRef>
              <c:f>Sheet1!$B$2:$B$52</c:f>
              <c:numCache>
                <c:formatCode>0.00_);[Red]\(0.00\)</c:formatCode>
                <c:ptCount val="51"/>
                <c:pt idx="0">
                  <c:v>89.695237730760098</c:v>
                </c:pt>
                <c:pt idx="1">
                  <c:v>87.336925816863996</c:v>
                </c:pt>
                <c:pt idx="2">
                  <c:v>87.005402528301104</c:v>
                </c:pt>
                <c:pt idx="3">
                  <c:v>86.040015010313894</c:v>
                </c:pt>
                <c:pt idx="4">
                  <c:v>86.001102026508704</c:v>
                </c:pt>
                <c:pt idx="5">
                  <c:v>85.293241550520193</c:v>
                </c:pt>
                <c:pt idx="6">
                  <c:v>85.119612892262097</c:v>
                </c:pt>
                <c:pt idx="7">
                  <c:v>84.574184321893</c:v>
                </c:pt>
                <c:pt idx="8">
                  <c:v>83.485326033466393</c:v>
                </c:pt>
                <c:pt idx="9">
                  <c:v>83.163356266636001</c:v>
                </c:pt>
                <c:pt idx="10">
                  <c:v>82.403782358586696</c:v>
                </c:pt>
                <c:pt idx="11">
                  <c:v>82.394383970590297</c:v>
                </c:pt>
                <c:pt idx="12">
                  <c:v>82.196319883717806</c:v>
                </c:pt>
                <c:pt idx="13">
                  <c:v>82.076723962811101</c:v>
                </c:pt>
                <c:pt idx="14">
                  <c:v>81.931174782632397</c:v>
                </c:pt>
                <c:pt idx="15">
                  <c:v>81.904832635211704</c:v>
                </c:pt>
                <c:pt idx="16">
                  <c:v>81.845986949614002</c:v>
                </c:pt>
                <c:pt idx="17">
                  <c:v>81.485000214483605</c:v>
                </c:pt>
                <c:pt idx="18">
                  <c:v>81.460078071023204</c:v>
                </c:pt>
                <c:pt idx="19">
                  <c:v>81.384916947800804</c:v>
                </c:pt>
                <c:pt idx="20">
                  <c:v>81.377707794561104</c:v>
                </c:pt>
                <c:pt idx="21">
                  <c:v>81.296675100805402</c:v>
                </c:pt>
                <c:pt idx="22">
                  <c:v>81.242333928096201</c:v>
                </c:pt>
                <c:pt idx="23">
                  <c:v>81.156242462272203</c:v>
                </c:pt>
                <c:pt idx="24">
                  <c:v>81.115656065479598</c:v>
                </c:pt>
                <c:pt idx="25">
                  <c:v>80.999491915573998</c:v>
                </c:pt>
                <c:pt idx="26">
                  <c:v>80.950332697491703</c:v>
                </c:pt>
                <c:pt idx="27">
                  <c:v>80.895677891776899</c:v>
                </c:pt>
                <c:pt idx="28">
                  <c:v>80.782550189447406</c:v>
                </c:pt>
                <c:pt idx="29">
                  <c:v>80.780112006286899</c:v>
                </c:pt>
                <c:pt idx="30">
                  <c:v>80.773481003939295</c:v>
                </c:pt>
                <c:pt idx="31">
                  <c:v>80.772786861584393</c:v>
                </c:pt>
                <c:pt idx="32">
                  <c:v>80.755820557425906</c:v>
                </c:pt>
                <c:pt idx="33">
                  <c:v>80.745584669154596</c:v>
                </c:pt>
                <c:pt idx="34">
                  <c:v>80.718520898342803</c:v>
                </c:pt>
                <c:pt idx="35">
                  <c:v>80.702486517848797</c:v>
                </c:pt>
                <c:pt idx="36">
                  <c:v>80.636492481154704</c:v>
                </c:pt>
                <c:pt idx="37">
                  <c:v>80.59</c:v>
                </c:pt>
                <c:pt idx="38">
                  <c:v>80.466568093630002</c:v>
                </c:pt>
                <c:pt idx="39">
                  <c:v>80.430787983759103</c:v>
                </c:pt>
                <c:pt idx="40">
                  <c:v>80.300780337533396</c:v>
                </c:pt>
                <c:pt idx="41">
                  <c:v>80.201506820171602</c:v>
                </c:pt>
                <c:pt idx="42">
                  <c:v>80.178079426409198</c:v>
                </c:pt>
                <c:pt idx="43">
                  <c:v>80.151990607895101</c:v>
                </c:pt>
                <c:pt idx="44">
                  <c:v>80.089968110233499</c:v>
                </c:pt>
                <c:pt idx="45">
                  <c:v>80.085150887552302</c:v>
                </c:pt>
                <c:pt idx="46">
                  <c:v>80.065915162289102</c:v>
                </c:pt>
                <c:pt idx="47">
                  <c:v>79.983455452560904</c:v>
                </c:pt>
                <c:pt idx="48">
                  <c:v>79.924773076601497</c:v>
                </c:pt>
                <c:pt idx="49">
                  <c:v>79.909854204306001</c:v>
                </c:pt>
                <c:pt idx="50">
                  <c:v>79.887666608704507</c:v>
                </c:pt>
              </c:numCache>
            </c:numRef>
          </c:val>
          <c:extLst>
            <c:ext xmlns:c16="http://schemas.microsoft.com/office/drawing/2014/chart" uri="{C3380CC4-5D6E-409C-BE32-E72D297353CC}">
              <c16:uniqueId val="{00000002-E107-4B7A-9505-6AD45D3E92AA}"/>
            </c:ext>
          </c:extLst>
        </c:ser>
        <c:dLbls>
          <c:showLegendKey val="0"/>
          <c:showVal val="1"/>
          <c:showCatName val="0"/>
          <c:showSerName val="0"/>
          <c:showPercent val="0"/>
          <c:showBubbleSize val="0"/>
        </c:dLbls>
        <c:gapWidth val="150"/>
        <c:axId val="655668681"/>
        <c:axId val="384638197"/>
      </c:barChart>
      <c:catAx>
        <c:axId val="65566868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84638197"/>
        <c:crosses val="autoZero"/>
        <c:auto val="1"/>
        <c:lblAlgn val="ctr"/>
        <c:lblOffset val="100"/>
        <c:noMultiLvlLbl val="0"/>
      </c:catAx>
      <c:valAx>
        <c:axId val="384638197"/>
        <c:scaling>
          <c:orientation val="minMax"/>
          <c:max val="90"/>
          <c:min val="75"/>
        </c:scaling>
        <c:delete val="1"/>
        <c:axPos val="t"/>
        <c:numFmt formatCode="0.00_);[Red]\(0.00\)" sourceLinked="1"/>
        <c:majorTickMark val="out"/>
        <c:minorTickMark val="none"/>
        <c:tickLblPos val="nextTo"/>
        <c:crossAx val="65566868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6">
                <a:lumMod val="75000"/>
              </a:schemeClr>
            </a:solidFill>
            <a:ln>
              <a:noFill/>
            </a:ln>
            <a:effectLst/>
          </c:spPr>
          <c:invertIfNegative val="0"/>
          <c:dPt>
            <c:idx val="37"/>
            <c:invertIfNegative val="0"/>
            <c:bubble3D val="0"/>
            <c:spPr>
              <a:solidFill>
                <a:schemeClr val="accent6">
                  <a:lumMod val="75000"/>
                </a:schemeClr>
              </a:solidFill>
              <a:ln>
                <a:noFill/>
              </a:ln>
              <a:effectLst/>
            </c:spPr>
            <c:extLst>
              <c:ext xmlns:c16="http://schemas.microsoft.com/office/drawing/2014/chart" uri="{C3380CC4-5D6E-409C-BE32-E72D297353CC}">
                <c16:uniqueId val="{00000001-C526-4210-ABF5-DB87A84F582E}"/>
              </c:ext>
            </c:extLst>
          </c:dPt>
          <c:dLbls>
            <c:dLbl>
              <c:idx val="39"/>
              <c:layout>
                <c:manualLayout>
                  <c:x val="0"/>
                  <c:y val="1.31222115300499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26-4210-ABF5-DB87A84F582E}"/>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Sheet1!$A$2:$A$51</c:f>
              <c:strCache>
                <c:ptCount val="50"/>
                <c:pt idx="0">
                  <c:v>太原市（51）</c:v>
                </c:pt>
                <c:pt idx="1">
                  <c:v>大同市（52）</c:v>
                </c:pt>
                <c:pt idx="2">
                  <c:v>上饶市（53）</c:v>
                </c:pt>
                <c:pt idx="3">
                  <c:v>柳州市（54）</c:v>
                </c:pt>
                <c:pt idx="4">
                  <c:v>齐齐哈尔市（55）</c:v>
                </c:pt>
                <c:pt idx="5">
                  <c:v>天水市（56）</c:v>
                </c:pt>
                <c:pt idx="6">
                  <c:v>赣州市（57）</c:v>
                </c:pt>
                <c:pt idx="7">
                  <c:v>毕节市（58）</c:v>
                </c:pt>
                <c:pt idx="8">
                  <c:v>台州市（59）</c:v>
                </c:pt>
                <c:pt idx="9">
                  <c:v>鞍山市（60）</c:v>
                </c:pt>
                <c:pt idx="10">
                  <c:v>福州市（61）</c:v>
                </c:pt>
                <c:pt idx="11">
                  <c:v>鄂尔多斯市（62）</c:v>
                </c:pt>
                <c:pt idx="12">
                  <c:v>海东市（63）</c:v>
                </c:pt>
                <c:pt idx="13">
                  <c:v>石嘴山市（64）</c:v>
                </c:pt>
                <c:pt idx="14">
                  <c:v>东莞市（65）</c:v>
                </c:pt>
                <c:pt idx="15">
                  <c:v>南充市（66）</c:v>
                </c:pt>
                <c:pt idx="16">
                  <c:v>郑州市（67）</c:v>
                </c:pt>
                <c:pt idx="17">
                  <c:v>哈密市（68）</c:v>
                </c:pt>
                <c:pt idx="18">
                  <c:v>昆明市（69）</c:v>
                </c:pt>
                <c:pt idx="19">
                  <c:v>曲靖市（70）</c:v>
                </c:pt>
                <c:pt idx="20">
                  <c:v>吉林市（71）</c:v>
                </c:pt>
                <c:pt idx="21">
                  <c:v>南昌市（72）</c:v>
                </c:pt>
                <c:pt idx="22">
                  <c:v>南阳市（73）</c:v>
                </c:pt>
                <c:pt idx="23">
                  <c:v>长春市（74）</c:v>
                </c:pt>
                <c:pt idx="24">
                  <c:v>贵阳市（75）</c:v>
                </c:pt>
                <c:pt idx="25">
                  <c:v>遵义市（76）</c:v>
                </c:pt>
                <c:pt idx="26">
                  <c:v>长沙市（77）</c:v>
                </c:pt>
                <c:pt idx="27">
                  <c:v>重庆市（78）</c:v>
                </c:pt>
                <c:pt idx="28">
                  <c:v>阜阳市（79）</c:v>
                </c:pt>
                <c:pt idx="29">
                  <c:v>绵阳市（80）</c:v>
                </c:pt>
                <c:pt idx="30">
                  <c:v>儋州市（81）</c:v>
                </c:pt>
                <c:pt idx="31">
                  <c:v>合肥市（82）</c:v>
                </c:pt>
                <c:pt idx="32">
                  <c:v>大连市（83）</c:v>
                </c:pt>
                <c:pt idx="33">
                  <c:v>桂林市（84）</c:v>
                </c:pt>
                <c:pt idx="34">
                  <c:v>邯郸市（85）</c:v>
                </c:pt>
                <c:pt idx="35">
                  <c:v>汕头市（86）</c:v>
                </c:pt>
                <c:pt idx="36">
                  <c:v>运城市（87）</c:v>
                </c:pt>
                <c:pt idx="37">
                  <c:v>保定市（88）</c:v>
                </c:pt>
                <c:pt idx="38">
                  <c:v>玉溪市（89）</c:v>
                </c:pt>
                <c:pt idx="39">
                  <c:v>乌鲁木齐市（90）</c:v>
                </c:pt>
                <c:pt idx="40">
                  <c:v>唐山市（91）</c:v>
                </c:pt>
                <c:pt idx="41">
                  <c:v>兰州市（92）</c:v>
                </c:pt>
                <c:pt idx="42">
                  <c:v>呼和浩特市（93）</c:v>
                </c:pt>
                <c:pt idx="43">
                  <c:v>宝鸡市（94）</c:v>
                </c:pt>
                <c:pt idx="44">
                  <c:v>三亚市（95）</c:v>
                </c:pt>
                <c:pt idx="45">
                  <c:v>松原市（96）</c:v>
                </c:pt>
                <c:pt idx="46">
                  <c:v>衡阳市（97）</c:v>
                </c:pt>
                <c:pt idx="47">
                  <c:v>海口市（98）</c:v>
                </c:pt>
                <c:pt idx="48">
                  <c:v>西安市（99）</c:v>
                </c:pt>
                <c:pt idx="49">
                  <c:v>庆阳市（100）</c:v>
                </c:pt>
              </c:strCache>
            </c:strRef>
          </c:cat>
          <c:val>
            <c:numRef>
              <c:f>Sheet1!$B$2:$B$51</c:f>
              <c:numCache>
                <c:formatCode>0.00_);[Red]\(0.00\)</c:formatCode>
                <c:ptCount val="50"/>
                <c:pt idx="0">
                  <c:v>79.807631776629407</c:v>
                </c:pt>
                <c:pt idx="1">
                  <c:v>79.756240033989101</c:v>
                </c:pt>
                <c:pt idx="2">
                  <c:v>79.723781720490905</c:v>
                </c:pt>
                <c:pt idx="3">
                  <c:v>79.663469578546</c:v>
                </c:pt>
                <c:pt idx="4">
                  <c:v>79.543903014613406</c:v>
                </c:pt>
                <c:pt idx="5">
                  <c:v>79.493251567448098</c:v>
                </c:pt>
                <c:pt idx="6">
                  <c:v>79.463776931523896</c:v>
                </c:pt>
                <c:pt idx="7">
                  <c:v>79.435693520926506</c:v>
                </c:pt>
                <c:pt idx="8">
                  <c:v>79.383928324144193</c:v>
                </c:pt>
                <c:pt idx="9">
                  <c:v>79.363923855388705</c:v>
                </c:pt>
                <c:pt idx="10">
                  <c:v>79.356507751334902</c:v>
                </c:pt>
                <c:pt idx="11">
                  <c:v>79.348067166681304</c:v>
                </c:pt>
                <c:pt idx="12">
                  <c:v>79.329353333385896</c:v>
                </c:pt>
                <c:pt idx="13">
                  <c:v>79.311931558316203</c:v>
                </c:pt>
                <c:pt idx="14">
                  <c:v>79.306859302645606</c:v>
                </c:pt>
                <c:pt idx="15">
                  <c:v>79.293569100516905</c:v>
                </c:pt>
                <c:pt idx="16">
                  <c:v>79.264422334368007</c:v>
                </c:pt>
                <c:pt idx="17">
                  <c:v>79.249130026292406</c:v>
                </c:pt>
                <c:pt idx="18">
                  <c:v>79.149280411698697</c:v>
                </c:pt>
                <c:pt idx="19">
                  <c:v>79.097690131746603</c:v>
                </c:pt>
                <c:pt idx="20">
                  <c:v>79.093270941225796</c:v>
                </c:pt>
                <c:pt idx="21">
                  <c:v>79.075908374986398</c:v>
                </c:pt>
                <c:pt idx="22">
                  <c:v>79.052484752800694</c:v>
                </c:pt>
                <c:pt idx="23">
                  <c:v>79.008969693772897</c:v>
                </c:pt>
                <c:pt idx="24">
                  <c:v>78.947996848543696</c:v>
                </c:pt>
                <c:pt idx="25">
                  <c:v>78.881318278993305</c:v>
                </c:pt>
                <c:pt idx="26">
                  <c:v>78.826863107648606</c:v>
                </c:pt>
                <c:pt idx="27">
                  <c:v>78.793975709861698</c:v>
                </c:pt>
                <c:pt idx="28">
                  <c:v>78.789432303453495</c:v>
                </c:pt>
                <c:pt idx="29">
                  <c:v>78.7838933620029</c:v>
                </c:pt>
                <c:pt idx="30">
                  <c:v>78.782116963792305</c:v>
                </c:pt>
                <c:pt idx="31">
                  <c:v>78.755749413056193</c:v>
                </c:pt>
                <c:pt idx="32">
                  <c:v>78.735744388414602</c:v>
                </c:pt>
                <c:pt idx="33">
                  <c:v>78.728338339382404</c:v>
                </c:pt>
                <c:pt idx="34">
                  <c:v>78.629741984759406</c:v>
                </c:pt>
                <c:pt idx="35">
                  <c:v>78.540765367767904</c:v>
                </c:pt>
                <c:pt idx="36">
                  <c:v>78.437751451305203</c:v>
                </c:pt>
                <c:pt idx="37">
                  <c:v>78.336054567109997</c:v>
                </c:pt>
                <c:pt idx="38">
                  <c:v>78.296006011569304</c:v>
                </c:pt>
                <c:pt idx="39">
                  <c:v>78.213614720549003</c:v>
                </c:pt>
                <c:pt idx="40">
                  <c:v>78.123464910633501</c:v>
                </c:pt>
                <c:pt idx="41">
                  <c:v>78.028909945870197</c:v>
                </c:pt>
                <c:pt idx="42">
                  <c:v>77.554832104669799</c:v>
                </c:pt>
                <c:pt idx="43">
                  <c:v>77.394108036526703</c:v>
                </c:pt>
                <c:pt idx="44">
                  <c:v>77.377540348227896</c:v>
                </c:pt>
                <c:pt idx="45">
                  <c:v>77.319939320648103</c:v>
                </c:pt>
                <c:pt idx="46">
                  <c:v>77.0467880428629</c:v>
                </c:pt>
                <c:pt idx="47">
                  <c:v>76.801631480936805</c:v>
                </c:pt>
                <c:pt idx="48">
                  <c:v>76.729940568399499</c:v>
                </c:pt>
                <c:pt idx="49">
                  <c:v>76.650779201140097</c:v>
                </c:pt>
              </c:numCache>
            </c:numRef>
          </c:val>
          <c:extLst>
            <c:ext xmlns:c16="http://schemas.microsoft.com/office/drawing/2014/chart" uri="{C3380CC4-5D6E-409C-BE32-E72D297353CC}">
              <c16:uniqueId val="{00000003-C526-4210-ABF5-DB87A84F582E}"/>
            </c:ext>
          </c:extLst>
        </c:ser>
        <c:dLbls>
          <c:showLegendKey val="0"/>
          <c:showVal val="1"/>
          <c:showCatName val="0"/>
          <c:showSerName val="0"/>
          <c:showPercent val="0"/>
          <c:showBubbleSize val="0"/>
        </c:dLbls>
        <c:gapWidth val="150"/>
        <c:axId val="655668681"/>
        <c:axId val="384638197"/>
      </c:barChart>
      <c:catAx>
        <c:axId val="65566868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84638197"/>
        <c:crosses val="autoZero"/>
        <c:auto val="1"/>
        <c:lblAlgn val="ctr"/>
        <c:lblOffset val="100"/>
        <c:noMultiLvlLbl val="0"/>
      </c:catAx>
      <c:valAx>
        <c:axId val="384638197"/>
        <c:scaling>
          <c:orientation val="minMax"/>
          <c:max val="85"/>
          <c:min val="75"/>
        </c:scaling>
        <c:delete val="1"/>
        <c:axPos val="t"/>
        <c:numFmt formatCode="0.00_);[Red]\(0.00\)" sourceLinked="1"/>
        <c:majorTickMark val="out"/>
        <c:minorTickMark val="none"/>
        <c:tickLblPos val="nextTo"/>
        <c:crossAx val="65566868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消费供给</c:v>
                </c:pt>
              </c:strCache>
            </c:strRef>
          </c:tx>
          <c:spPr>
            <a:ln w="28575" cap="rnd">
              <a:solidFill>
                <a:schemeClr val="accent2"/>
              </a:solidFill>
              <a:round/>
            </a:ln>
            <a:effectLst/>
          </c:spPr>
          <c:marker>
            <c:symbol val="none"/>
          </c:marker>
          <c:cat>
            <c:strRef>
              <c:f>Sheet1!$A$2:$A$101</c:f>
              <c:strCache>
                <c:ptCount val="100"/>
                <c:pt idx="0">
                  <c:v>苏州市</c:v>
                </c:pt>
                <c:pt idx="1">
                  <c:v>杭州市</c:v>
                </c:pt>
                <c:pt idx="2">
                  <c:v>青岛市</c:v>
                </c:pt>
                <c:pt idx="3">
                  <c:v>南京市</c:v>
                </c:pt>
                <c:pt idx="4">
                  <c:v>无锡市</c:v>
                </c:pt>
                <c:pt idx="5">
                  <c:v>烟台市</c:v>
                </c:pt>
                <c:pt idx="6">
                  <c:v>常州市</c:v>
                </c:pt>
                <c:pt idx="7">
                  <c:v>上海市</c:v>
                </c:pt>
                <c:pt idx="8">
                  <c:v>北京市</c:v>
                </c:pt>
                <c:pt idx="9">
                  <c:v>厦门市</c:v>
                </c:pt>
                <c:pt idx="10">
                  <c:v>宁波市</c:v>
                </c:pt>
                <c:pt idx="11">
                  <c:v>宜昌市</c:v>
                </c:pt>
                <c:pt idx="12">
                  <c:v>泉州市</c:v>
                </c:pt>
                <c:pt idx="13">
                  <c:v>潍坊市</c:v>
                </c:pt>
                <c:pt idx="14">
                  <c:v>佛山市</c:v>
                </c:pt>
                <c:pt idx="15">
                  <c:v>金华市</c:v>
                </c:pt>
                <c:pt idx="16">
                  <c:v>成都市</c:v>
                </c:pt>
                <c:pt idx="17">
                  <c:v>天津市</c:v>
                </c:pt>
                <c:pt idx="18">
                  <c:v>济宁市</c:v>
                </c:pt>
                <c:pt idx="19">
                  <c:v>嘉兴市</c:v>
                </c:pt>
                <c:pt idx="20">
                  <c:v>吴忠市</c:v>
                </c:pt>
                <c:pt idx="21">
                  <c:v>南通市</c:v>
                </c:pt>
                <c:pt idx="22">
                  <c:v>洛阳市</c:v>
                </c:pt>
                <c:pt idx="23">
                  <c:v>南宁市</c:v>
                </c:pt>
                <c:pt idx="24">
                  <c:v>绍兴市</c:v>
                </c:pt>
                <c:pt idx="25">
                  <c:v>深圳市</c:v>
                </c:pt>
                <c:pt idx="26">
                  <c:v>温州市</c:v>
                </c:pt>
                <c:pt idx="27">
                  <c:v>广州市</c:v>
                </c:pt>
                <c:pt idx="28">
                  <c:v>沈阳市</c:v>
                </c:pt>
                <c:pt idx="29">
                  <c:v>济南市</c:v>
                </c:pt>
                <c:pt idx="30">
                  <c:v>盐城市</c:v>
                </c:pt>
                <c:pt idx="31">
                  <c:v>襄阳市</c:v>
                </c:pt>
                <c:pt idx="32">
                  <c:v>岳阳市</c:v>
                </c:pt>
                <c:pt idx="33">
                  <c:v>临沂市</c:v>
                </c:pt>
                <c:pt idx="34">
                  <c:v>克拉玛依市</c:v>
                </c:pt>
                <c:pt idx="35">
                  <c:v>日喀则市</c:v>
                </c:pt>
                <c:pt idx="36">
                  <c:v>山南市</c:v>
                </c:pt>
                <c:pt idx="37">
                  <c:v>大庆市</c:v>
                </c:pt>
                <c:pt idx="38">
                  <c:v>徐州市</c:v>
                </c:pt>
                <c:pt idx="39">
                  <c:v>银川市</c:v>
                </c:pt>
                <c:pt idx="40">
                  <c:v>哈尔滨市</c:v>
                </c:pt>
                <c:pt idx="41">
                  <c:v>拉萨市</c:v>
                </c:pt>
                <c:pt idx="42">
                  <c:v>芜湖市</c:v>
                </c:pt>
                <c:pt idx="43">
                  <c:v>淄博市</c:v>
                </c:pt>
                <c:pt idx="44">
                  <c:v>武汉市</c:v>
                </c:pt>
                <c:pt idx="45">
                  <c:v>西宁市</c:v>
                </c:pt>
                <c:pt idx="46">
                  <c:v>海西蒙古族藏族自治州</c:v>
                </c:pt>
                <c:pt idx="47">
                  <c:v>石家庄市</c:v>
                </c:pt>
                <c:pt idx="48">
                  <c:v>渭南市</c:v>
                </c:pt>
                <c:pt idx="49">
                  <c:v>包头市</c:v>
                </c:pt>
                <c:pt idx="50">
                  <c:v>太原市</c:v>
                </c:pt>
                <c:pt idx="51">
                  <c:v>大同市</c:v>
                </c:pt>
                <c:pt idx="52">
                  <c:v>上饶市</c:v>
                </c:pt>
                <c:pt idx="53">
                  <c:v>柳州市</c:v>
                </c:pt>
                <c:pt idx="54">
                  <c:v>齐齐哈尔市</c:v>
                </c:pt>
                <c:pt idx="55">
                  <c:v>天水市</c:v>
                </c:pt>
                <c:pt idx="56">
                  <c:v>赣州市</c:v>
                </c:pt>
                <c:pt idx="57">
                  <c:v>毕节市</c:v>
                </c:pt>
                <c:pt idx="58">
                  <c:v>台州市</c:v>
                </c:pt>
                <c:pt idx="59">
                  <c:v>鞍山市</c:v>
                </c:pt>
                <c:pt idx="60">
                  <c:v>福州市</c:v>
                </c:pt>
                <c:pt idx="61">
                  <c:v>鄂尔多斯市</c:v>
                </c:pt>
                <c:pt idx="62">
                  <c:v>海东市</c:v>
                </c:pt>
                <c:pt idx="63">
                  <c:v>石嘴山市</c:v>
                </c:pt>
                <c:pt idx="64">
                  <c:v>东莞市</c:v>
                </c:pt>
                <c:pt idx="65">
                  <c:v>南充市</c:v>
                </c:pt>
                <c:pt idx="66">
                  <c:v>郑州市</c:v>
                </c:pt>
                <c:pt idx="67">
                  <c:v>哈密市</c:v>
                </c:pt>
                <c:pt idx="68">
                  <c:v>昆明市</c:v>
                </c:pt>
                <c:pt idx="69">
                  <c:v>曲靖市</c:v>
                </c:pt>
                <c:pt idx="70">
                  <c:v>吉林市</c:v>
                </c:pt>
                <c:pt idx="71">
                  <c:v>南昌市</c:v>
                </c:pt>
                <c:pt idx="72">
                  <c:v>南阳市</c:v>
                </c:pt>
                <c:pt idx="73">
                  <c:v>长春市</c:v>
                </c:pt>
                <c:pt idx="74">
                  <c:v>贵阳市</c:v>
                </c:pt>
                <c:pt idx="75">
                  <c:v>遵义市</c:v>
                </c:pt>
                <c:pt idx="76">
                  <c:v>长沙市</c:v>
                </c:pt>
                <c:pt idx="77">
                  <c:v>重庆市</c:v>
                </c:pt>
                <c:pt idx="78">
                  <c:v>阜阳市</c:v>
                </c:pt>
                <c:pt idx="79">
                  <c:v>绵阳市</c:v>
                </c:pt>
                <c:pt idx="80">
                  <c:v>儋州市</c:v>
                </c:pt>
                <c:pt idx="81">
                  <c:v>合肥市</c:v>
                </c:pt>
                <c:pt idx="82">
                  <c:v>大连市</c:v>
                </c:pt>
                <c:pt idx="83">
                  <c:v>桂林市</c:v>
                </c:pt>
                <c:pt idx="84">
                  <c:v>邯郸市</c:v>
                </c:pt>
                <c:pt idx="85">
                  <c:v>汕头市</c:v>
                </c:pt>
                <c:pt idx="86">
                  <c:v>运城市</c:v>
                </c:pt>
                <c:pt idx="87">
                  <c:v>保定市</c:v>
                </c:pt>
                <c:pt idx="88">
                  <c:v>玉溪市</c:v>
                </c:pt>
                <c:pt idx="89">
                  <c:v>乌鲁木齐市</c:v>
                </c:pt>
                <c:pt idx="90">
                  <c:v>唐山市</c:v>
                </c:pt>
                <c:pt idx="91">
                  <c:v>兰州市</c:v>
                </c:pt>
                <c:pt idx="92">
                  <c:v>呼和浩特市</c:v>
                </c:pt>
                <c:pt idx="93">
                  <c:v>宝鸡市</c:v>
                </c:pt>
                <c:pt idx="94">
                  <c:v>三亚市</c:v>
                </c:pt>
                <c:pt idx="95">
                  <c:v>松原市</c:v>
                </c:pt>
                <c:pt idx="96">
                  <c:v>衡阳市</c:v>
                </c:pt>
                <c:pt idx="97">
                  <c:v>海口市</c:v>
                </c:pt>
                <c:pt idx="98">
                  <c:v>西安市</c:v>
                </c:pt>
                <c:pt idx="99">
                  <c:v>庆阳市</c:v>
                </c:pt>
              </c:strCache>
            </c:strRef>
          </c:cat>
          <c:val>
            <c:numRef>
              <c:f>Sheet1!$B$2:$B$101</c:f>
              <c:numCache>
                <c:formatCode>0.00_);[Red]\(0.00\)</c:formatCode>
                <c:ptCount val="100"/>
                <c:pt idx="0">
                  <c:v>87.131935601016806</c:v>
                </c:pt>
                <c:pt idx="1">
                  <c:v>88.780580671322497</c:v>
                </c:pt>
                <c:pt idx="2">
                  <c:v>86.394843632834906</c:v>
                </c:pt>
                <c:pt idx="3">
                  <c:v>83.460589610949299</c:v>
                </c:pt>
                <c:pt idx="4">
                  <c:v>88.152215551743794</c:v>
                </c:pt>
                <c:pt idx="5">
                  <c:v>84.8397862300301</c:v>
                </c:pt>
                <c:pt idx="6">
                  <c:v>86.391067228935199</c:v>
                </c:pt>
                <c:pt idx="7">
                  <c:v>84.290861970883498</c:v>
                </c:pt>
                <c:pt idx="8">
                  <c:v>83.727765905700906</c:v>
                </c:pt>
                <c:pt idx="9">
                  <c:v>84.156010001786001</c:v>
                </c:pt>
                <c:pt idx="10">
                  <c:v>82.714174153190299</c:v>
                </c:pt>
                <c:pt idx="11">
                  <c:v>83.759595959595998</c:v>
                </c:pt>
                <c:pt idx="12">
                  <c:v>82.579029907072993</c:v>
                </c:pt>
                <c:pt idx="13">
                  <c:v>83.772887323943607</c:v>
                </c:pt>
                <c:pt idx="14">
                  <c:v>83.815854502629705</c:v>
                </c:pt>
                <c:pt idx="15">
                  <c:v>81.906258122014194</c:v>
                </c:pt>
                <c:pt idx="16">
                  <c:v>83.637874321315905</c:v>
                </c:pt>
                <c:pt idx="17">
                  <c:v>82.218086700754199</c:v>
                </c:pt>
                <c:pt idx="18">
                  <c:v>84.034402398759397</c:v>
                </c:pt>
                <c:pt idx="19">
                  <c:v>82.616161240630007</c:v>
                </c:pt>
                <c:pt idx="20">
                  <c:v>78.258876674267995</c:v>
                </c:pt>
                <c:pt idx="21">
                  <c:v>83.996786042240601</c:v>
                </c:pt>
                <c:pt idx="22">
                  <c:v>82.865541735259995</c:v>
                </c:pt>
                <c:pt idx="23">
                  <c:v>83.694955090878196</c:v>
                </c:pt>
                <c:pt idx="24">
                  <c:v>82.059876884723494</c:v>
                </c:pt>
                <c:pt idx="25">
                  <c:v>80.177393199609497</c:v>
                </c:pt>
                <c:pt idx="26">
                  <c:v>82.417526397287403</c:v>
                </c:pt>
                <c:pt idx="27">
                  <c:v>84.858871762754703</c:v>
                </c:pt>
                <c:pt idx="28">
                  <c:v>84.104697150287095</c:v>
                </c:pt>
                <c:pt idx="29">
                  <c:v>83.664137546985899</c:v>
                </c:pt>
                <c:pt idx="30">
                  <c:v>80.027753051535797</c:v>
                </c:pt>
                <c:pt idx="31">
                  <c:v>84.0633316560438</c:v>
                </c:pt>
                <c:pt idx="32">
                  <c:v>81.646700946429107</c:v>
                </c:pt>
                <c:pt idx="33">
                  <c:v>81.813577006758806</c:v>
                </c:pt>
                <c:pt idx="34">
                  <c:v>84.151014880759803</c:v>
                </c:pt>
                <c:pt idx="35">
                  <c:v>81.637717233122302</c:v>
                </c:pt>
                <c:pt idx="36">
                  <c:v>82.965982802378406</c:v>
                </c:pt>
                <c:pt idx="37">
                  <c:v>79.459523514731998</c:v>
                </c:pt>
                <c:pt idx="38">
                  <c:v>83.071707546722294</c:v>
                </c:pt>
                <c:pt idx="39">
                  <c:v>83.577813934778106</c:v>
                </c:pt>
                <c:pt idx="40">
                  <c:v>80.456202825530099</c:v>
                </c:pt>
                <c:pt idx="41">
                  <c:v>80.699876673713902</c:v>
                </c:pt>
                <c:pt idx="42">
                  <c:v>82.234050584802404</c:v>
                </c:pt>
                <c:pt idx="43">
                  <c:v>80.824586769377603</c:v>
                </c:pt>
                <c:pt idx="44">
                  <c:v>82.192086384647695</c:v>
                </c:pt>
                <c:pt idx="45">
                  <c:v>80.677685910357695</c:v>
                </c:pt>
                <c:pt idx="46">
                  <c:v>79.957501826639998</c:v>
                </c:pt>
                <c:pt idx="47">
                  <c:v>81.883862647807007</c:v>
                </c:pt>
                <c:pt idx="48">
                  <c:v>81.358315819040996</c:v>
                </c:pt>
                <c:pt idx="49">
                  <c:v>82.190353733591706</c:v>
                </c:pt>
                <c:pt idx="50">
                  <c:v>82.259854803637097</c:v>
                </c:pt>
                <c:pt idx="51">
                  <c:v>81.388950148104598</c:v>
                </c:pt>
                <c:pt idx="52">
                  <c:v>78.680295930249102</c:v>
                </c:pt>
                <c:pt idx="53">
                  <c:v>81.741318800247399</c:v>
                </c:pt>
                <c:pt idx="54">
                  <c:v>81.033123843093094</c:v>
                </c:pt>
                <c:pt idx="55">
                  <c:v>81.869166525591098</c:v>
                </c:pt>
                <c:pt idx="56">
                  <c:v>81.009922797424906</c:v>
                </c:pt>
                <c:pt idx="57">
                  <c:v>80.100097317759094</c:v>
                </c:pt>
                <c:pt idx="58">
                  <c:v>82.573677556870194</c:v>
                </c:pt>
                <c:pt idx="59">
                  <c:v>80.729254617818796</c:v>
                </c:pt>
                <c:pt idx="60">
                  <c:v>82.040689162163901</c:v>
                </c:pt>
                <c:pt idx="61">
                  <c:v>80.334519404346594</c:v>
                </c:pt>
                <c:pt idx="62">
                  <c:v>77.669894724597199</c:v>
                </c:pt>
                <c:pt idx="63">
                  <c:v>79.160529652930293</c:v>
                </c:pt>
                <c:pt idx="64">
                  <c:v>81.635843109775607</c:v>
                </c:pt>
                <c:pt idx="65">
                  <c:v>80.353084782903096</c:v>
                </c:pt>
                <c:pt idx="66">
                  <c:v>81.729298400127504</c:v>
                </c:pt>
                <c:pt idx="67">
                  <c:v>80.156042134253596</c:v>
                </c:pt>
                <c:pt idx="68">
                  <c:v>79.368929016189298</c:v>
                </c:pt>
                <c:pt idx="69">
                  <c:v>79.215643051247497</c:v>
                </c:pt>
                <c:pt idx="70">
                  <c:v>80.956269787426507</c:v>
                </c:pt>
                <c:pt idx="71">
                  <c:v>80.656416480494897</c:v>
                </c:pt>
                <c:pt idx="72">
                  <c:v>81.040532879548707</c:v>
                </c:pt>
                <c:pt idx="73">
                  <c:v>80.894483229625095</c:v>
                </c:pt>
                <c:pt idx="74">
                  <c:v>79.4621590040813</c:v>
                </c:pt>
                <c:pt idx="75">
                  <c:v>80.147198713312804</c:v>
                </c:pt>
                <c:pt idx="76">
                  <c:v>81.490756038087198</c:v>
                </c:pt>
                <c:pt idx="77">
                  <c:v>81.738920812045805</c:v>
                </c:pt>
                <c:pt idx="78">
                  <c:v>80.446617998699296</c:v>
                </c:pt>
                <c:pt idx="79">
                  <c:v>82.785318886282099</c:v>
                </c:pt>
                <c:pt idx="80">
                  <c:v>79.513454231789396</c:v>
                </c:pt>
                <c:pt idx="81">
                  <c:v>81.163599281211802</c:v>
                </c:pt>
                <c:pt idx="82">
                  <c:v>81.679228198947996</c:v>
                </c:pt>
                <c:pt idx="83">
                  <c:v>80.073996506660393</c:v>
                </c:pt>
                <c:pt idx="84">
                  <c:v>79.882421317823201</c:v>
                </c:pt>
                <c:pt idx="85">
                  <c:v>81.463622104252806</c:v>
                </c:pt>
                <c:pt idx="86">
                  <c:v>80.221397229430195</c:v>
                </c:pt>
                <c:pt idx="87">
                  <c:v>80.395258273057706</c:v>
                </c:pt>
                <c:pt idx="88">
                  <c:v>79.000282507000307</c:v>
                </c:pt>
                <c:pt idx="89">
                  <c:v>82.764156317574603</c:v>
                </c:pt>
                <c:pt idx="90">
                  <c:v>80.496631685499196</c:v>
                </c:pt>
                <c:pt idx="91">
                  <c:v>80.459618622837098</c:v>
                </c:pt>
                <c:pt idx="92">
                  <c:v>79.0210822549505</c:v>
                </c:pt>
                <c:pt idx="93">
                  <c:v>79.859014587649895</c:v>
                </c:pt>
                <c:pt idx="94">
                  <c:v>79.126664298381797</c:v>
                </c:pt>
                <c:pt idx="95">
                  <c:v>78.252336464144506</c:v>
                </c:pt>
                <c:pt idx="96">
                  <c:v>78.963449802386705</c:v>
                </c:pt>
                <c:pt idx="97">
                  <c:v>79.132234034953697</c:v>
                </c:pt>
                <c:pt idx="98">
                  <c:v>79.1265474506814</c:v>
                </c:pt>
                <c:pt idx="99">
                  <c:v>76.155152152030297</c:v>
                </c:pt>
              </c:numCache>
            </c:numRef>
          </c:val>
          <c:smooth val="1"/>
          <c:extLst>
            <c:ext xmlns:c16="http://schemas.microsoft.com/office/drawing/2014/chart" uri="{C3380CC4-5D6E-409C-BE32-E72D297353CC}">
              <c16:uniqueId val="{00000000-E1DA-4D2A-8FB9-065C617E65AD}"/>
            </c:ext>
          </c:extLst>
        </c:ser>
        <c:ser>
          <c:idx val="1"/>
          <c:order val="1"/>
          <c:tx>
            <c:strRef>
              <c:f>Sheet1!$C$1</c:f>
              <c:strCache>
                <c:ptCount val="1"/>
                <c:pt idx="0">
                  <c:v>消费环境</c:v>
                </c:pt>
              </c:strCache>
            </c:strRef>
          </c:tx>
          <c:spPr>
            <a:ln w="28575" cap="rnd">
              <a:solidFill>
                <a:schemeClr val="accent1"/>
              </a:solidFill>
              <a:round/>
            </a:ln>
            <a:effectLst/>
          </c:spPr>
          <c:marker>
            <c:symbol val="none"/>
          </c:marker>
          <c:cat>
            <c:strRef>
              <c:f>Sheet1!$A$2:$A$101</c:f>
              <c:strCache>
                <c:ptCount val="100"/>
                <c:pt idx="0">
                  <c:v>苏州市</c:v>
                </c:pt>
                <c:pt idx="1">
                  <c:v>杭州市</c:v>
                </c:pt>
                <c:pt idx="2">
                  <c:v>青岛市</c:v>
                </c:pt>
                <c:pt idx="3">
                  <c:v>南京市</c:v>
                </c:pt>
                <c:pt idx="4">
                  <c:v>无锡市</c:v>
                </c:pt>
                <c:pt idx="5">
                  <c:v>烟台市</c:v>
                </c:pt>
                <c:pt idx="6">
                  <c:v>常州市</c:v>
                </c:pt>
                <c:pt idx="7">
                  <c:v>上海市</c:v>
                </c:pt>
                <c:pt idx="8">
                  <c:v>北京市</c:v>
                </c:pt>
                <c:pt idx="9">
                  <c:v>厦门市</c:v>
                </c:pt>
                <c:pt idx="10">
                  <c:v>宁波市</c:v>
                </c:pt>
                <c:pt idx="11">
                  <c:v>宜昌市</c:v>
                </c:pt>
                <c:pt idx="12">
                  <c:v>泉州市</c:v>
                </c:pt>
                <c:pt idx="13">
                  <c:v>潍坊市</c:v>
                </c:pt>
                <c:pt idx="14">
                  <c:v>佛山市</c:v>
                </c:pt>
                <c:pt idx="15">
                  <c:v>金华市</c:v>
                </c:pt>
                <c:pt idx="16">
                  <c:v>成都市</c:v>
                </c:pt>
                <c:pt idx="17">
                  <c:v>天津市</c:v>
                </c:pt>
                <c:pt idx="18">
                  <c:v>济宁市</c:v>
                </c:pt>
                <c:pt idx="19">
                  <c:v>嘉兴市</c:v>
                </c:pt>
                <c:pt idx="20">
                  <c:v>吴忠市</c:v>
                </c:pt>
                <c:pt idx="21">
                  <c:v>南通市</c:v>
                </c:pt>
                <c:pt idx="22">
                  <c:v>洛阳市</c:v>
                </c:pt>
                <c:pt idx="23">
                  <c:v>南宁市</c:v>
                </c:pt>
                <c:pt idx="24">
                  <c:v>绍兴市</c:v>
                </c:pt>
                <c:pt idx="25">
                  <c:v>深圳市</c:v>
                </c:pt>
                <c:pt idx="26">
                  <c:v>温州市</c:v>
                </c:pt>
                <c:pt idx="27">
                  <c:v>广州市</c:v>
                </c:pt>
                <c:pt idx="28">
                  <c:v>沈阳市</c:v>
                </c:pt>
                <c:pt idx="29">
                  <c:v>济南市</c:v>
                </c:pt>
                <c:pt idx="30">
                  <c:v>盐城市</c:v>
                </c:pt>
                <c:pt idx="31">
                  <c:v>襄阳市</c:v>
                </c:pt>
                <c:pt idx="32">
                  <c:v>岳阳市</c:v>
                </c:pt>
                <c:pt idx="33">
                  <c:v>临沂市</c:v>
                </c:pt>
                <c:pt idx="34">
                  <c:v>克拉玛依市</c:v>
                </c:pt>
                <c:pt idx="35">
                  <c:v>日喀则市</c:v>
                </c:pt>
                <c:pt idx="36">
                  <c:v>山南市</c:v>
                </c:pt>
                <c:pt idx="37">
                  <c:v>大庆市</c:v>
                </c:pt>
                <c:pt idx="38">
                  <c:v>徐州市</c:v>
                </c:pt>
                <c:pt idx="39">
                  <c:v>银川市</c:v>
                </c:pt>
                <c:pt idx="40">
                  <c:v>哈尔滨市</c:v>
                </c:pt>
                <c:pt idx="41">
                  <c:v>拉萨市</c:v>
                </c:pt>
                <c:pt idx="42">
                  <c:v>芜湖市</c:v>
                </c:pt>
                <c:pt idx="43">
                  <c:v>淄博市</c:v>
                </c:pt>
                <c:pt idx="44">
                  <c:v>武汉市</c:v>
                </c:pt>
                <c:pt idx="45">
                  <c:v>西宁市</c:v>
                </c:pt>
                <c:pt idx="46">
                  <c:v>海西蒙古族藏族自治州</c:v>
                </c:pt>
                <c:pt idx="47">
                  <c:v>石家庄市</c:v>
                </c:pt>
                <c:pt idx="48">
                  <c:v>渭南市</c:v>
                </c:pt>
                <c:pt idx="49">
                  <c:v>包头市</c:v>
                </c:pt>
                <c:pt idx="50">
                  <c:v>太原市</c:v>
                </c:pt>
                <c:pt idx="51">
                  <c:v>大同市</c:v>
                </c:pt>
                <c:pt idx="52">
                  <c:v>上饶市</c:v>
                </c:pt>
                <c:pt idx="53">
                  <c:v>柳州市</c:v>
                </c:pt>
                <c:pt idx="54">
                  <c:v>齐齐哈尔市</c:v>
                </c:pt>
                <c:pt idx="55">
                  <c:v>天水市</c:v>
                </c:pt>
                <c:pt idx="56">
                  <c:v>赣州市</c:v>
                </c:pt>
                <c:pt idx="57">
                  <c:v>毕节市</c:v>
                </c:pt>
                <c:pt idx="58">
                  <c:v>台州市</c:v>
                </c:pt>
                <c:pt idx="59">
                  <c:v>鞍山市</c:v>
                </c:pt>
                <c:pt idx="60">
                  <c:v>福州市</c:v>
                </c:pt>
                <c:pt idx="61">
                  <c:v>鄂尔多斯市</c:v>
                </c:pt>
                <c:pt idx="62">
                  <c:v>海东市</c:v>
                </c:pt>
                <c:pt idx="63">
                  <c:v>石嘴山市</c:v>
                </c:pt>
                <c:pt idx="64">
                  <c:v>东莞市</c:v>
                </c:pt>
                <c:pt idx="65">
                  <c:v>南充市</c:v>
                </c:pt>
                <c:pt idx="66">
                  <c:v>郑州市</c:v>
                </c:pt>
                <c:pt idx="67">
                  <c:v>哈密市</c:v>
                </c:pt>
                <c:pt idx="68">
                  <c:v>昆明市</c:v>
                </c:pt>
                <c:pt idx="69">
                  <c:v>曲靖市</c:v>
                </c:pt>
                <c:pt idx="70">
                  <c:v>吉林市</c:v>
                </c:pt>
                <c:pt idx="71">
                  <c:v>南昌市</c:v>
                </c:pt>
                <c:pt idx="72">
                  <c:v>南阳市</c:v>
                </c:pt>
                <c:pt idx="73">
                  <c:v>长春市</c:v>
                </c:pt>
                <c:pt idx="74">
                  <c:v>贵阳市</c:v>
                </c:pt>
                <c:pt idx="75">
                  <c:v>遵义市</c:v>
                </c:pt>
                <c:pt idx="76">
                  <c:v>长沙市</c:v>
                </c:pt>
                <c:pt idx="77">
                  <c:v>重庆市</c:v>
                </c:pt>
                <c:pt idx="78">
                  <c:v>阜阳市</c:v>
                </c:pt>
                <c:pt idx="79">
                  <c:v>绵阳市</c:v>
                </c:pt>
                <c:pt idx="80">
                  <c:v>儋州市</c:v>
                </c:pt>
                <c:pt idx="81">
                  <c:v>合肥市</c:v>
                </c:pt>
                <c:pt idx="82">
                  <c:v>大连市</c:v>
                </c:pt>
                <c:pt idx="83">
                  <c:v>桂林市</c:v>
                </c:pt>
                <c:pt idx="84">
                  <c:v>邯郸市</c:v>
                </c:pt>
                <c:pt idx="85">
                  <c:v>汕头市</c:v>
                </c:pt>
                <c:pt idx="86">
                  <c:v>运城市</c:v>
                </c:pt>
                <c:pt idx="87">
                  <c:v>保定市</c:v>
                </c:pt>
                <c:pt idx="88">
                  <c:v>玉溪市</c:v>
                </c:pt>
                <c:pt idx="89">
                  <c:v>乌鲁木齐市</c:v>
                </c:pt>
                <c:pt idx="90">
                  <c:v>唐山市</c:v>
                </c:pt>
                <c:pt idx="91">
                  <c:v>兰州市</c:v>
                </c:pt>
                <c:pt idx="92">
                  <c:v>呼和浩特市</c:v>
                </c:pt>
                <c:pt idx="93">
                  <c:v>宝鸡市</c:v>
                </c:pt>
                <c:pt idx="94">
                  <c:v>三亚市</c:v>
                </c:pt>
                <c:pt idx="95">
                  <c:v>松原市</c:v>
                </c:pt>
                <c:pt idx="96">
                  <c:v>衡阳市</c:v>
                </c:pt>
                <c:pt idx="97">
                  <c:v>海口市</c:v>
                </c:pt>
                <c:pt idx="98">
                  <c:v>西安市</c:v>
                </c:pt>
                <c:pt idx="99">
                  <c:v>庆阳市</c:v>
                </c:pt>
              </c:strCache>
            </c:strRef>
          </c:cat>
          <c:val>
            <c:numRef>
              <c:f>Sheet1!$C$2:$C$101</c:f>
              <c:numCache>
                <c:formatCode>0.00_);[Red]\(0.00\)</c:formatCode>
                <c:ptCount val="100"/>
                <c:pt idx="0">
                  <c:v>89.8665182873643</c:v>
                </c:pt>
                <c:pt idx="1">
                  <c:v>87.077545897979704</c:v>
                </c:pt>
                <c:pt idx="2">
                  <c:v>87.503012789216498</c:v>
                </c:pt>
                <c:pt idx="3">
                  <c:v>86.959246469665302</c:v>
                </c:pt>
                <c:pt idx="4">
                  <c:v>86.465048345844096</c:v>
                </c:pt>
                <c:pt idx="5">
                  <c:v>85.698413637052496</c:v>
                </c:pt>
                <c:pt idx="6">
                  <c:v>84.872994101952401</c:v>
                </c:pt>
                <c:pt idx="7">
                  <c:v>84.426763898084801</c:v>
                </c:pt>
                <c:pt idx="8">
                  <c:v>82.971783241273897</c:v>
                </c:pt>
                <c:pt idx="9">
                  <c:v>83.111836495954094</c:v>
                </c:pt>
                <c:pt idx="10">
                  <c:v>83.609134661215606</c:v>
                </c:pt>
                <c:pt idx="11">
                  <c:v>81.956707638032697</c:v>
                </c:pt>
                <c:pt idx="12">
                  <c:v>82.238430067347295</c:v>
                </c:pt>
                <c:pt idx="13">
                  <c:v>82.415414128071305</c:v>
                </c:pt>
                <c:pt idx="14">
                  <c:v>81.4928740423601</c:v>
                </c:pt>
                <c:pt idx="15">
                  <c:v>82.461418413099693</c:v>
                </c:pt>
                <c:pt idx="16">
                  <c:v>81.859576001220503</c:v>
                </c:pt>
                <c:pt idx="17">
                  <c:v>81.575308512450505</c:v>
                </c:pt>
                <c:pt idx="18">
                  <c:v>81.017820422426396</c:v>
                </c:pt>
                <c:pt idx="19">
                  <c:v>81.169248225323599</c:v>
                </c:pt>
                <c:pt idx="20">
                  <c:v>81.027233926942898</c:v>
                </c:pt>
                <c:pt idx="21">
                  <c:v>80.748368918049295</c:v>
                </c:pt>
                <c:pt idx="22">
                  <c:v>80.919160859842904</c:v>
                </c:pt>
                <c:pt idx="23">
                  <c:v>80.389137131362901</c:v>
                </c:pt>
                <c:pt idx="24">
                  <c:v>81.804411542123901</c:v>
                </c:pt>
                <c:pt idx="25">
                  <c:v>81.850943438621698</c:v>
                </c:pt>
                <c:pt idx="26">
                  <c:v>80.639897109563293</c:v>
                </c:pt>
                <c:pt idx="27">
                  <c:v>80.778791974893593</c:v>
                </c:pt>
                <c:pt idx="28">
                  <c:v>80.408435693041596</c:v>
                </c:pt>
                <c:pt idx="29">
                  <c:v>80.718768519807497</c:v>
                </c:pt>
                <c:pt idx="30">
                  <c:v>80.145075153013394</c:v>
                </c:pt>
                <c:pt idx="31">
                  <c:v>80.405113448906107</c:v>
                </c:pt>
                <c:pt idx="32">
                  <c:v>81.0741448362933</c:v>
                </c:pt>
                <c:pt idx="33">
                  <c:v>80.388937076733001</c:v>
                </c:pt>
                <c:pt idx="34">
                  <c:v>78.964869928200898</c:v>
                </c:pt>
                <c:pt idx="35">
                  <c:v>80.313979558607201</c:v>
                </c:pt>
                <c:pt idx="36">
                  <c:v>80.317327222291397</c:v>
                </c:pt>
                <c:pt idx="37">
                  <c:v>81.3032738515613</c:v>
                </c:pt>
                <c:pt idx="38">
                  <c:v>80.657639063656703</c:v>
                </c:pt>
                <c:pt idx="39">
                  <c:v>79.139735631739697</c:v>
                </c:pt>
                <c:pt idx="40">
                  <c:v>80.514988061657903</c:v>
                </c:pt>
                <c:pt idx="41">
                  <c:v>79.451607366731693</c:v>
                </c:pt>
                <c:pt idx="42">
                  <c:v>79.841883239607299</c:v>
                </c:pt>
                <c:pt idx="43">
                  <c:v>79.900949964432002</c:v>
                </c:pt>
                <c:pt idx="44">
                  <c:v>79.687329366281304</c:v>
                </c:pt>
                <c:pt idx="45">
                  <c:v>80.228428851270095</c:v>
                </c:pt>
                <c:pt idx="46">
                  <c:v>79.947786560308401</c:v>
                </c:pt>
                <c:pt idx="47">
                  <c:v>79.833638193264605</c:v>
                </c:pt>
                <c:pt idx="48">
                  <c:v>80.175648788855199</c:v>
                </c:pt>
                <c:pt idx="49">
                  <c:v>79.522909472528696</c:v>
                </c:pt>
                <c:pt idx="50">
                  <c:v>79.6033472349135</c:v>
                </c:pt>
                <c:pt idx="51">
                  <c:v>79.964296108269096</c:v>
                </c:pt>
                <c:pt idx="52">
                  <c:v>80.874939789371794</c:v>
                </c:pt>
                <c:pt idx="53">
                  <c:v>79.462059619007704</c:v>
                </c:pt>
                <c:pt idx="54">
                  <c:v>79.675516191231296</c:v>
                </c:pt>
                <c:pt idx="55">
                  <c:v>79.134848594881007</c:v>
                </c:pt>
                <c:pt idx="56">
                  <c:v>79.181244616016699</c:v>
                </c:pt>
                <c:pt idx="57">
                  <c:v>79.369616677515296</c:v>
                </c:pt>
                <c:pt idx="58">
                  <c:v>78.700744478690595</c:v>
                </c:pt>
                <c:pt idx="59">
                  <c:v>79.703113274655095</c:v>
                </c:pt>
                <c:pt idx="60">
                  <c:v>79.424176357154096</c:v>
                </c:pt>
                <c:pt idx="61">
                  <c:v>79.231396822308099</c:v>
                </c:pt>
                <c:pt idx="62">
                  <c:v>79.727784439335494</c:v>
                </c:pt>
                <c:pt idx="63">
                  <c:v>78.818387998648902</c:v>
                </c:pt>
                <c:pt idx="64">
                  <c:v>78.807502450820394</c:v>
                </c:pt>
                <c:pt idx="65">
                  <c:v>79.506610161579999</c:v>
                </c:pt>
                <c:pt idx="66">
                  <c:v>78.758009738330202</c:v>
                </c:pt>
                <c:pt idx="67">
                  <c:v>79.081351603411406</c:v>
                </c:pt>
                <c:pt idx="68">
                  <c:v>79.0255132150306</c:v>
                </c:pt>
                <c:pt idx="69">
                  <c:v>79.398294791110303</c:v>
                </c:pt>
                <c:pt idx="70">
                  <c:v>79.873703595594606</c:v>
                </c:pt>
                <c:pt idx="71">
                  <c:v>79.149787620267702</c:v>
                </c:pt>
                <c:pt idx="72">
                  <c:v>78.784532299036599</c:v>
                </c:pt>
                <c:pt idx="73">
                  <c:v>78.769760271065394</c:v>
                </c:pt>
                <c:pt idx="74">
                  <c:v>79.144185822844605</c:v>
                </c:pt>
                <c:pt idx="75">
                  <c:v>79.012222777122403</c:v>
                </c:pt>
                <c:pt idx="76">
                  <c:v>78.5695296603093</c:v>
                </c:pt>
                <c:pt idx="77">
                  <c:v>79.111339704076997</c:v>
                </c:pt>
                <c:pt idx="78">
                  <c:v>79.550065874834004</c:v>
                </c:pt>
                <c:pt idx="79">
                  <c:v>79.204047340012593</c:v>
                </c:pt>
                <c:pt idx="80">
                  <c:v>78.685958720427607</c:v>
                </c:pt>
                <c:pt idx="81">
                  <c:v>78.033124209715893</c:v>
                </c:pt>
                <c:pt idx="82">
                  <c:v>78.572100184214506</c:v>
                </c:pt>
                <c:pt idx="83">
                  <c:v>78.170765730647403</c:v>
                </c:pt>
                <c:pt idx="84">
                  <c:v>78.393622705687505</c:v>
                </c:pt>
                <c:pt idx="85">
                  <c:v>79.0725769748001</c:v>
                </c:pt>
                <c:pt idx="86">
                  <c:v>78.097891430837805</c:v>
                </c:pt>
                <c:pt idx="87">
                  <c:v>77.921497415796296</c:v>
                </c:pt>
                <c:pt idx="88">
                  <c:v>78.616267369556695</c:v>
                </c:pt>
                <c:pt idx="89">
                  <c:v>77.123932558182304</c:v>
                </c:pt>
                <c:pt idx="90">
                  <c:v>78.238180493188594</c:v>
                </c:pt>
                <c:pt idx="91">
                  <c:v>77.927733866196505</c:v>
                </c:pt>
                <c:pt idx="92">
                  <c:v>77.208299670661106</c:v>
                </c:pt>
                <c:pt idx="93">
                  <c:v>77.442528083840799</c:v>
                </c:pt>
                <c:pt idx="94">
                  <c:v>76.945664777666195</c:v>
                </c:pt>
                <c:pt idx="95">
                  <c:v>77.506344838151605</c:v>
                </c:pt>
                <c:pt idx="96">
                  <c:v>77.5158783146574</c:v>
                </c:pt>
                <c:pt idx="97">
                  <c:v>76.7647272138083</c:v>
                </c:pt>
                <c:pt idx="98">
                  <c:v>76.260407214523795</c:v>
                </c:pt>
                <c:pt idx="99">
                  <c:v>77.200799594493503</c:v>
                </c:pt>
              </c:numCache>
            </c:numRef>
          </c:val>
          <c:smooth val="1"/>
          <c:extLst>
            <c:ext xmlns:c16="http://schemas.microsoft.com/office/drawing/2014/chart" uri="{C3380CC4-5D6E-409C-BE32-E72D297353CC}">
              <c16:uniqueId val="{00000001-E1DA-4D2A-8FB9-065C617E65AD}"/>
            </c:ext>
          </c:extLst>
        </c:ser>
        <c:ser>
          <c:idx val="2"/>
          <c:order val="2"/>
          <c:tx>
            <c:strRef>
              <c:f>Sheet1!$D$1</c:f>
              <c:strCache>
                <c:ptCount val="1"/>
                <c:pt idx="0">
                  <c:v>消费维权</c:v>
                </c:pt>
              </c:strCache>
            </c:strRef>
          </c:tx>
          <c:spPr>
            <a:ln w="28575" cap="rnd">
              <a:solidFill>
                <a:schemeClr val="accent3"/>
              </a:solidFill>
              <a:round/>
            </a:ln>
            <a:effectLst/>
          </c:spPr>
          <c:marker>
            <c:symbol val="none"/>
          </c:marker>
          <c:cat>
            <c:strRef>
              <c:f>Sheet1!$A$2:$A$101</c:f>
              <c:strCache>
                <c:ptCount val="100"/>
                <c:pt idx="0">
                  <c:v>苏州市</c:v>
                </c:pt>
                <c:pt idx="1">
                  <c:v>杭州市</c:v>
                </c:pt>
                <c:pt idx="2">
                  <c:v>青岛市</c:v>
                </c:pt>
                <c:pt idx="3">
                  <c:v>南京市</c:v>
                </c:pt>
                <c:pt idx="4">
                  <c:v>无锡市</c:v>
                </c:pt>
                <c:pt idx="5">
                  <c:v>烟台市</c:v>
                </c:pt>
                <c:pt idx="6">
                  <c:v>常州市</c:v>
                </c:pt>
                <c:pt idx="7">
                  <c:v>上海市</c:v>
                </c:pt>
                <c:pt idx="8">
                  <c:v>北京市</c:v>
                </c:pt>
                <c:pt idx="9">
                  <c:v>厦门市</c:v>
                </c:pt>
                <c:pt idx="10">
                  <c:v>宁波市</c:v>
                </c:pt>
                <c:pt idx="11">
                  <c:v>宜昌市</c:v>
                </c:pt>
                <c:pt idx="12">
                  <c:v>泉州市</c:v>
                </c:pt>
                <c:pt idx="13">
                  <c:v>潍坊市</c:v>
                </c:pt>
                <c:pt idx="14">
                  <c:v>佛山市</c:v>
                </c:pt>
                <c:pt idx="15">
                  <c:v>金华市</c:v>
                </c:pt>
                <c:pt idx="16">
                  <c:v>成都市</c:v>
                </c:pt>
                <c:pt idx="17">
                  <c:v>天津市</c:v>
                </c:pt>
                <c:pt idx="18">
                  <c:v>济宁市</c:v>
                </c:pt>
                <c:pt idx="19">
                  <c:v>嘉兴市</c:v>
                </c:pt>
                <c:pt idx="20">
                  <c:v>吴忠市</c:v>
                </c:pt>
                <c:pt idx="21">
                  <c:v>南通市</c:v>
                </c:pt>
                <c:pt idx="22">
                  <c:v>洛阳市</c:v>
                </c:pt>
                <c:pt idx="23">
                  <c:v>南宁市</c:v>
                </c:pt>
                <c:pt idx="24">
                  <c:v>绍兴市</c:v>
                </c:pt>
                <c:pt idx="25">
                  <c:v>深圳市</c:v>
                </c:pt>
                <c:pt idx="26">
                  <c:v>温州市</c:v>
                </c:pt>
                <c:pt idx="27">
                  <c:v>广州市</c:v>
                </c:pt>
                <c:pt idx="28">
                  <c:v>沈阳市</c:v>
                </c:pt>
                <c:pt idx="29">
                  <c:v>济南市</c:v>
                </c:pt>
                <c:pt idx="30">
                  <c:v>盐城市</c:v>
                </c:pt>
                <c:pt idx="31">
                  <c:v>襄阳市</c:v>
                </c:pt>
                <c:pt idx="32">
                  <c:v>岳阳市</c:v>
                </c:pt>
                <c:pt idx="33">
                  <c:v>临沂市</c:v>
                </c:pt>
                <c:pt idx="34">
                  <c:v>克拉玛依市</c:v>
                </c:pt>
                <c:pt idx="35">
                  <c:v>日喀则市</c:v>
                </c:pt>
                <c:pt idx="36">
                  <c:v>山南市</c:v>
                </c:pt>
                <c:pt idx="37">
                  <c:v>大庆市</c:v>
                </c:pt>
                <c:pt idx="38">
                  <c:v>徐州市</c:v>
                </c:pt>
                <c:pt idx="39">
                  <c:v>银川市</c:v>
                </c:pt>
                <c:pt idx="40">
                  <c:v>哈尔滨市</c:v>
                </c:pt>
                <c:pt idx="41">
                  <c:v>拉萨市</c:v>
                </c:pt>
                <c:pt idx="42">
                  <c:v>芜湖市</c:v>
                </c:pt>
                <c:pt idx="43">
                  <c:v>淄博市</c:v>
                </c:pt>
                <c:pt idx="44">
                  <c:v>武汉市</c:v>
                </c:pt>
                <c:pt idx="45">
                  <c:v>西宁市</c:v>
                </c:pt>
                <c:pt idx="46">
                  <c:v>海西蒙古族藏族自治州</c:v>
                </c:pt>
                <c:pt idx="47">
                  <c:v>石家庄市</c:v>
                </c:pt>
                <c:pt idx="48">
                  <c:v>渭南市</c:v>
                </c:pt>
                <c:pt idx="49">
                  <c:v>包头市</c:v>
                </c:pt>
                <c:pt idx="50">
                  <c:v>太原市</c:v>
                </c:pt>
                <c:pt idx="51">
                  <c:v>大同市</c:v>
                </c:pt>
                <c:pt idx="52">
                  <c:v>上饶市</c:v>
                </c:pt>
                <c:pt idx="53">
                  <c:v>柳州市</c:v>
                </c:pt>
                <c:pt idx="54">
                  <c:v>齐齐哈尔市</c:v>
                </c:pt>
                <c:pt idx="55">
                  <c:v>天水市</c:v>
                </c:pt>
                <c:pt idx="56">
                  <c:v>赣州市</c:v>
                </c:pt>
                <c:pt idx="57">
                  <c:v>毕节市</c:v>
                </c:pt>
                <c:pt idx="58">
                  <c:v>台州市</c:v>
                </c:pt>
                <c:pt idx="59">
                  <c:v>鞍山市</c:v>
                </c:pt>
                <c:pt idx="60">
                  <c:v>福州市</c:v>
                </c:pt>
                <c:pt idx="61">
                  <c:v>鄂尔多斯市</c:v>
                </c:pt>
                <c:pt idx="62">
                  <c:v>海东市</c:v>
                </c:pt>
                <c:pt idx="63">
                  <c:v>石嘴山市</c:v>
                </c:pt>
                <c:pt idx="64">
                  <c:v>东莞市</c:v>
                </c:pt>
                <c:pt idx="65">
                  <c:v>南充市</c:v>
                </c:pt>
                <c:pt idx="66">
                  <c:v>郑州市</c:v>
                </c:pt>
                <c:pt idx="67">
                  <c:v>哈密市</c:v>
                </c:pt>
                <c:pt idx="68">
                  <c:v>昆明市</c:v>
                </c:pt>
                <c:pt idx="69">
                  <c:v>曲靖市</c:v>
                </c:pt>
                <c:pt idx="70">
                  <c:v>吉林市</c:v>
                </c:pt>
                <c:pt idx="71">
                  <c:v>南昌市</c:v>
                </c:pt>
                <c:pt idx="72">
                  <c:v>南阳市</c:v>
                </c:pt>
                <c:pt idx="73">
                  <c:v>长春市</c:v>
                </c:pt>
                <c:pt idx="74">
                  <c:v>贵阳市</c:v>
                </c:pt>
                <c:pt idx="75">
                  <c:v>遵义市</c:v>
                </c:pt>
                <c:pt idx="76">
                  <c:v>长沙市</c:v>
                </c:pt>
                <c:pt idx="77">
                  <c:v>重庆市</c:v>
                </c:pt>
                <c:pt idx="78">
                  <c:v>阜阳市</c:v>
                </c:pt>
                <c:pt idx="79">
                  <c:v>绵阳市</c:v>
                </c:pt>
                <c:pt idx="80">
                  <c:v>儋州市</c:v>
                </c:pt>
                <c:pt idx="81">
                  <c:v>合肥市</c:v>
                </c:pt>
                <c:pt idx="82">
                  <c:v>大连市</c:v>
                </c:pt>
                <c:pt idx="83">
                  <c:v>桂林市</c:v>
                </c:pt>
                <c:pt idx="84">
                  <c:v>邯郸市</c:v>
                </c:pt>
                <c:pt idx="85">
                  <c:v>汕头市</c:v>
                </c:pt>
                <c:pt idx="86">
                  <c:v>运城市</c:v>
                </c:pt>
                <c:pt idx="87">
                  <c:v>保定市</c:v>
                </c:pt>
                <c:pt idx="88">
                  <c:v>玉溪市</c:v>
                </c:pt>
                <c:pt idx="89">
                  <c:v>乌鲁木齐市</c:v>
                </c:pt>
                <c:pt idx="90">
                  <c:v>唐山市</c:v>
                </c:pt>
                <c:pt idx="91">
                  <c:v>兰州市</c:v>
                </c:pt>
                <c:pt idx="92">
                  <c:v>呼和浩特市</c:v>
                </c:pt>
                <c:pt idx="93">
                  <c:v>宝鸡市</c:v>
                </c:pt>
                <c:pt idx="94">
                  <c:v>三亚市</c:v>
                </c:pt>
                <c:pt idx="95">
                  <c:v>松原市</c:v>
                </c:pt>
                <c:pt idx="96">
                  <c:v>衡阳市</c:v>
                </c:pt>
                <c:pt idx="97">
                  <c:v>海口市</c:v>
                </c:pt>
                <c:pt idx="98">
                  <c:v>西安市</c:v>
                </c:pt>
                <c:pt idx="99">
                  <c:v>庆阳市</c:v>
                </c:pt>
              </c:strCache>
            </c:strRef>
          </c:cat>
          <c:val>
            <c:numRef>
              <c:f>Sheet1!$D$2:$D$101</c:f>
              <c:numCache>
                <c:formatCode>0.00_);[Red]\(0.00\)</c:formatCode>
                <c:ptCount val="100"/>
                <c:pt idx="0">
                  <c:v>90.689443918573204</c:v>
                </c:pt>
                <c:pt idx="1">
                  <c:v>87.227564678036202</c:v>
                </c:pt>
                <c:pt idx="2">
                  <c:v>85.978796163303102</c:v>
                </c:pt>
                <c:pt idx="3">
                  <c:v>84.974826712611602</c:v>
                </c:pt>
                <c:pt idx="4">
                  <c:v>83.486079189600403</c:v>
                </c:pt>
                <c:pt idx="5">
                  <c:v>84.432325702972705</c:v>
                </c:pt>
                <c:pt idx="6">
                  <c:v>85.073571705197693</c:v>
                </c:pt>
                <c:pt idx="7">
                  <c:v>85.1441585974285</c:v>
                </c:pt>
                <c:pt idx="8">
                  <c:v>84.766807451634605</c:v>
                </c:pt>
                <c:pt idx="9">
                  <c:v>82.737384729846198</c:v>
                </c:pt>
                <c:pt idx="10">
                  <c:v>78.892355851802904</c:v>
                </c:pt>
                <c:pt idx="11">
                  <c:v>82.823063707929805</c:v>
                </c:pt>
                <c:pt idx="12">
                  <c:v>81.860688798482698</c:v>
                </c:pt>
                <c:pt idx="13">
                  <c:v>80.168660865097607</c:v>
                </c:pt>
                <c:pt idx="14">
                  <c:v>82.064098855881895</c:v>
                </c:pt>
                <c:pt idx="15">
                  <c:v>80.364652168133304</c:v>
                </c:pt>
                <c:pt idx="16">
                  <c:v>80.782246587515004</c:v>
                </c:pt>
                <c:pt idx="17">
                  <c:v>80.815416890658597</c:v>
                </c:pt>
                <c:pt idx="18">
                  <c:v>81.209008395184796</c:v>
                </c:pt>
                <c:pt idx="19">
                  <c:v>81.276303342272698</c:v>
                </c:pt>
                <c:pt idx="20">
                  <c:v>84.133077853065501</c:v>
                </c:pt>
                <c:pt idx="21">
                  <c:v>81.266872702703594</c:v>
                </c:pt>
                <c:pt idx="22">
                  <c:v>81.206582953978398</c:v>
                </c:pt>
                <c:pt idx="23">
                  <c:v>81.824006373242696</c:v>
                </c:pt>
                <c:pt idx="24">
                  <c:v>78.670021512330294</c:v>
                </c:pt>
                <c:pt idx="25">
                  <c:v>79.115399440799095</c:v>
                </c:pt>
                <c:pt idx="26">
                  <c:v>80.968697638625201</c:v>
                </c:pt>
                <c:pt idx="27">
                  <c:v>78.949357636002702</c:v>
                </c:pt>
                <c:pt idx="28">
                  <c:v>79.914761003451204</c:v>
                </c:pt>
                <c:pt idx="29">
                  <c:v>79.298181859902201</c:v>
                </c:pt>
                <c:pt idx="30">
                  <c:v>82.938534451585696</c:v>
                </c:pt>
                <c:pt idx="31">
                  <c:v>79.905280951448802</c:v>
                </c:pt>
                <c:pt idx="32">
                  <c:v>79.365243815012306</c:v>
                </c:pt>
                <c:pt idx="33">
                  <c:v>81.120369274816099</c:v>
                </c:pt>
                <c:pt idx="34">
                  <c:v>83.602960324748196</c:v>
                </c:pt>
                <c:pt idx="35">
                  <c:v>81.241413772080307</c:v>
                </c:pt>
                <c:pt idx="36">
                  <c:v>80.185191527244896</c:v>
                </c:pt>
                <c:pt idx="37">
                  <c:v>78.7291709731672</c:v>
                </c:pt>
                <c:pt idx="38">
                  <c:v>78.291009477269498</c:v>
                </c:pt>
                <c:pt idx="39">
                  <c:v>81.6352600126189</c:v>
                </c:pt>
                <c:pt idx="40">
                  <c:v>79.188647105833994</c:v>
                </c:pt>
                <c:pt idx="41">
                  <c:v>81.888485940075796</c:v>
                </c:pt>
                <c:pt idx="42">
                  <c:v>79.817333472674804</c:v>
                </c:pt>
                <c:pt idx="43">
                  <c:v>80.192047958135603</c:v>
                </c:pt>
                <c:pt idx="44">
                  <c:v>79.978841708349293</c:v>
                </c:pt>
                <c:pt idx="45">
                  <c:v>79.266105116864296</c:v>
                </c:pt>
                <c:pt idx="46">
                  <c:v>80.096968673526106</c:v>
                </c:pt>
                <c:pt idx="47">
                  <c:v>79.054919127482705</c:v>
                </c:pt>
                <c:pt idx="48">
                  <c:v>78.345251250747907</c:v>
                </c:pt>
                <c:pt idx="49">
                  <c:v>79.577809662183896</c:v>
                </c:pt>
                <c:pt idx="50">
                  <c:v>78.968317051158195</c:v>
                </c:pt>
                <c:pt idx="51">
                  <c:v>78.245812778385002</c:v>
                </c:pt>
                <c:pt idx="52">
                  <c:v>77.137564173420799</c:v>
                </c:pt>
                <c:pt idx="53">
                  <c:v>79.030596485014797</c:v>
                </c:pt>
                <c:pt idx="54">
                  <c:v>78.327067659067794</c:v>
                </c:pt>
                <c:pt idx="55">
                  <c:v>79.123885496023703</c:v>
                </c:pt>
                <c:pt idx="56">
                  <c:v>79.359755659666703</c:v>
                </c:pt>
                <c:pt idx="57">
                  <c:v>79.237961141285595</c:v>
                </c:pt>
                <c:pt idx="58">
                  <c:v>79.4467604402261</c:v>
                </c:pt>
                <c:pt idx="59">
                  <c:v>77.643937237501106</c:v>
                </c:pt>
                <c:pt idx="60">
                  <c:v>77.632209779798501</c:v>
                </c:pt>
                <c:pt idx="61">
                  <c:v>79.105835709701296</c:v>
                </c:pt>
                <c:pt idx="62">
                  <c:v>79.177720822831304</c:v>
                </c:pt>
                <c:pt idx="63">
                  <c:v>80.763641193018302</c:v>
                </c:pt>
                <c:pt idx="64">
                  <c:v>79.354209109576004</c:v>
                </c:pt>
                <c:pt idx="65">
                  <c:v>78.097604907446595</c:v>
                </c:pt>
                <c:pt idx="66">
                  <c:v>79.253465238028795</c:v>
                </c:pt>
                <c:pt idx="67">
                  <c:v>79.193799641632197</c:v>
                </c:pt>
                <c:pt idx="68">
                  <c:v>79.36580089796</c:v>
                </c:pt>
                <c:pt idx="69">
                  <c:v>78.198751929063405</c:v>
                </c:pt>
                <c:pt idx="70">
                  <c:v>75.867927492815397</c:v>
                </c:pt>
                <c:pt idx="71">
                  <c:v>77.9664719810864</c:v>
                </c:pt>
                <c:pt idx="72">
                  <c:v>78.655076234552894</c:v>
                </c:pt>
                <c:pt idx="73">
                  <c:v>78.590784098300105</c:v>
                </c:pt>
                <c:pt idx="74">
                  <c:v>78.110947496492599</c:v>
                </c:pt>
                <c:pt idx="75">
                  <c:v>77.794342856488001</c:v>
                </c:pt>
                <c:pt idx="76">
                  <c:v>78.013050551730601</c:v>
                </c:pt>
                <c:pt idx="77">
                  <c:v>76.229757489468597</c:v>
                </c:pt>
                <c:pt idx="78">
                  <c:v>75.736710335872104</c:v>
                </c:pt>
                <c:pt idx="79">
                  <c:v>75.3303734913478</c:v>
                </c:pt>
                <c:pt idx="80">
                  <c:v>78.629250849993397</c:v>
                </c:pt>
                <c:pt idx="81">
                  <c:v>79.375434378492102</c:v>
                </c:pt>
                <c:pt idx="82">
                  <c:v>77.502700211352504</c:v>
                </c:pt>
                <c:pt idx="83">
                  <c:v>79.499816256900502</c:v>
                </c:pt>
                <c:pt idx="84">
                  <c:v>78.565413865210203</c:v>
                </c:pt>
                <c:pt idx="85">
                  <c:v>75.396092965602705</c:v>
                </c:pt>
                <c:pt idx="86">
                  <c:v>78.356274316101405</c:v>
                </c:pt>
                <c:pt idx="87">
                  <c:v>78.303366041198501</c:v>
                </c:pt>
                <c:pt idx="88">
                  <c:v>77.006933937322302</c:v>
                </c:pt>
                <c:pt idx="89">
                  <c:v>78.621427682377004</c:v>
                </c:pt>
                <c:pt idx="90">
                  <c:v>76.4471560249021</c:v>
                </c:pt>
                <c:pt idx="91">
                  <c:v>76.916745978114506</c:v>
                </c:pt>
                <c:pt idx="92">
                  <c:v>77.673571396832699</c:v>
                </c:pt>
                <c:pt idx="93">
                  <c:v>75.848618036912697</c:v>
                </c:pt>
                <c:pt idx="94">
                  <c:v>77.570322625073103</c:v>
                </c:pt>
                <c:pt idx="95">
                  <c:v>76.270438494834593</c:v>
                </c:pt>
                <c:pt idx="96">
                  <c:v>74.651801489604097</c:v>
                </c:pt>
                <c:pt idx="97">
                  <c:v>75.5690368308899</c:v>
                </c:pt>
                <c:pt idx="98">
                  <c:v>76.656081152497194</c:v>
                </c:pt>
                <c:pt idx="99">
                  <c:v>75.413402930943505</c:v>
                </c:pt>
              </c:numCache>
            </c:numRef>
          </c:val>
          <c:smooth val="1"/>
          <c:extLst>
            <c:ext xmlns:c16="http://schemas.microsoft.com/office/drawing/2014/chart" uri="{C3380CC4-5D6E-409C-BE32-E72D297353CC}">
              <c16:uniqueId val="{00000002-E1DA-4D2A-8FB9-065C617E65AD}"/>
            </c:ext>
          </c:extLst>
        </c:ser>
        <c:dLbls>
          <c:showLegendKey val="0"/>
          <c:showVal val="0"/>
          <c:showCatName val="0"/>
          <c:showSerName val="0"/>
          <c:showPercent val="0"/>
          <c:showBubbleSize val="0"/>
        </c:dLbls>
        <c:smooth val="0"/>
        <c:axId val="14712848"/>
        <c:axId val="539313846"/>
      </c:lineChart>
      <c:catAx>
        <c:axId val="147128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wordArtVert"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539313846"/>
        <c:crosses val="autoZero"/>
        <c:auto val="1"/>
        <c:lblAlgn val="ctr"/>
        <c:lblOffset val="100"/>
        <c:noMultiLvlLbl val="0"/>
      </c:catAx>
      <c:valAx>
        <c:axId val="539313846"/>
        <c:scaling>
          <c:orientation val="minMax"/>
          <c:max val="95"/>
          <c:min val="70"/>
        </c:scaling>
        <c:delete val="1"/>
        <c:axPos val="l"/>
        <c:numFmt formatCode="0.00_);[Red]\(0.00\)" sourceLinked="1"/>
        <c:majorTickMark val="none"/>
        <c:minorTickMark val="none"/>
        <c:tickLblPos val="nextTo"/>
        <c:crossAx val="1471284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2021</c:v>
                </c:pt>
              </c:strCache>
            </c:strRef>
          </c:tx>
          <c:spPr>
            <a:ln w="28575" cap="rnd">
              <a:solidFill>
                <a:schemeClr val="accent6"/>
              </a:solidFill>
              <a:round/>
            </a:ln>
            <a:effectLst/>
          </c:spPr>
          <c:marker>
            <c:symbol val="none"/>
          </c:marker>
          <c:cat>
            <c:strRef>
              <c:f>Sheet1!$A$2:$A$101</c:f>
              <c:strCache>
                <c:ptCount val="100"/>
                <c:pt idx="0">
                  <c:v>贵阳市</c:v>
                </c:pt>
                <c:pt idx="1">
                  <c:v>昆明市</c:v>
                </c:pt>
                <c:pt idx="2">
                  <c:v>邯郸市</c:v>
                </c:pt>
                <c:pt idx="3">
                  <c:v>遵义市</c:v>
                </c:pt>
                <c:pt idx="4">
                  <c:v>衡阳市</c:v>
                </c:pt>
                <c:pt idx="5">
                  <c:v>苏州市</c:v>
                </c:pt>
                <c:pt idx="6">
                  <c:v>合肥市</c:v>
                </c:pt>
                <c:pt idx="7">
                  <c:v>长春市</c:v>
                </c:pt>
                <c:pt idx="8">
                  <c:v>汕头市</c:v>
                </c:pt>
                <c:pt idx="9">
                  <c:v>桂林市</c:v>
                </c:pt>
                <c:pt idx="10">
                  <c:v>唐山市</c:v>
                </c:pt>
                <c:pt idx="11">
                  <c:v>台州市</c:v>
                </c:pt>
                <c:pt idx="12">
                  <c:v>松原市</c:v>
                </c:pt>
                <c:pt idx="13">
                  <c:v>玉溪市</c:v>
                </c:pt>
                <c:pt idx="14">
                  <c:v>哈密市</c:v>
                </c:pt>
                <c:pt idx="15">
                  <c:v>兰州市</c:v>
                </c:pt>
                <c:pt idx="16">
                  <c:v>广州市</c:v>
                </c:pt>
                <c:pt idx="17">
                  <c:v>大连市</c:v>
                </c:pt>
                <c:pt idx="18">
                  <c:v>呼和浩特市</c:v>
                </c:pt>
                <c:pt idx="19">
                  <c:v>无锡市</c:v>
                </c:pt>
                <c:pt idx="20">
                  <c:v>东莞市</c:v>
                </c:pt>
                <c:pt idx="21">
                  <c:v>福州市</c:v>
                </c:pt>
                <c:pt idx="22">
                  <c:v>绵阳市</c:v>
                </c:pt>
                <c:pt idx="23">
                  <c:v>青岛市</c:v>
                </c:pt>
                <c:pt idx="24">
                  <c:v>保定市</c:v>
                </c:pt>
                <c:pt idx="25">
                  <c:v>曲靖市</c:v>
                </c:pt>
                <c:pt idx="26">
                  <c:v>哈尔滨市</c:v>
                </c:pt>
                <c:pt idx="27">
                  <c:v>大庆市</c:v>
                </c:pt>
                <c:pt idx="28">
                  <c:v>大同市</c:v>
                </c:pt>
                <c:pt idx="29">
                  <c:v>郑州市</c:v>
                </c:pt>
                <c:pt idx="30">
                  <c:v>长沙市</c:v>
                </c:pt>
                <c:pt idx="31">
                  <c:v>海东市</c:v>
                </c:pt>
                <c:pt idx="32">
                  <c:v>徐州市</c:v>
                </c:pt>
                <c:pt idx="33">
                  <c:v>吉林市</c:v>
                </c:pt>
                <c:pt idx="34">
                  <c:v>深圳市</c:v>
                </c:pt>
                <c:pt idx="35">
                  <c:v>上饶市</c:v>
                </c:pt>
                <c:pt idx="36">
                  <c:v>盐城市</c:v>
                </c:pt>
                <c:pt idx="37">
                  <c:v>烟台市</c:v>
                </c:pt>
                <c:pt idx="38">
                  <c:v>武汉市</c:v>
                </c:pt>
                <c:pt idx="39">
                  <c:v>常州市</c:v>
                </c:pt>
                <c:pt idx="40">
                  <c:v>运城市</c:v>
                </c:pt>
                <c:pt idx="41">
                  <c:v>齐齐哈尔市</c:v>
                </c:pt>
                <c:pt idx="42">
                  <c:v>南阳市</c:v>
                </c:pt>
                <c:pt idx="43">
                  <c:v>宝鸡市</c:v>
                </c:pt>
                <c:pt idx="44">
                  <c:v>岳阳市</c:v>
                </c:pt>
                <c:pt idx="45">
                  <c:v>三亚市</c:v>
                </c:pt>
                <c:pt idx="46">
                  <c:v>太原市</c:v>
                </c:pt>
                <c:pt idx="47">
                  <c:v>佛山市</c:v>
                </c:pt>
                <c:pt idx="48">
                  <c:v>宜昌市</c:v>
                </c:pt>
                <c:pt idx="49">
                  <c:v>上海市</c:v>
                </c:pt>
                <c:pt idx="50">
                  <c:v>重庆市</c:v>
                </c:pt>
                <c:pt idx="51">
                  <c:v>襄阳市</c:v>
                </c:pt>
                <c:pt idx="52">
                  <c:v>北京市</c:v>
                </c:pt>
                <c:pt idx="53">
                  <c:v>潍坊市</c:v>
                </c:pt>
                <c:pt idx="54">
                  <c:v>石家庄市</c:v>
                </c:pt>
                <c:pt idx="55">
                  <c:v>杭州市</c:v>
                </c:pt>
                <c:pt idx="56">
                  <c:v>西宁市</c:v>
                </c:pt>
                <c:pt idx="57">
                  <c:v>庆阳市</c:v>
                </c:pt>
                <c:pt idx="58">
                  <c:v>毕节市</c:v>
                </c:pt>
                <c:pt idx="59">
                  <c:v>南充市</c:v>
                </c:pt>
                <c:pt idx="60">
                  <c:v>天津市</c:v>
                </c:pt>
                <c:pt idx="61">
                  <c:v>鄂尔多斯市</c:v>
                </c:pt>
                <c:pt idx="62">
                  <c:v>泉州市</c:v>
                </c:pt>
                <c:pt idx="63">
                  <c:v>儋州市</c:v>
                </c:pt>
                <c:pt idx="64">
                  <c:v>南京市</c:v>
                </c:pt>
                <c:pt idx="65">
                  <c:v>西安市</c:v>
                </c:pt>
                <c:pt idx="66">
                  <c:v>宁波市</c:v>
                </c:pt>
                <c:pt idx="67">
                  <c:v>临沂市</c:v>
                </c:pt>
                <c:pt idx="68">
                  <c:v>成都市</c:v>
                </c:pt>
                <c:pt idx="69">
                  <c:v>阜阳市</c:v>
                </c:pt>
                <c:pt idx="70">
                  <c:v>柳州市</c:v>
                </c:pt>
                <c:pt idx="71">
                  <c:v>金华市</c:v>
                </c:pt>
                <c:pt idx="72">
                  <c:v>洛阳市</c:v>
                </c:pt>
                <c:pt idx="73">
                  <c:v>天水市</c:v>
                </c:pt>
                <c:pt idx="74">
                  <c:v>绍兴市</c:v>
                </c:pt>
                <c:pt idx="75">
                  <c:v>南通市</c:v>
                </c:pt>
                <c:pt idx="76">
                  <c:v>鞍山市</c:v>
                </c:pt>
                <c:pt idx="77">
                  <c:v>银川市</c:v>
                </c:pt>
                <c:pt idx="78">
                  <c:v>济宁市</c:v>
                </c:pt>
                <c:pt idx="79">
                  <c:v>拉萨市</c:v>
                </c:pt>
                <c:pt idx="80">
                  <c:v>厦门市</c:v>
                </c:pt>
                <c:pt idx="81">
                  <c:v>包头市</c:v>
                </c:pt>
                <c:pt idx="82">
                  <c:v>克拉玛依市</c:v>
                </c:pt>
                <c:pt idx="83">
                  <c:v>南昌市</c:v>
                </c:pt>
                <c:pt idx="84">
                  <c:v>渭南市</c:v>
                </c:pt>
                <c:pt idx="85">
                  <c:v>温州市</c:v>
                </c:pt>
                <c:pt idx="86">
                  <c:v>嘉兴市</c:v>
                </c:pt>
                <c:pt idx="87">
                  <c:v>石嘴山市</c:v>
                </c:pt>
                <c:pt idx="88">
                  <c:v>南宁市</c:v>
                </c:pt>
                <c:pt idx="89">
                  <c:v>赣州市</c:v>
                </c:pt>
                <c:pt idx="90">
                  <c:v>日喀则市</c:v>
                </c:pt>
                <c:pt idx="91">
                  <c:v>乌鲁木齐市</c:v>
                </c:pt>
                <c:pt idx="92">
                  <c:v>沈阳市</c:v>
                </c:pt>
                <c:pt idx="93">
                  <c:v>海西蒙古族藏族自治州</c:v>
                </c:pt>
                <c:pt idx="94">
                  <c:v>济南市</c:v>
                </c:pt>
                <c:pt idx="95">
                  <c:v>山南市</c:v>
                </c:pt>
                <c:pt idx="96">
                  <c:v>淄博市</c:v>
                </c:pt>
                <c:pt idx="97">
                  <c:v>芜湖市</c:v>
                </c:pt>
                <c:pt idx="98">
                  <c:v>吴忠市</c:v>
                </c:pt>
                <c:pt idx="99">
                  <c:v>海口市</c:v>
                </c:pt>
              </c:strCache>
            </c:strRef>
          </c:cat>
          <c:val>
            <c:numRef>
              <c:f>Sheet1!$B$2:$B$101</c:f>
              <c:numCache>
                <c:formatCode>0.00_);[Red]\(0.00\)</c:formatCode>
                <c:ptCount val="100"/>
                <c:pt idx="0">
                  <c:v>78.947996848543696</c:v>
                </c:pt>
                <c:pt idx="1">
                  <c:v>79.149280411698697</c:v>
                </c:pt>
                <c:pt idx="2">
                  <c:v>78.629741984759406</c:v>
                </c:pt>
                <c:pt idx="3">
                  <c:v>78.881318278993305</c:v>
                </c:pt>
                <c:pt idx="4">
                  <c:v>77.0467880428629</c:v>
                </c:pt>
                <c:pt idx="5">
                  <c:v>89.695237730760098</c:v>
                </c:pt>
                <c:pt idx="6">
                  <c:v>78.755749413056193</c:v>
                </c:pt>
                <c:pt idx="7">
                  <c:v>79.008969693772897</c:v>
                </c:pt>
                <c:pt idx="8">
                  <c:v>78.540765367767904</c:v>
                </c:pt>
                <c:pt idx="9">
                  <c:v>78.728338339382404</c:v>
                </c:pt>
                <c:pt idx="10">
                  <c:v>78.123464910633501</c:v>
                </c:pt>
                <c:pt idx="11">
                  <c:v>79.383928324144193</c:v>
                </c:pt>
                <c:pt idx="12">
                  <c:v>77.319939320648103</c:v>
                </c:pt>
                <c:pt idx="13">
                  <c:v>78.296006011569304</c:v>
                </c:pt>
                <c:pt idx="14">
                  <c:v>79.249130026292406</c:v>
                </c:pt>
                <c:pt idx="15">
                  <c:v>78.028909945870197</c:v>
                </c:pt>
                <c:pt idx="16">
                  <c:v>80.895677891776899</c:v>
                </c:pt>
                <c:pt idx="17">
                  <c:v>78.735744388414602</c:v>
                </c:pt>
                <c:pt idx="18">
                  <c:v>77.554832104669799</c:v>
                </c:pt>
                <c:pt idx="19">
                  <c:v>86.001102026508704</c:v>
                </c:pt>
                <c:pt idx="20">
                  <c:v>79.306859302645606</c:v>
                </c:pt>
                <c:pt idx="21">
                  <c:v>79.356507751334902</c:v>
                </c:pt>
                <c:pt idx="22">
                  <c:v>78.7838933620029</c:v>
                </c:pt>
                <c:pt idx="23">
                  <c:v>87.005402528301104</c:v>
                </c:pt>
                <c:pt idx="24">
                  <c:v>78.336054567109997</c:v>
                </c:pt>
                <c:pt idx="25">
                  <c:v>79.097690131746603</c:v>
                </c:pt>
                <c:pt idx="26">
                  <c:v>80.201506820171602</c:v>
                </c:pt>
                <c:pt idx="27">
                  <c:v>80.466568093630002</c:v>
                </c:pt>
                <c:pt idx="28">
                  <c:v>79.756240033989101</c:v>
                </c:pt>
                <c:pt idx="29">
                  <c:v>79.264422334368007</c:v>
                </c:pt>
                <c:pt idx="30">
                  <c:v>78.826863107648606</c:v>
                </c:pt>
                <c:pt idx="31">
                  <c:v>79.329353333385896</c:v>
                </c:pt>
                <c:pt idx="32">
                  <c:v>80.430787983759103</c:v>
                </c:pt>
                <c:pt idx="33">
                  <c:v>79.093270941225796</c:v>
                </c:pt>
                <c:pt idx="34">
                  <c:v>80.999491915573998</c:v>
                </c:pt>
                <c:pt idx="35">
                  <c:v>79.723781720490905</c:v>
                </c:pt>
                <c:pt idx="36">
                  <c:v>80.773481003939295</c:v>
                </c:pt>
                <c:pt idx="37">
                  <c:v>85.293241550520193</c:v>
                </c:pt>
                <c:pt idx="38">
                  <c:v>80.085150887552302</c:v>
                </c:pt>
                <c:pt idx="39">
                  <c:v>85.119612892262097</c:v>
                </c:pt>
                <c:pt idx="40">
                  <c:v>78.437751451305203</c:v>
                </c:pt>
                <c:pt idx="41">
                  <c:v>79.543903014613406</c:v>
                </c:pt>
                <c:pt idx="42">
                  <c:v>79.052484752800694</c:v>
                </c:pt>
                <c:pt idx="43">
                  <c:v>77.394108036526703</c:v>
                </c:pt>
                <c:pt idx="44">
                  <c:v>80.755820557425906</c:v>
                </c:pt>
                <c:pt idx="45">
                  <c:v>77.377540348227896</c:v>
                </c:pt>
                <c:pt idx="46">
                  <c:v>79.807631776629407</c:v>
                </c:pt>
                <c:pt idx="47">
                  <c:v>81.931174782632397</c:v>
                </c:pt>
                <c:pt idx="48">
                  <c:v>82.394383970590297</c:v>
                </c:pt>
                <c:pt idx="49">
                  <c:v>84.574184321893</c:v>
                </c:pt>
                <c:pt idx="50">
                  <c:v>78.793975709861698</c:v>
                </c:pt>
                <c:pt idx="51">
                  <c:v>80.772786861584393</c:v>
                </c:pt>
                <c:pt idx="52">
                  <c:v>83.485326033466393</c:v>
                </c:pt>
                <c:pt idx="53">
                  <c:v>82.076723962811101</c:v>
                </c:pt>
                <c:pt idx="54">
                  <c:v>79.924773076601497</c:v>
                </c:pt>
                <c:pt idx="55">
                  <c:v>87.336925816863996</c:v>
                </c:pt>
                <c:pt idx="56">
                  <c:v>80.065915162289102</c:v>
                </c:pt>
                <c:pt idx="57">
                  <c:v>76.650779201140097</c:v>
                </c:pt>
                <c:pt idx="58">
                  <c:v>79.435693520926506</c:v>
                </c:pt>
                <c:pt idx="59">
                  <c:v>79.293569100516905</c:v>
                </c:pt>
                <c:pt idx="60">
                  <c:v>81.485000214483605</c:v>
                </c:pt>
                <c:pt idx="61">
                  <c:v>79.348067166681304</c:v>
                </c:pt>
                <c:pt idx="62">
                  <c:v>82.196319883717806</c:v>
                </c:pt>
                <c:pt idx="63">
                  <c:v>78.782116963792305</c:v>
                </c:pt>
                <c:pt idx="64">
                  <c:v>86.040015010313894</c:v>
                </c:pt>
                <c:pt idx="65">
                  <c:v>76.729940568399499</c:v>
                </c:pt>
                <c:pt idx="66">
                  <c:v>82.403782358586696</c:v>
                </c:pt>
                <c:pt idx="67">
                  <c:v>80.745584669154596</c:v>
                </c:pt>
                <c:pt idx="68">
                  <c:v>81.845986949614002</c:v>
                </c:pt>
                <c:pt idx="69">
                  <c:v>78.789432303453495</c:v>
                </c:pt>
                <c:pt idx="70">
                  <c:v>79.663469578546</c:v>
                </c:pt>
                <c:pt idx="71">
                  <c:v>81.904832635211704</c:v>
                </c:pt>
                <c:pt idx="72">
                  <c:v>81.242333928096201</c:v>
                </c:pt>
                <c:pt idx="73">
                  <c:v>79.493251567448098</c:v>
                </c:pt>
                <c:pt idx="74">
                  <c:v>81.115656065479598</c:v>
                </c:pt>
                <c:pt idx="75">
                  <c:v>81.296675100805402</c:v>
                </c:pt>
                <c:pt idx="76">
                  <c:v>79.363923855388705</c:v>
                </c:pt>
                <c:pt idx="77">
                  <c:v>80.300780337533396</c:v>
                </c:pt>
                <c:pt idx="78">
                  <c:v>81.460078071023204</c:v>
                </c:pt>
                <c:pt idx="79">
                  <c:v>80.178079426409198</c:v>
                </c:pt>
                <c:pt idx="80">
                  <c:v>83.163356266636001</c:v>
                </c:pt>
                <c:pt idx="81">
                  <c:v>79.887666608704507</c:v>
                </c:pt>
                <c:pt idx="82">
                  <c:v>80.718520898342803</c:v>
                </c:pt>
                <c:pt idx="83">
                  <c:v>79.075908374986398</c:v>
                </c:pt>
                <c:pt idx="84">
                  <c:v>79.909854204306001</c:v>
                </c:pt>
                <c:pt idx="85">
                  <c:v>80.950332697491703</c:v>
                </c:pt>
                <c:pt idx="86">
                  <c:v>81.384916947800804</c:v>
                </c:pt>
                <c:pt idx="87">
                  <c:v>79.311931558316203</c:v>
                </c:pt>
                <c:pt idx="88">
                  <c:v>81.156242462272203</c:v>
                </c:pt>
                <c:pt idx="89">
                  <c:v>79.463776931523896</c:v>
                </c:pt>
                <c:pt idx="90">
                  <c:v>80.702486517848797</c:v>
                </c:pt>
                <c:pt idx="91">
                  <c:v>78.213614720549003</c:v>
                </c:pt>
                <c:pt idx="92">
                  <c:v>80.782550189447406</c:v>
                </c:pt>
                <c:pt idx="93">
                  <c:v>79.983455452560904</c:v>
                </c:pt>
                <c:pt idx="94">
                  <c:v>80.780112006286899</c:v>
                </c:pt>
                <c:pt idx="95">
                  <c:v>80.636492481154704</c:v>
                </c:pt>
                <c:pt idx="96">
                  <c:v>80.089968110233499</c:v>
                </c:pt>
                <c:pt idx="97">
                  <c:v>80.151990607895101</c:v>
                </c:pt>
                <c:pt idx="98">
                  <c:v>81.377707794561104</c:v>
                </c:pt>
                <c:pt idx="99">
                  <c:v>76.801631480936805</c:v>
                </c:pt>
              </c:numCache>
            </c:numRef>
          </c:val>
          <c:smooth val="1"/>
          <c:extLst>
            <c:ext xmlns:c16="http://schemas.microsoft.com/office/drawing/2014/chart" uri="{C3380CC4-5D6E-409C-BE32-E72D297353CC}">
              <c16:uniqueId val="{00000000-45D0-44FE-89D0-3EE9409C5CD8}"/>
            </c:ext>
          </c:extLst>
        </c:ser>
        <c:ser>
          <c:idx val="1"/>
          <c:order val="1"/>
          <c:tx>
            <c:strRef>
              <c:f>Sheet1!$C$1</c:f>
              <c:strCache>
                <c:ptCount val="1"/>
                <c:pt idx="0">
                  <c:v>2020</c:v>
                </c:pt>
              </c:strCache>
            </c:strRef>
          </c:tx>
          <c:spPr>
            <a:ln w="28575" cap="rnd">
              <a:solidFill>
                <a:schemeClr val="bg1">
                  <a:lumMod val="65000"/>
                </a:schemeClr>
              </a:solidFill>
              <a:round/>
            </a:ln>
            <a:effectLst/>
          </c:spPr>
          <c:marker>
            <c:symbol val="none"/>
          </c:marker>
          <c:cat>
            <c:strRef>
              <c:f>Sheet1!$A$2:$A$101</c:f>
              <c:strCache>
                <c:ptCount val="100"/>
                <c:pt idx="0">
                  <c:v>贵阳市</c:v>
                </c:pt>
                <c:pt idx="1">
                  <c:v>昆明市</c:v>
                </c:pt>
                <c:pt idx="2">
                  <c:v>邯郸市</c:v>
                </c:pt>
                <c:pt idx="3">
                  <c:v>遵义市</c:v>
                </c:pt>
                <c:pt idx="4">
                  <c:v>衡阳市</c:v>
                </c:pt>
                <c:pt idx="5">
                  <c:v>苏州市</c:v>
                </c:pt>
                <c:pt idx="6">
                  <c:v>合肥市</c:v>
                </c:pt>
                <c:pt idx="7">
                  <c:v>长春市</c:v>
                </c:pt>
                <c:pt idx="8">
                  <c:v>汕头市</c:v>
                </c:pt>
                <c:pt idx="9">
                  <c:v>桂林市</c:v>
                </c:pt>
                <c:pt idx="10">
                  <c:v>唐山市</c:v>
                </c:pt>
                <c:pt idx="11">
                  <c:v>台州市</c:v>
                </c:pt>
                <c:pt idx="12">
                  <c:v>松原市</c:v>
                </c:pt>
                <c:pt idx="13">
                  <c:v>玉溪市</c:v>
                </c:pt>
                <c:pt idx="14">
                  <c:v>哈密市</c:v>
                </c:pt>
                <c:pt idx="15">
                  <c:v>兰州市</c:v>
                </c:pt>
                <c:pt idx="16">
                  <c:v>广州市</c:v>
                </c:pt>
                <c:pt idx="17">
                  <c:v>大连市</c:v>
                </c:pt>
                <c:pt idx="18">
                  <c:v>呼和浩特市</c:v>
                </c:pt>
                <c:pt idx="19">
                  <c:v>无锡市</c:v>
                </c:pt>
                <c:pt idx="20">
                  <c:v>东莞市</c:v>
                </c:pt>
                <c:pt idx="21">
                  <c:v>福州市</c:v>
                </c:pt>
                <c:pt idx="22">
                  <c:v>绵阳市</c:v>
                </c:pt>
                <c:pt idx="23">
                  <c:v>青岛市</c:v>
                </c:pt>
                <c:pt idx="24">
                  <c:v>保定市</c:v>
                </c:pt>
                <c:pt idx="25">
                  <c:v>曲靖市</c:v>
                </c:pt>
                <c:pt idx="26">
                  <c:v>哈尔滨市</c:v>
                </c:pt>
                <c:pt idx="27">
                  <c:v>大庆市</c:v>
                </c:pt>
                <c:pt idx="28">
                  <c:v>大同市</c:v>
                </c:pt>
                <c:pt idx="29">
                  <c:v>郑州市</c:v>
                </c:pt>
                <c:pt idx="30">
                  <c:v>长沙市</c:v>
                </c:pt>
                <c:pt idx="31">
                  <c:v>海东市</c:v>
                </c:pt>
                <c:pt idx="32">
                  <c:v>徐州市</c:v>
                </c:pt>
                <c:pt idx="33">
                  <c:v>吉林市</c:v>
                </c:pt>
                <c:pt idx="34">
                  <c:v>深圳市</c:v>
                </c:pt>
                <c:pt idx="35">
                  <c:v>上饶市</c:v>
                </c:pt>
                <c:pt idx="36">
                  <c:v>盐城市</c:v>
                </c:pt>
                <c:pt idx="37">
                  <c:v>烟台市</c:v>
                </c:pt>
                <c:pt idx="38">
                  <c:v>武汉市</c:v>
                </c:pt>
                <c:pt idx="39">
                  <c:v>常州市</c:v>
                </c:pt>
                <c:pt idx="40">
                  <c:v>运城市</c:v>
                </c:pt>
                <c:pt idx="41">
                  <c:v>齐齐哈尔市</c:v>
                </c:pt>
                <c:pt idx="42">
                  <c:v>南阳市</c:v>
                </c:pt>
                <c:pt idx="43">
                  <c:v>宝鸡市</c:v>
                </c:pt>
                <c:pt idx="44">
                  <c:v>岳阳市</c:v>
                </c:pt>
                <c:pt idx="45">
                  <c:v>三亚市</c:v>
                </c:pt>
                <c:pt idx="46">
                  <c:v>太原市</c:v>
                </c:pt>
                <c:pt idx="47">
                  <c:v>佛山市</c:v>
                </c:pt>
                <c:pt idx="48">
                  <c:v>宜昌市</c:v>
                </c:pt>
                <c:pt idx="49">
                  <c:v>上海市</c:v>
                </c:pt>
                <c:pt idx="50">
                  <c:v>重庆市</c:v>
                </c:pt>
                <c:pt idx="51">
                  <c:v>襄阳市</c:v>
                </c:pt>
                <c:pt idx="52">
                  <c:v>北京市</c:v>
                </c:pt>
                <c:pt idx="53">
                  <c:v>潍坊市</c:v>
                </c:pt>
                <c:pt idx="54">
                  <c:v>石家庄市</c:v>
                </c:pt>
                <c:pt idx="55">
                  <c:v>杭州市</c:v>
                </c:pt>
                <c:pt idx="56">
                  <c:v>西宁市</c:v>
                </c:pt>
                <c:pt idx="57">
                  <c:v>庆阳市</c:v>
                </c:pt>
                <c:pt idx="58">
                  <c:v>毕节市</c:v>
                </c:pt>
                <c:pt idx="59">
                  <c:v>南充市</c:v>
                </c:pt>
                <c:pt idx="60">
                  <c:v>天津市</c:v>
                </c:pt>
                <c:pt idx="61">
                  <c:v>鄂尔多斯市</c:v>
                </c:pt>
                <c:pt idx="62">
                  <c:v>泉州市</c:v>
                </c:pt>
                <c:pt idx="63">
                  <c:v>儋州市</c:v>
                </c:pt>
                <c:pt idx="64">
                  <c:v>南京市</c:v>
                </c:pt>
                <c:pt idx="65">
                  <c:v>西安市</c:v>
                </c:pt>
                <c:pt idx="66">
                  <c:v>宁波市</c:v>
                </c:pt>
                <c:pt idx="67">
                  <c:v>临沂市</c:v>
                </c:pt>
                <c:pt idx="68">
                  <c:v>成都市</c:v>
                </c:pt>
                <c:pt idx="69">
                  <c:v>阜阳市</c:v>
                </c:pt>
                <c:pt idx="70">
                  <c:v>柳州市</c:v>
                </c:pt>
                <c:pt idx="71">
                  <c:v>金华市</c:v>
                </c:pt>
                <c:pt idx="72">
                  <c:v>洛阳市</c:v>
                </c:pt>
                <c:pt idx="73">
                  <c:v>天水市</c:v>
                </c:pt>
                <c:pt idx="74">
                  <c:v>绍兴市</c:v>
                </c:pt>
                <c:pt idx="75">
                  <c:v>南通市</c:v>
                </c:pt>
                <c:pt idx="76">
                  <c:v>鞍山市</c:v>
                </c:pt>
                <c:pt idx="77">
                  <c:v>银川市</c:v>
                </c:pt>
                <c:pt idx="78">
                  <c:v>济宁市</c:v>
                </c:pt>
                <c:pt idx="79">
                  <c:v>拉萨市</c:v>
                </c:pt>
                <c:pt idx="80">
                  <c:v>厦门市</c:v>
                </c:pt>
                <c:pt idx="81">
                  <c:v>包头市</c:v>
                </c:pt>
                <c:pt idx="82">
                  <c:v>克拉玛依市</c:v>
                </c:pt>
                <c:pt idx="83">
                  <c:v>南昌市</c:v>
                </c:pt>
                <c:pt idx="84">
                  <c:v>渭南市</c:v>
                </c:pt>
                <c:pt idx="85">
                  <c:v>温州市</c:v>
                </c:pt>
                <c:pt idx="86">
                  <c:v>嘉兴市</c:v>
                </c:pt>
                <c:pt idx="87">
                  <c:v>石嘴山市</c:v>
                </c:pt>
                <c:pt idx="88">
                  <c:v>南宁市</c:v>
                </c:pt>
                <c:pt idx="89">
                  <c:v>赣州市</c:v>
                </c:pt>
                <c:pt idx="90">
                  <c:v>日喀则市</c:v>
                </c:pt>
                <c:pt idx="91">
                  <c:v>乌鲁木齐市</c:v>
                </c:pt>
                <c:pt idx="92">
                  <c:v>沈阳市</c:v>
                </c:pt>
                <c:pt idx="93">
                  <c:v>海西蒙古族藏族自治州</c:v>
                </c:pt>
                <c:pt idx="94">
                  <c:v>济南市</c:v>
                </c:pt>
                <c:pt idx="95">
                  <c:v>山南市</c:v>
                </c:pt>
                <c:pt idx="96">
                  <c:v>淄博市</c:v>
                </c:pt>
                <c:pt idx="97">
                  <c:v>芜湖市</c:v>
                </c:pt>
                <c:pt idx="98">
                  <c:v>吴忠市</c:v>
                </c:pt>
                <c:pt idx="99">
                  <c:v>海口市</c:v>
                </c:pt>
              </c:strCache>
            </c:strRef>
          </c:cat>
          <c:val>
            <c:numRef>
              <c:f>Sheet1!$C$2:$C$101</c:f>
              <c:numCache>
                <c:formatCode>0.00_);[Red]\(0.00\)</c:formatCode>
                <c:ptCount val="100"/>
                <c:pt idx="0">
                  <c:v>69.479593042682495</c:v>
                </c:pt>
                <c:pt idx="1">
                  <c:v>69.873695163675094</c:v>
                </c:pt>
                <c:pt idx="2">
                  <c:v>71.115268415820495</c:v>
                </c:pt>
                <c:pt idx="3">
                  <c:v>72.212720352668995</c:v>
                </c:pt>
                <c:pt idx="4">
                  <c:v>70.612957052035</c:v>
                </c:pt>
                <c:pt idx="5">
                  <c:v>83.349280604253593</c:v>
                </c:pt>
                <c:pt idx="6">
                  <c:v>73.125839847067994</c:v>
                </c:pt>
                <c:pt idx="7">
                  <c:v>73.670571239546405</c:v>
                </c:pt>
                <c:pt idx="8">
                  <c:v>73.215762205025896</c:v>
                </c:pt>
                <c:pt idx="9">
                  <c:v>73.857220377229794</c:v>
                </c:pt>
                <c:pt idx="10">
                  <c:v>73.535995135136801</c:v>
                </c:pt>
                <c:pt idx="11">
                  <c:v>74.903833507111798</c:v>
                </c:pt>
                <c:pt idx="12">
                  <c:v>73.361113338601299</c:v>
                </c:pt>
                <c:pt idx="13">
                  <c:v>74.344800443456506</c:v>
                </c:pt>
                <c:pt idx="14">
                  <c:v>75.619463495554001</c:v>
                </c:pt>
                <c:pt idx="15">
                  <c:v>74.472446536218698</c:v>
                </c:pt>
                <c:pt idx="16">
                  <c:v>77.431681094778895</c:v>
                </c:pt>
                <c:pt idx="17">
                  <c:v>75.489114575167306</c:v>
                </c:pt>
                <c:pt idx="18">
                  <c:v>74.389658032498502</c:v>
                </c:pt>
                <c:pt idx="19">
                  <c:v>82.859875309454495</c:v>
                </c:pt>
                <c:pt idx="20">
                  <c:v>76.203217516496693</c:v>
                </c:pt>
                <c:pt idx="21">
                  <c:v>76.4148859555428</c:v>
                </c:pt>
                <c:pt idx="22">
                  <c:v>75.917255574601398</c:v>
                </c:pt>
                <c:pt idx="23">
                  <c:v>84.173652273523899</c:v>
                </c:pt>
                <c:pt idx="24">
                  <c:v>75.569804574537798</c:v>
                </c:pt>
                <c:pt idx="25">
                  <c:v>76.400811239888</c:v>
                </c:pt>
                <c:pt idx="26">
                  <c:v>77.538532270684499</c:v>
                </c:pt>
                <c:pt idx="27">
                  <c:v>77.805318009733398</c:v>
                </c:pt>
                <c:pt idx="28">
                  <c:v>77.259312093337002</c:v>
                </c:pt>
                <c:pt idx="29">
                  <c:v>76.852340368672003</c:v>
                </c:pt>
                <c:pt idx="30">
                  <c:v>76.432281033431707</c:v>
                </c:pt>
                <c:pt idx="31">
                  <c:v>76.947395458365605</c:v>
                </c:pt>
                <c:pt idx="32">
                  <c:v>78.073329580217006</c:v>
                </c:pt>
                <c:pt idx="33">
                  <c:v>76.790118372515195</c:v>
                </c:pt>
                <c:pt idx="34">
                  <c:v>78.771310567780702</c:v>
                </c:pt>
                <c:pt idx="35">
                  <c:v>77.502582367092501</c:v>
                </c:pt>
                <c:pt idx="36">
                  <c:v>78.585874424886001</c:v>
                </c:pt>
                <c:pt idx="37">
                  <c:v>83.111588621844803</c:v>
                </c:pt>
                <c:pt idx="38">
                  <c:v>77.9340542007712</c:v>
                </c:pt>
                <c:pt idx="39">
                  <c:v>82.9702812737344</c:v>
                </c:pt>
                <c:pt idx="40">
                  <c:v>76.501820568697994</c:v>
                </c:pt>
                <c:pt idx="41">
                  <c:v>77.776775992929899</c:v>
                </c:pt>
                <c:pt idx="42">
                  <c:v>77.576111364914894</c:v>
                </c:pt>
                <c:pt idx="43">
                  <c:v>75.925688072673694</c:v>
                </c:pt>
                <c:pt idx="44">
                  <c:v>79.503552390965396</c:v>
                </c:pt>
                <c:pt idx="45">
                  <c:v>76.140431309815696</c:v>
                </c:pt>
                <c:pt idx="46">
                  <c:v>78.615274426948304</c:v>
                </c:pt>
                <c:pt idx="47">
                  <c:v>80.774802681040597</c:v>
                </c:pt>
                <c:pt idx="48">
                  <c:v>81.370444589949997</c:v>
                </c:pt>
                <c:pt idx="49">
                  <c:v>83.650345208464302</c:v>
                </c:pt>
                <c:pt idx="50">
                  <c:v>77.917163137744495</c:v>
                </c:pt>
                <c:pt idx="51">
                  <c:v>79.922906481086898</c:v>
                </c:pt>
                <c:pt idx="52">
                  <c:v>82.669073132137697</c:v>
                </c:pt>
                <c:pt idx="53">
                  <c:v>81.348016042471897</c:v>
                </c:pt>
                <c:pt idx="54">
                  <c:v>79.200744520569202</c:v>
                </c:pt>
                <c:pt idx="55">
                  <c:v>86.668261737687004</c:v>
                </c:pt>
                <c:pt idx="56">
                  <c:v>79.465860931301293</c:v>
                </c:pt>
                <c:pt idx="57">
                  <c:v>76.289398832754799</c:v>
                </c:pt>
                <c:pt idx="58">
                  <c:v>79.085858086265503</c:v>
                </c:pt>
                <c:pt idx="59">
                  <c:v>79.010139857966905</c:v>
                </c:pt>
                <c:pt idx="60">
                  <c:v>81.284315462638006</c:v>
                </c:pt>
                <c:pt idx="61">
                  <c:v>79.154879802716195</c:v>
                </c:pt>
                <c:pt idx="62">
                  <c:v>82.184969228886899</c:v>
                </c:pt>
                <c:pt idx="63">
                  <c:v>78.7815011203392</c:v>
                </c:pt>
                <c:pt idx="64">
                  <c:v>86.082322081101495</c:v>
                </c:pt>
                <c:pt idx="65">
                  <c:v>76.785803703955594</c:v>
                </c:pt>
                <c:pt idx="66">
                  <c:v>82.494506879446305</c:v>
                </c:pt>
                <c:pt idx="67">
                  <c:v>81.045339467010507</c:v>
                </c:pt>
                <c:pt idx="68">
                  <c:v>82.203432436222002</c:v>
                </c:pt>
                <c:pt idx="69">
                  <c:v>79.325894741144893</c:v>
                </c:pt>
                <c:pt idx="70">
                  <c:v>80.213857400601697</c:v>
                </c:pt>
                <c:pt idx="71">
                  <c:v>82.474345632648806</c:v>
                </c:pt>
                <c:pt idx="72">
                  <c:v>81.841719895995894</c:v>
                </c:pt>
                <c:pt idx="73">
                  <c:v>80.105771873329203</c:v>
                </c:pt>
                <c:pt idx="74">
                  <c:v>81.828459331355702</c:v>
                </c:pt>
                <c:pt idx="75">
                  <c:v>82.015341753679706</c:v>
                </c:pt>
                <c:pt idx="76">
                  <c:v>80.1686928168441</c:v>
                </c:pt>
                <c:pt idx="77">
                  <c:v>81.144731327987699</c:v>
                </c:pt>
                <c:pt idx="78">
                  <c:v>82.318561728039796</c:v>
                </c:pt>
                <c:pt idx="79">
                  <c:v>81.192651799209798</c:v>
                </c:pt>
                <c:pt idx="80">
                  <c:v>84.200934972443704</c:v>
                </c:pt>
                <c:pt idx="81">
                  <c:v>80.984999710670706</c:v>
                </c:pt>
                <c:pt idx="82">
                  <c:v>81.823963952450796</c:v>
                </c:pt>
                <c:pt idx="83">
                  <c:v>80.226590835029299</c:v>
                </c:pt>
                <c:pt idx="84">
                  <c:v>81.137487265999596</c:v>
                </c:pt>
                <c:pt idx="85">
                  <c:v>82.267725251431401</c:v>
                </c:pt>
                <c:pt idx="86">
                  <c:v>82.766258636432894</c:v>
                </c:pt>
                <c:pt idx="87">
                  <c:v>80.763897913047003</c:v>
                </c:pt>
                <c:pt idx="88">
                  <c:v>82.651781497108004</c:v>
                </c:pt>
                <c:pt idx="89">
                  <c:v>81.059732723457401</c:v>
                </c:pt>
                <c:pt idx="90">
                  <c:v>82.309282690460606</c:v>
                </c:pt>
                <c:pt idx="91">
                  <c:v>79.822819355996998</c:v>
                </c:pt>
                <c:pt idx="92">
                  <c:v>82.5115644352462</c:v>
                </c:pt>
                <c:pt idx="93">
                  <c:v>81.775758716695293</c:v>
                </c:pt>
                <c:pt idx="94">
                  <c:v>82.766681794567404</c:v>
                </c:pt>
                <c:pt idx="95">
                  <c:v>82.657712566023207</c:v>
                </c:pt>
                <c:pt idx="96">
                  <c:v>82.229778385615901</c:v>
                </c:pt>
                <c:pt idx="97">
                  <c:v>82.428314075867306</c:v>
                </c:pt>
                <c:pt idx="98">
                  <c:v>83.810376212765306</c:v>
                </c:pt>
                <c:pt idx="99">
                  <c:v>79.895881929755305</c:v>
                </c:pt>
              </c:numCache>
            </c:numRef>
          </c:val>
          <c:smooth val="1"/>
          <c:extLst>
            <c:ext xmlns:c16="http://schemas.microsoft.com/office/drawing/2014/chart" uri="{C3380CC4-5D6E-409C-BE32-E72D297353CC}">
              <c16:uniqueId val="{00000001-45D0-44FE-89D0-3EE9409C5CD8}"/>
            </c:ext>
          </c:extLst>
        </c:ser>
        <c:dLbls>
          <c:showLegendKey val="0"/>
          <c:showVal val="0"/>
          <c:showCatName val="0"/>
          <c:showSerName val="0"/>
          <c:showPercent val="0"/>
          <c:showBubbleSize val="0"/>
        </c:dLbls>
        <c:smooth val="0"/>
        <c:axId val="766188246"/>
        <c:axId val="900366245"/>
      </c:lineChart>
      <c:catAx>
        <c:axId val="766188246"/>
        <c:scaling>
          <c:orientation val="minMax"/>
        </c:scaling>
        <c:delete val="0"/>
        <c:axPos val="b"/>
        <c:numFmt formatCode="General" sourceLinked="0"/>
        <c:majorTickMark val="none"/>
        <c:minorTickMark val="none"/>
        <c:tickLblPos val="nextTo"/>
        <c:spPr>
          <a:noFill/>
          <a:ln w="9525" cap="flat" cmpd="sng" algn="ctr">
            <a:solidFill>
              <a:schemeClr val="accent2"/>
            </a:solidFill>
            <a:round/>
          </a:ln>
          <a:effectLst/>
        </c:spPr>
        <c:txPr>
          <a:bodyPr rot="0" spcFirstLastPara="0" vertOverflow="ellipsis" vert="eaVert" wrap="square" anchor="ctr" anchorCtr="1"/>
          <a:lstStyle/>
          <a:p>
            <a:pPr>
              <a:defRPr lang="zh-CN" sz="500" b="0" i="0" u="none" strike="noStrike" kern="1200" baseline="0">
                <a:solidFill>
                  <a:schemeClr val="tx1">
                    <a:lumMod val="65000"/>
                    <a:lumOff val="35000"/>
                  </a:schemeClr>
                </a:solidFill>
                <a:latin typeface="+mn-lt"/>
                <a:ea typeface="+mn-ea"/>
                <a:cs typeface="+mn-cs"/>
              </a:defRPr>
            </a:pPr>
            <a:endParaRPr lang="zh-CN"/>
          </a:p>
        </c:txPr>
        <c:crossAx val="900366245"/>
        <c:crosses val="autoZero"/>
        <c:auto val="1"/>
        <c:lblAlgn val="ctr"/>
        <c:lblOffset val="100"/>
        <c:noMultiLvlLbl val="0"/>
      </c:catAx>
      <c:valAx>
        <c:axId val="900366245"/>
        <c:scaling>
          <c:orientation val="minMax"/>
          <c:max val="95"/>
          <c:min val="60"/>
        </c:scaling>
        <c:delete val="0"/>
        <c:axPos val="l"/>
        <c:numFmt formatCode="General"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6188246"/>
        <c:crosses val="autoZero"/>
        <c:crossBetween val="between"/>
      </c:valAx>
      <c:spPr>
        <a:noFill/>
        <a:ln>
          <a:solidFill>
            <a:schemeClr val="accent2"/>
          </a:solid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2021</c:v>
                </c:pt>
              </c:strCache>
            </c:strRef>
          </c:tx>
          <c:spPr>
            <a:ln w="28575" cap="rnd">
              <a:solidFill>
                <a:schemeClr val="accent5">
                  <a:lumMod val="50000"/>
                </a:schemeClr>
              </a:solidFill>
              <a:round/>
            </a:ln>
            <a:effectLst/>
          </c:spPr>
          <c:marker>
            <c:symbol val="none"/>
          </c:marker>
          <c:cat>
            <c:strRef>
              <c:f>Sheet1!$A$2:$A$51</c:f>
              <c:strCache>
                <c:ptCount val="50"/>
                <c:pt idx="0">
                  <c:v>苏州市</c:v>
                </c:pt>
                <c:pt idx="1">
                  <c:v>杭州市</c:v>
                </c:pt>
                <c:pt idx="2">
                  <c:v>青岛市</c:v>
                </c:pt>
                <c:pt idx="3">
                  <c:v>北京市</c:v>
                </c:pt>
                <c:pt idx="4">
                  <c:v>太原市</c:v>
                </c:pt>
                <c:pt idx="5">
                  <c:v>泉州市</c:v>
                </c:pt>
                <c:pt idx="6">
                  <c:v>长春市</c:v>
                </c:pt>
                <c:pt idx="7">
                  <c:v>西宁市</c:v>
                </c:pt>
                <c:pt idx="8">
                  <c:v>武汉市</c:v>
                </c:pt>
                <c:pt idx="9">
                  <c:v>石家庄市</c:v>
                </c:pt>
                <c:pt idx="10">
                  <c:v>天津市</c:v>
                </c:pt>
                <c:pt idx="11">
                  <c:v>上海市</c:v>
                </c:pt>
                <c:pt idx="12">
                  <c:v>福州市</c:v>
                </c:pt>
                <c:pt idx="13">
                  <c:v>哈尔滨市</c:v>
                </c:pt>
                <c:pt idx="14">
                  <c:v>潍坊市</c:v>
                </c:pt>
                <c:pt idx="15">
                  <c:v>东莞市</c:v>
                </c:pt>
                <c:pt idx="16">
                  <c:v>郑州市</c:v>
                </c:pt>
                <c:pt idx="17">
                  <c:v>长沙市</c:v>
                </c:pt>
                <c:pt idx="18">
                  <c:v>大连市</c:v>
                </c:pt>
                <c:pt idx="19">
                  <c:v>深圳市</c:v>
                </c:pt>
                <c:pt idx="20">
                  <c:v>兰州市</c:v>
                </c:pt>
                <c:pt idx="21">
                  <c:v>重庆市</c:v>
                </c:pt>
                <c:pt idx="22">
                  <c:v>台州市</c:v>
                </c:pt>
                <c:pt idx="23">
                  <c:v>拉萨市</c:v>
                </c:pt>
                <c:pt idx="24">
                  <c:v>南宁市</c:v>
                </c:pt>
                <c:pt idx="25">
                  <c:v>银川市</c:v>
                </c:pt>
                <c:pt idx="26">
                  <c:v>烟台市</c:v>
                </c:pt>
                <c:pt idx="27">
                  <c:v>南京市</c:v>
                </c:pt>
                <c:pt idx="28">
                  <c:v>昆明市</c:v>
                </c:pt>
                <c:pt idx="29">
                  <c:v>贵阳市</c:v>
                </c:pt>
                <c:pt idx="30">
                  <c:v>温州市</c:v>
                </c:pt>
                <c:pt idx="31">
                  <c:v>成都市</c:v>
                </c:pt>
                <c:pt idx="32">
                  <c:v>厦门市</c:v>
                </c:pt>
                <c:pt idx="33">
                  <c:v>临沂市</c:v>
                </c:pt>
                <c:pt idx="34">
                  <c:v>广州市</c:v>
                </c:pt>
                <c:pt idx="35">
                  <c:v>南昌市</c:v>
                </c:pt>
                <c:pt idx="36">
                  <c:v>金华市</c:v>
                </c:pt>
                <c:pt idx="37">
                  <c:v>济南市</c:v>
                </c:pt>
                <c:pt idx="38">
                  <c:v>徐州市</c:v>
                </c:pt>
                <c:pt idx="39">
                  <c:v>沈阳市</c:v>
                </c:pt>
                <c:pt idx="40">
                  <c:v>宁波市</c:v>
                </c:pt>
                <c:pt idx="41">
                  <c:v>唐山市</c:v>
                </c:pt>
                <c:pt idx="42">
                  <c:v>无锡市</c:v>
                </c:pt>
                <c:pt idx="43">
                  <c:v>海口市</c:v>
                </c:pt>
                <c:pt idx="44">
                  <c:v>佛山市</c:v>
                </c:pt>
                <c:pt idx="45">
                  <c:v>呼和浩特市</c:v>
                </c:pt>
                <c:pt idx="46">
                  <c:v>南通市</c:v>
                </c:pt>
                <c:pt idx="47">
                  <c:v>乌鲁木齐市</c:v>
                </c:pt>
                <c:pt idx="48">
                  <c:v>西安市</c:v>
                </c:pt>
                <c:pt idx="49">
                  <c:v>合肥市</c:v>
                </c:pt>
              </c:strCache>
            </c:strRef>
          </c:cat>
          <c:val>
            <c:numRef>
              <c:f>Sheet1!$B$2:$B$51</c:f>
              <c:numCache>
                <c:formatCode>0.00_);[Red]\(0.00\)</c:formatCode>
                <c:ptCount val="50"/>
                <c:pt idx="0">
                  <c:v>89.695237730760098</c:v>
                </c:pt>
                <c:pt idx="1">
                  <c:v>87.336925816863996</c:v>
                </c:pt>
                <c:pt idx="2">
                  <c:v>87.005402528301104</c:v>
                </c:pt>
                <c:pt idx="3">
                  <c:v>83.485326033466393</c:v>
                </c:pt>
                <c:pt idx="4">
                  <c:v>79.807631776629407</c:v>
                </c:pt>
                <c:pt idx="5">
                  <c:v>82.196319883717806</c:v>
                </c:pt>
                <c:pt idx="6">
                  <c:v>79.008969693772897</c:v>
                </c:pt>
                <c:pt idx="7">
                  <c:v>80.065915162289102</c:v>
                </c:pt>
                <c:pt idx="8">
                  <c:v>80.085150887552302</c:v>
                </c:pt>
                <c:pt idx="9">
                  <c:v>79.924773076601497</c:v>
                </c:pt>
                <c:pt idx="10">
                  <c:v>81.485000214483605</c:v>
                </c:pt>
                <c:pt idx="11">
                  <c:v>84.574184321893</c:v>
                </c:pt>
                <c:pt idx="12">
                  <c:v>79.356507751334902</c:v>
                </c:pt>
                <c:pt idx="13">
                  <c:v>80.201506820171602</c:v>
                </c:pt>
                <c:pt idx="14">
                  <c:v>82.076723962811101</c:v>
                </c:pt>
                <c:pt idx="15">
                  <c:v>79.306859302645606</c:v>
                </c:pt>
                <c:pt idx="16">
                  <c:v>79.264422334368007</c:v>
                </c:pt>
                <c:pt idx="17">
                  <c:v>78.826863107648606</c:v>
                </c:pt>
                <c:pt idx="18">
                  <c:v>78.735744388414602</c:v>
                </c:pt>
                <c:pt idx="19">
                  <c:v>80.999491915573998</c:v>
                </c:pt>
                <c:pt idx="20">
                  <c:v>78.028909945870197</c:v>
                </c:pt>
                <c:pt idx="21">
                  <c:v>78.793975709861698</c:v>
                </c:pt>
                <c:pt idx="22">
                  <c:v>79.383928324144193</c:v>
                </c:pt>
                <c:pt idx="23">
                  <c:v>80.178079426409198</c:v>
                </c:pt>
                <c:pt idx="24">
                  <c:v>81.156242462272203</c:v>
                </c:pt>
                <c:pt idx="25">
                  <c:v>80.300780337533396</c:v>
                </c:pt>
                <c:pt idx="26">
                  <c:v>85.293241550520193</c:v>
                </c:pt>
                <c:pt idx="27">
                  <c:v>86.040015010313894</c:v>
                </c:pt>
                <c:pt idx="28">
                  <c:v>79.149280411698697</c:v>
                </c:pt>
                <c:pt idx="29">
                  <c:v>78.947996848543696</c:v>
                </c:pt>
                <c:pt idx="30">
                  <c:v>80.950332697491703</c:v>
                </c:pt>
                <c:pt idx="31">
                  <c:v>81.845986949614002</c:v>
                </c:pt>
                <c:pt idx="32">
                  <c:v>83.163356266636001</c:v>
                </c:pt>
                <c:pt idx="33">
                  <c:v>80.745584669154596</c:v>
                </c:pt>
                <c:pt idx="34">
                  <c:v>80.895677891776899</c:v>
                </c:pt>
                <c:pt idx="35">
                  <c:v>79.075908374986398</c:v>
                </c:pt>
                <c:pt idx="36">
                  <c:v>81.904832635211704</c:v>
                </c:pt>
                <c:pt idx="37">
                  <c:v>80.780112006286899</c:v>
                </c:pt>
                <c:pt idx="38">
                  <c:v>80.430787983759103</c:v>
                </c:pt>
                <c:pt idx="39">
                  <c:v>80.782550189447406</c:v>
                </c:pt>
                <c:pt idx="40">
                  <c:v>82.403782358586696</c:v>
                </c:pt>
                <c:pt idx="41">
                  <c:v>78.123464910633501</c:v>
                </c:pt>
                <c:pt idx="42">
                  <c:v>86.001102026508704</c:v>
                </c:pt>
                <c:pt idx="43">
                  <c:v>76.801631480936805</c:v>
                </c:pt>
                <c:pt idx="44">
                  <c:v>81.931174782632397</c:v>
                </c:pt>
                <c:pt idx="45">
                  <c:v>77.554832104669799</c:v>
                </c:pt>
                <c:pt idx="46">
                  <c:v>81.296675100805402</c:v>
                </c:pt>
                <c:pt idx="47">
                  <c:v>78.213614720549003</c:v>
                </c:pt>
                <c:pt idx="48">
                  <c:v>76.729940568399499</c:v>
                </c:pt>
                <c:pt idx="49">
                  <c:v>78.755749413056193</c:v>
                </c:pt>
              </c:numCache>
            </c:numRef>
          </c:val>
          <c:smooth val="1"/>
          <c:extLst>
            <c:ext xmlns:c16="http://schemas.microsoft.com/office/drawing/2014/chart" uri="{C3380CC4-5D6E-409C-BE32-E72D297353CC}">
              <c16:uniqueId val="{00000000-56C9-4D97-BE54-6E1AFC0FE674}"/>
            </c:ext>
          </c:extLst>
        </c:ser>
        <c:ser>
          <c:idx val="1"/>
          <c:order val="1"/>
          <c:tx>
            <c:strRef>
              <c:f>Sheet1!$C$1</c:f>
              <c:strCache>
                <c:ptCount val="1"/>
                <c:pt idx="0">
                  <c:v>2020</c:v>
                </c:pt>
              </c:strCache>
            </c:strRef>
          </c:tx>
          <c:spPr>
            <a:ln w="28575" cap="rnd">
              <a:solidFill>
                <a:schemeClr val="accent5">
                  <a:lumMod val="75000"/>
                </a:schemeClr>
              </a:solidFill>
              <a:round/>
            </a:ln>
            <a:effectLst/>
          </c:spPr>
          <c:marker>
            <c:symbol val="none"/>
          </c:marker>
          <c:cat>
            <c:strRef>
              <c:f>Sheet1!$A$2:$A$51</c:f>
              <c:strCache>
                <c:ptCount val="50"/>
                <c:pt idx="0">
                  <c:v>苏州市</c:v>
                </c:pt>
                <c:pt idx="1">
                  <c:v>杭州市</c:v>
                </c:pt>
                <c:pt idx="2">
                  <c:v>青岛市</c:v>
                </c:pt>
                <c:pt idx="3">
                  <c:v>北京市</c:v>
                </c:pt>
                <c:pt idx="4">
                  <c:v>太原市</c:v>
                </c:pt>
                <c:pt idx="5">
                  <c:v>泉州市</c:v>
                </c:pt>
                <c:pt idx="6">
                  <c:v>长春市</c:v>
                </c:pt>
                <c:pt idx="7">
                  <c:v>西宁市</c:v>
                </c:pt>
                <c:pt idx="8">
                  <c:v>武汉市</c:v>
                </c:pt>
                <c:pt idx="9">
                  <c:v>石家庄市</c:v>
                </c:pt>
                <c:pt idx="10">
                  <c:v>天津市</c:v>
                </c:pt>
                <c:pt idx="11">
                  <c:v>上海市</c:v>
                </c:pt>
                <c:pt idx="12">
                  <c:v>福州市</c:v>
                </c:pt>
                <c:pt idx="13">
                  <c:v>哈尔滨市</c:v>
                </c:pt>
                <c:pt idx="14">
                  <c:v>潍坊市</c:v>
                </c:pt>
                <c:pt idx="15">
                  <c:v>东莞市</c:v>
                </c:pt>
                <c:pt idx="16">
                  <c:v>郑州市</c:v>
                </c:pt>
                <c:pt idx="17">
                  <c:v>长沙市</c:v>
                </c:pt>
                <c:pt idx="18">
                  <c:v>大连市</c:v>
                </c:pt>
                <c:pt idx="19">
                  <c:v>深圳市</c:v>
                </c:pt>
                <c:pt idx="20">
                  <c:v>兰州市</c:v>
                </c:pt>
                <c:pt idx="21">
                  <c:v>重庆市</c:v>
                </c:pt>
                <c:pt idx="22">
                  <c:v>台州市</c:v>
                </c:pt>
                <c:pt idx="23">
                  <c:v>拉萨市</c:v>
                </c:pt>
                <c:pt idx="24">
                  <c:v>南宁市</c:v>
                </c:pt>
                <c:pt idx="25">
                  <c:v>银川市</c:v>
                </c:pt>
                <c:pt idx="26">
                  <c:v>烟台市</c:v>
                </c:pt>
                <c:pt idx="27">
                  <c:v>南京市</c:v>
                </c:pt>
                <c:pt idx="28">
                  <c:v>昆明市</c:v>
                </c:pt>
                <c:pt idx="29">
                  <c:v>贵阳市</c:v>
                </c:pt>
                <c:pt idx="30">
                  <c:v>温州市</c:v>
                </c:pt>
                <c:pt idx="31">
                  <c:v>成都市</c:v>
                </c:pt>
                <c:pt idx="32">
                  <c:v>厦门市</c:v>
                </c:pt>
                <c:pt idx="33">
                  <c:v>临沂市</c:v>
                </c:pt>
                <c:pt idx="34">
                  <c:v>广州市</c:v>
                </c:pt>
                <c:pt idx="35">
                  <c:v>南昌市</c:v>
                </c:pt>
                <c:pt idx="36">
                  <c:v>金华市</c:v>
                </c:pt>
                <c:pt idx="37">
                  <c:v>济南市</c:v>
                </c:pt>
                <c:pt idx="38">
                  <c:v>徐州市</c:v>
                </c:pt>
                <c:pt idx="39">
                  <c:v>沈阳市</c:v>
                </c:pt>
                <c:pt idx="40">
                  <c:v>宁波市</c:v>
                </c:pt>
                <c:pt idx="41">
                  <c:v>唐山市</c:v>
                </c:pt>
                <c:pt idx="42">
                  <c:v>无锡市</c:v>
                </c:pt>
                <c:pt idx="43">
                  <c:v>海口市</c:v>
                </c:pt>
                <c:pt idx="44">
                  <c:v>佛山市</c:v>
                </c:pt>
                <c:pt idx="45">
                  <c:v>呼和浩特市</c:v>
                </c:pt>
                <c:pt idx="46">
                  <c:v>南通市</c:v>
                </c:pt>
                <c:pt idx="47">
                  <c:v>乌鲁木齐市</c:v>
                </c:pt>
                <c:pt idx="48">
                  <c:v>西安市</c:v>
                </c:pt>
                <c:pt idx="49">
                  <c:v>合肥市</c:v>
                </c:pt>
              </c:strCache>
            </c:strRef>
          </c:cat>
          <c:val>
            <c:numRef>
              <c:f>Sheet1!$C$2:$C$51</c:f>
              <c:numCache>
                <c:formatCode>0.00_);[Red]\(0.00\)</c:formatCode>
                <c:ptCount val="50"/>
                <c:pt idx="0">
                  <c:v>83.349280604253593</c:v>
                </c:pt>
                <c:pt idx="1">
                  <c:v>86.668261737687004</c:v>
                </c:pt>
                <c:pt idx="2">
                  <c:v>84.173652273523899</c:v>
                </c:pt>
                <c:pt idx="3">
                  <c:v>82.669073132137697</c:v>
                </c:pt>
                <c:pt idx="4">
                  <c:v>78.615274426948304</c:v>
                </c:pt>
                <c:pt idx="5">
                  <c:v>82.184969228886899</c:v>
                </c:pt>
                <c:pt idx="6">
                  <c:v>73.670571239546405</c:v>
                </c:pt>
                <c:pt idx="7">
                  <c:v>79.465860931301293</c:v>
                </c:pt>
                <c:pt idx="8">
                  <c:v>77.9340542007712</c:v>
                </c:pt>
                <c:pt idx="9">
                  <c:v>79.200744520569202</c:v>
                </c:pt>
                <c:pt idx="10">
                  <c:v>81.284315462638006</c:v>
                </c:pt>
                <c:pt idx="11">
                  <c:v>83.650345208464302</c:v>
                </c:pt>
                <c:pt idx="12">
                  <c:v>76.4148859555428</c:v>
                </c:pt>
                <c:pt idx="13">
                  <c:v>77.538532270684499</c:v>
                </c:pt>
                <c:pt idx="14">
                  <c:v>81.348016042471897</c:v>
                </c:pt>
                <c:pt idx="15">
                  <c:v>76.203217516496693</c:v>
                </c:pt>
                <c:pt idx="16">
                  <c:v>76.852340368672003</c:v>
                </c:pt>
                <c:pt idx="17">
                  <c:v>76.432281033431707</c:v>
                </c:pt>
                <c:pt idx="18">
                  <c:v>75.489114575167306</c:v>
                </c:pt>
                <c:pt idx="19">
                  <c:v>78.771310567780702</c:v>
                </c:pt>
                <c:pt idx="20">
                  <c:v>74.472446536218698</c:v>
                </c:pt>
                <c:pt idx="21">
                  <c:v>77.917163137744495</c:v>
                </c:pt>
                <c:pt idx="22">
                  <c:v>74.903833507111798</c:v>
                </c:pt>
                <c:pt idx="23">
                  <c:v>81.192651799209798</c:v>
                </c:pt>
                <c:pt idx="24">
                  <c:v>82.651781497108004</c:v>
                </c:pt>
                <c:pt idx="25">
                  <c:v>81.144731327987699</c:v>
                </c:pt>
                <c:pt idx="26">
                  <c:v>83.111588621844803</c:v>
                </c:pt>
                <c:pt idx="27">
                  <c:v>86.082322081101495</c:v>
                </c:pt>
                <c:pt idx="28">
                  <c:v>69.873695163675094</c:v>
                </c:pt>
                <c:pt idx="29">
                  <c:v>69.479593042682495</c:v>
                </c:pt>
                <c:pt idx="30">
                  <c:v>82.267725251431401</c:v>
                </c:pt>
                <c:pt idx="31">
                  <c:v>82.203432436222002</c:v>
                </c:pt>
                <c:pt idx="32">
                  <c:v>84.200934972443704</c:v>
                </c:pt>
                <c:pt idx="33">
                  <c:v>81.045339467010507</c:v>
                </c:pt>
                <c:pt idx="34">
                  <c:v>77.431681094778895</c:v>
                </c:pt>
                <c:pt idx="35">
                  <c:v>80.226590835029299</c:v>
                </c:pt>
                <c:pt idx="36">
                  <c:v>82.474345632648806</c:v>
                </c:pt>
                <c:pt idx="37">
                  <c:v>82.766681794567404</c:v>
                </c:pt>
                <c:pt idx="38">
                  <c:v>78.073329580217006</c:v>
                </c:pt>
                <c:pt idx="39">
                  <c:v>82.5115644352462</c:v>
                </c:pt>
                <c:pt idx="40">
                  <c:v>82.494506879446305</c:v>
                </c:pt>
                <c:pt idx="41">
                  <c:v>73.535995135136801</c:v>
                </c:pt>
                <c:pt idx="42">
                  <c:v>82.859875309454495</c:v>
                </c:pt>
                <c:pt idx="43">
                  <c:v>79.895881929755305</c:v>
                </c:pt>
                <c:pt idx="44">
                  <c:v>80.774802681040597</c:v>
                </c:pt>
                <c:pt idx="45">
                  <c:v>74.389658032498502</c:v>
                </c:pt>
                <c:pt idx="46">
                  <c:v>82.015341753679706</c:v>
                </c:pt>
                <c:pt idx="47">
                  <c:v>79.822819355996998</c:v>
                </c:pt>
                <c:pt idx="48">
                  <c:v>76.785803703955594</c:v>
                </c:pt>
                <c:pt idx="49">
                  <c:v>73.125839847067994</c:v>
                </c:pt>
              </c:numCache>
            </c:numRef>
          </c:val>
          <c:smooth val="1"/>
          <c:extLst>
            <c:ext xmlns:c16="http://schemas.microsoft.com/office/drawing/2014/chart" uri="{C3380CC4-5D6E-409C-BE32-E72D297353CC}">
              <c16:uniqueId val="{00000001-56C9-4D97-BE54-6E1AFC0FE674}"/>
            </c:ext>
          </c:extLst>
        </c:ser>
        <c:ser>
          <c:idx val="2"/>
          <c:order val="2"/>
          <c:tx>
            <c:strRef>
              <c:f>Sheet1!$D$1</c:f>
              <c:strCache>
                <c:ptCount val="1"/>
                <c:pt idx="0">
                  <c:v>2019</c:v>
                </c:pt>
              </c:strCache>
            </c:strRef>
          </c:tx>
          <c:spPr>
            <a:ln w="28575" cap="rnd">
              <a:solidFill>
                <a:schemeClr val="accent5"/>
              </a:solidFill>
              <a:round/>
            </a:ln>
            <a:effectLst/>
          </c:spPr>
          <c:marker>
            <c:symbol val="none"/>
          </c:marker>
          <c:cat>
            <c:strRef>
              <c:f>Sheet1!$A$2:$A$51</c:f>
              <c:strCache>
                <c:ptCount val="50"/>
                <c:pt idx="0">
                  <c:v>苏州市</c:v>
                </c:pt>
                <c:pt idx="1">
                  <c:v>杭州市</c:v>
                </c:pt>
                <c:pt idx="2">
                  <c:v>青岛市</c:v>
                </c:pt>
                <c:pt idx="3">
                  <c:v>北京市</c:v>
                </c:pt>
                <c:pt idx="4">
                  <c:v>太原市</c:v>
                </c:pt>
                <c:pt idx="5">
                  <c:v>泉州市</c:v>
                </c:pt>
                <c:pt idx="6">
                  <c:v>长春市</c:v>
                </c:pt>
                <c:pt idx="7">
                  <c:v>西宁市</c:v>
                </c:pt>
                <c:pt idx="8">
                  <c:v>武汉市</c:v>
                </c:pt>
                <c:pt idx="9">
                  <c:v>石家庄市</c:v>
                </c:pt>
                <c:pt idx="10">
                  <c:v>天津市</c:v>
                </c:pt>
                <c:pt idx="11">
                  <c:v>上海市</c:v>
                </c:pt>
                <c:pt idx="12">
                  <c:v>福州市</c:v>
                </c:pt>
                <c:pt idx="13">
                  <c:v>哈尔滨市</c:v>
                </c:pt>
                <c:pt idx="14">
                  <c:v>潍坊市</c:v>
                </c:pt>
                <c:pt idx="15">
                  <c:v>东莞市</c:v>
                </c:pt>
                <c:pt idx="16">
                  <c:v>郑州市</c:v>
                </c:pt>
                <c:pt idx="17">
                  <c:v>长沙市</c:v>
                </c:pt>
                <c:pt idx="18">
                  <c:v>大连市</c:v>
                </c:pt>
                <c:pt idx="19">
                  <c:v>深圳市</c:v>
                </c:pt>
                <c:pt idx="20">
                  <c:v>兰州市</c:v>
                </c:pt>
                <c:pt idx="21">
                  <c:v>重庆市</c:v>
                </c:pt>
                <c:pt idx="22">
                  <c:v>台州市</c:v>
                </c:pt>
                <c:pt idx="23">
                  <c:v>拉萨市</c:v>
                </c:pt>
                <c:pt idx="24">
                  <c:v>南宁市</c:v>
                </c:pt>
                <c:pt idx="25">
                  <c:v>银川市</c:v>
                </c:pt>
                <c:pt idx="26">
                  <c:v>烟台市</c:v>
                </c:pt>
                <c:pt idx="27">
                  <c:v>南京市</c:v>
                </c:pt>
                <c:pt idx="28">
                  <c:v>昆明市</c:v>
                </c:pt>
                <c:pt idx="29">
                  <c:v>贵阳市</c:v>
                </c:pt>
                <c:pt idx="30">
                  <c:v>温州市</c:v>
                </c:pt>
                <c:pt idx="31">
                  <c:v>成都市</c:v>
                </c:pt>
                <c:pt idx="32">
                  <c:v>厦门市</c:v>
                </c:pt>
                <c:pt idx="33">
                  <c:v>临沂市</c:v>
                </c:pt>
                <c:pt idx="34">
                  <c:v>广州市</c:v>
                </c:pt>
                <c:pt idx="35">
                  <c:v>南昌市</c:v>
                </c:pt>
                <c:pt idx="36">
                  <c:v>金华市</c:v>
                </c:pt>
                <c:pt idx="37">
                  <c:v>济南市</c:v>
                </c:pt>
                <c:pt idx="38">
                  <c:v>徐州市</c:v>
                </c:pt>
                <c:pt idx="39">
                  <c:v>沈阳市</c:v>
                </c:pt>
                <c:pt idx="40">
                  <c:v>宁波市</c:v>
                </c:pt>
                <c:pt idx="41">
                  <c:v>唐山市</c:v>
                </c:pt>
                <c:pt idx="42">
                  <c:v>无锡市</c:v>
                </c:pt>
                <c:pt idx="43">
                  <c:v>海口市</c:v>
                </c:pt>
                <c:pt idx="44">
                  <c:v>佛山市</c:v>
                </c:pt>
                <c:pt idx="45">
                  <c:v>呼和浩特市</c:v>
                </c:pt>
                <c:pt idx="46">
                  <c:v>南通市</c:v>
                </c:pt>
                <c:pt idx="47">
                  <c:v>乌鲁木齐市</c:v>
                </c:pt>
                <c:pt idx="48">
                  <c:v>西安市</c:v>
                </c:pt>
                <c:pt idx="49">
                  <c:v>合肥市</c:v>
                </c:pt>
              </c:strCache>
            </c:strRef>
          </c:cat>
          <c:val>
            <c:numRef>
              <c:f>Sheet1!$D$2:$D$51</c:f>
              <c:numCache>
                <c:formatCode>0.00_);[Red]\(0.00\)</c:formatCode>
                <c:ptCount val="50"/>
                <c:pt idx="0">
                  <c:v>74.84</c:v>
                </c:pt>
                <c:pt idx="1">
                  <c:v>82.33</c:v>
                </c:pt>
                <c:pt idx="2">
                  <c:v>81.489999999999995</c:v>
                </c:pt>
                <c:pt idx="3">
                  <c:v>78.150000000000006</c:v>
                </c:pt>
                <c:pt idx="4">
                  <c:v>72.510000000000005</c:v>
                </c:pt>
                <c:pt idx="5">
                  <c:v>75.97</c:v>
                </c:pt>
                <c:pt idx="6">
                  <c:v>72.239999999999995</c:v>
                </c:pt>
                <c:pt idx="7">
                  <c:v>74.819999999999993</c:v>
                </c:pt>
                <c:pt idx="8">
                  <c:v>73.400000000000006</c:v>
                </c:pt>
                <c:pt idx="9">
                  <c:v>74.290000000000006</c:v>
                </c:pt>
                <c:pt idx="10">
                  <c:v>75.010000000000005</c:v>
                </c:pt>
                <c:pt idx="11">
                  <c:v>81.25</c:v>
                </c:pt>
                <c:pt idx="12">
                  <c:v>75.27</c:v>
                </c:pt>
                <c:pt idx="13">
                  <c:v>73.989999999999995</c:v>
                </c:pt>
                <c:pt idx="14">
                  <c:v>81.16</c:v>
                </c:pt>
                <c:pt idx="15">
                  <c:v>72.19</c:v>
                </c:pt>
                <c:pt idx="16">
                  <c:v>72.989999999999995</c:v>
                </c:pt>
                <c:pt idx="17">
                  <c:v>72.95</c:v>
                </c:pt>
                <c:pt idx="18">
                  <c:v>75.430000000000007</c:v>
                </c:pt>
                <c:pt idx="19">
                  <c:v>75.86</c:v>
                </c:pt>
                <c:pt idx="20">
                  <c:v>74.39</c:v>
                </c:pt>
                <c:pt idx="21">
                  <c:v>76.59</c:v>
                </c:pt>
                <c:pt idx="22">
                  <c:v>74.599999999999994</c:v>
                </c:pt>
                <c:pt idx="23">
                  <c:v>72.42</c:v>
                </c:pt>
                <c:pt idx="24">
                  <c:v>78.08</c:v>
                </c:pt>
                <c:pt idx="25">
                  <c:v>77.3</c:v>
                </c:pt>
                <c:pt idx="26">
                  <c:v>77.73</c:v>
                </c:pt>
                <c:pt idx="27">
                  <c:v>78.77</c:v>
                </c:pt>
                <c:pt idx="28">
                  <c:v>69.92</c:v>
                </c:pt>
                <c:pt idx="29">
                  <c:v>68.150000000000006</c:v>
                </c:pt>
                <c:pt idx="30">
                  <c:v>77.81</c:v>
                </c:pt>
                <c:pt idx="31">
                  <c:v>77.739999999999995</c:v>
                </c:pt>
                <c:pt idx="32">
                  <c:v>81.48</c:v>
                </c:pt>
                <c:pt idx="33">
                  <c:v>78.7</c:v>
                </c:pt>
                <c:pt idx="34">
                  <c:v>78.89</c:v>
                </c:pt>
                <c:pt idx="35">
                  <c:v>71.16</c:v>
                </c:pt>
                <c:pt idx="36">
                  <c:v>79.010000000000005</c:v>
                </c:pt>
                <c:pt idx="37">
                  <c:v>76.989999999999995</c:v>
                </c:pt>
                <c:pt idx="38">
                  <c:v>79.2</c:v>
                </c:pt>
                <c:pt idx="39">
                  <c:v>79.47</c:v>
                </c:pt>
                <c:pt idx="40">
                  <c:v>75.05</c:v>
                </c:pt>
                <c:pt idx="41">
                  <c:v>76.790000000000006</c:v>
                </c:pt>
                <c:pt idx="42">
                  <c:v>75.989999999999995</c:v>
                </c:pt>
                <c:pt idx="43">
                  <c:v>71.19</c:v>
                </c:pt>
                <c:pt idx="44">
                  <c:v>72.569999999999993</c:v>
                </c:pt>
                <c:pt idx="45">
                  <c:v>76.8</c:v>
                </c:pt>
                <c:pt idx="46">
                  <c:v>75.97</c:v>
                </c:pt>
                <c:pt idx="47">
                  <c:v>78.25</c:v>
                </c:pt>
                <c:pt idx="48">
                  <c:v>76</c:v>
                </c:pt>
                <c:pt idx="49">
                  <c:v>72.680000000000007</c:v>
                </c:pt>
              </c:numCache>
            </c:numRef>
          </c:val>
          <c:smooth val="1"/>
          <c:extLst>
            <c:ext xmlns:c16="http://schemas.microsoft.com/office/drawing/2014/chart" uri="{C3380CC4-5D6E-409C-BE32-E72D297353CC}">
              <c16:uniqueId val="{00000002-56C9-4D97-BE54-6E1AFC0FE674}"/>
            </c:ext>
          </c:extLst>
        </c:ser>
        <c:ser>
          <c:idx val="3"/>
          <c:order val="3"/>
          <c:tx>
            <c:strRef>
              <c:f>Sheet1!$E$1</c:f>
              <c:strCache>
                <c:ptCount val="1"/>
                <c:pt idx="0">
                  <c:v>2018</c:v>
                </c:pt>
              </c:strCache>
            </c:strRef>
          </c:tx>
          <c:spPr>
            <a:ln w="28575" cap="rnd">
              <a:solidFill>
                <a:schemeClr val="accent5">
                  <a:lumMod val="60000"/>
                  <a:lumOff val="40000"/>
                </a:schemeClr>
              </a:solidFill>
              <a:round/>
            </a:ln>
            <a:effectLst/>
          </c:spPr>
          <c:marker>
            <c:symbol val="none"/>
          </c:marker>
          <c:cat>
            <c:strRef>
              <c:f>Sheet1!$A$2:$A$51</c:f>
              <c:strCache>
                <c:ptCount val="50"/>
                <c:pt idx="0">
                  <c:v>苏州市</c:v>
                </c:pt>
                <c:pt idx="1">
                  <c:v>杭州市</c:v>
                </c:pt>
                <c:pt idx="2">
                  <c:v>青岛市</c:v>
                </c:pt>
                <c:pt idx="3">
                  <c:v>北京市</c:v>
                </c:pt>
                <c:pt idx="4">
                  <c:v>太原市</c:v>
                </c:pt>
                <c:pt idx="5">
                  <c:v>泉州市</c:v>
                </c:pt>
                <c:pt idx="6">
                  <c:v>长春市</c:v>
                </c:pt>
                <c:pt idx="7">
                  <c:v>西宁市</c:v>
                </c:pt>
                <c:pt idx="8">
                  <c:v>武汉市</c:v>
                </c:pt>
                <c:pt idx="9">
                  <c:v>石家庄市</c:v>
                </c:pt>
                <c:pt idx="10">
                  <c:v>天津市</c:v>
                </c:pt>
                <c:pt idx="11">
                  <c:v>上海市</c:v>
                </c:pt>
                <c:pt idx="12">
                  <c:v>福州市</c:v>
                </c:pt>
                <c:pt idx="13">
                  <c:v>哈尔滨市</c:v>
                </c:pt>
                <c:pt idx="14">
                  <c:v>潍坊市</c:v>
                </c:pt>
                <c:pt idx="15">
                  <c:v>东莞市</c:v>
                </c:pt>
                <c:pt idx="16">
                  <c:v>郑州市</c:v>
                </c:pt>
                <c:pt idx="17">
                  <c:v>长沙市</c:v>
                </c:pt>
                <c:pt idx="18">
                  <c:v>大连市</c:v>
                </c:pt>
                <c:pt idx="19">
                  <c:v>深圳市</c:v>
                </c:pt>
                <c:pt idx="20">
                  <c:v>兰州市</c:v>
                </c:pt>
                <c:pt idx="21">
                  <c:v>重庆市</c:v>
                </c:pt>
                <c:pt idx="22">
                  <c:v>台州市</c:v>
                </c:pt>
                <c:pt idx="23">
                  <c:v>拉萨市</c:v>
                </c:pt>
                <c:pt idx="24">
                  <c:v>南宁市</c:v>
                </c:pt>
                <c:pt idx="25">
                  <c:v>银川市</c:v>
                </c:pt>
                <c:pt idx="26">
                  <c:v>烟台市</c:v>
                </c:pt>
                <c:pt idx="27">
                  <c:v>南京市</c:v>
                </c:pt>
                <c:pt idx="28">
                  <c:v>昆明市</c:v>
                </c:pt>
                <c:pt idx="29">
                  <c:v>贵阳市</c:v>
                </c:pt>
                <c:pt idx="30">
                  <c:v>温州市</c:v>
                </c:pt>
                <c:pt idx="31">
                  <c:v>成都市</c:v>
                </c:pt>
                <c:pt idx="32">
                  <c:v>厦门市</c:v>
                </c:pt>
                <c:pt idx="33">
                  <c:v>临沂市</c:v>
                </c:pt>
                <c:pt idx="34">
                  <c:v>广州市</c:v>
                </c:pt>
                <c:pt idx="35">
                  <c:v>南昌市</c:v>
                </c:pt>
                <c:pt idx="36">
                  <c:v>金华市</c:v>
                </c:pt>
                <c:pt idx="37">
                  <c:v>济南市</c:v>
                </c:pt>
                <c:pt idx="38">
                  <c:v>徐州市</c:v>
                </c:pt>
                <c:pt idx="39">
                  <c:v>沈阳市</c:v>
                </c:pt>
                <c:pt idx="40">
                  <c:v>宁波市</c:v>
                </c:pt>
                <c:pt idx="41">
                  <c:v>唐山市</c:v>
                </c:pt>
                <c:pt idx="42">
                  <c:v>无锡市</c:v>
                </c:pt>
                <c:pt idx="43">
                  <c:v>海口市</c:v>
                </c:pt>
                <c:pt idx="44">
                  <c:v>佛山市</c:v>
                </c:pt>
                <c:pt idx="45">
                  <c:v>呼和浩特市</c:v>
                </c:pt>
                <c:pt idx="46">
                  <c:v>南通市</c:v>
                </c:pt>
                <c:pt idx="47">
                  <c:v>乌鲁木齐市</c:v>
                </c:pt>
                <c:pt idx="48">
                  <c:v>西安市</c:v>
                </c:pt>
                <c:pt idx="49">
                  <c:v>合肥市</c:v>
                </c:pt>
              </c:strCache>
            </c:strRef>
          </c:cat>
          <c:val>
            <c:numRef>
              <c:f>Sheet1!$E$2:$E$51</c:f>
              <c:numCache>
                <c:formatCode>0.00_);[Red]\(0.00\)</c:formatCode>
                <c:ptCount val="50"/>
                <c:pt idx="0">
                  <c:v>73.421919808350196</c:v>
                </c:pt>
                <c:pt idx="1">
                  <c:v>72.574720051115605</c:v>
                </c:pt>
                <c:pt idx="2">
                  <c:v>74.209922465170706</c:v>
                </c:pt>
                <c:pt idx="3">
                  <c:v>74.668224235659807</c:v>
                </c:pt>
                <c:pt idx="4">
                  <c:v>72.302161023423096</c:v>
                </c:pt>
                <c:pt idx="5">
                  <c:v>73.4753530871847</c:v>
                </c:pt>
                <c:pt idx="6">
                  <c:v>71.124044553650506</c:v>
                </c:pt>
                <c:pt idx="7">
                  <c:v>71.938813972250799</c:v>
                </c:pt>
                <c:pt idx="8">
                  <c:v>71.872645090272698</c:v>
                </c:pt>
                <c:pt idx="9">
                  <c:v>72.189099331052205</c:v>
                </c:pt>
                <c:pt idx="10">
                  <c:v>72.816537321529097</c:v>
                </c:pt>
                <c:pt idx="11">
                  <c:v>75.544930220788103</c:v>
                </c:pt>
                <c:pt idx="12">
                  <c:v>73.880410658089403</c:v>
                </c:pt>
                <c:pt idx="13">
                  <c:v>72.654196444232696</c:v>
                </c:pt>
                <c:pt idx="14">
                  <c:v>72.989893845826202</c:v>
                </c:pt>
                <c:pt idx="15">
                  <c:v>70.812935922011405</c:v>
                </c:pt>
                <c:pt idx="16">
                  <c:v>71.645610601252599</c:v>
                </c:pt>
                <c:pt idx="17">
                  <c:v>71.288728077393301</c:v>
                </c:pt>
                <c:pt idx="18">
                  <c:v>73.046454462737103</c:v>
                </c:pt>
                <c:pt idx="19">
                  <c:v>73.296973692108594</c:v>
                </c:pt>
                <c:pt idx="20">
                  <c:v>70.885580998614202</c:v>
                </c:pt>
                <c:pt idx="21">
                  <c:v>74.179037150588698</c:v>
                </c:pt>
                <c:pt idx="22">
                  <c:v>74.250768628126096</c:v>
                </c:pt>
                <c:pt idx="23">
                  <c:v>63.158863204288203</c:v>
                </c:pt>
                <c:pt idx="24">
                  <c:v>68.579529438783396</c:v>
                </c:pt>
                <c:pt idx="25">
                  <c:v>70.547151583170105</c:v>
                </c:pt>
                <c:pt idx="26">
                  <c:v>71.263212070593696</c:v>
                </c:pt>
                <c:pt idx="27">
                  <c:v>74.633028895062694</c:v>
                </c:pt>
                <c:pt idx="28">
                  <c:v>71.353635503886693</c:v>
                </c:pt>
                <c:pt idx="29">
                  <c:v>72.245980195344899</c:v>
                </c:pt>
                <c:pt idx="30">
                  <c:v>73.2572744975094</c:v>
                </c:pt>
                <c:pt idx="31">
                  <c:v>73.804812159528495</c:v>
                </c:pt>
                <c:pt idx="32">
                  <c:v>74.800681148878098</c:v>
                </c:pt>
                <c:pt idx="33">
                  <c:v>74.203441679410403</c:v>
                </c:pt>
                <c:pt idx="34">
                  <c:v>75.121552143897006</c:v>
                </c:pt>
                <c:pt idx="35">
                  <c:v>69.016951196971306</c:v>
                </c:pt>
                <c:pt idx="36">
                  <c:v>74.5690421474674</c:v>
                </c:pt>
                <c:pt idx="37">
                  <c:v>74.487857921476206</c:v>
                </c:pt>
                <c:pt idx="38">
                  <c:v>73.049310610000902</c:v>
                </c:pt>
                <c:pt idx="39">
                  <c:v>72.904435970572294</c:v>
                </c:pt>
                <c:pt idx="40">
                  <c:v>74.294290015973601</c:v>
                </c:pt>
                <c:pt idx="41">
                  <c:v>73.421015403982196</c:v>
                </c:pt>
                <c:pt idx="42">
                  <c:v>75.822544349210702</c:v>
                </c:pt>
                <c:pt idx="43">
                  <c:v>65.458775626530397</c:v>
                </c:pt>
                <c:pt idx="44">
                  <c:v>73.184718535036097</c:v>
                </c:pt>
                <c:pt idx="45">
                  <c:v>72.273519961128997</c:v>
                </c:pt>
                <c:pt idx="46">
                  <c:v>75.792522455713595</c:v>
                </c:pt>
                <c:pt idx="47">
                  <c:v>72.505960107085201</c:v>
                </c:pt>
                <c:pt idx="48">
                  <c:v>70.931368016352906</c:v>
                </c:pt>
                <c:pt idx="49">
                  <c:v>71.641330609865093</c:v>
                </c:pt>
              </c:numCache>
            </c:numRef>
          </c:val>
          <c:smooth val="1"/>
          <c:extLst>
            <c:ext xmlns:c16="http://schemas.microsoft.com/office/drawing/2014/chart" uri="{C3380CC4-5D6E-409C-BE32-E72D297353CC}">
              <c16:uniqueId val="{00000003-56C9-4D97-BE54-6E1AFC0FE674}"/>
            </c:ext>
          </c:extLst>
        </c:ser>
        <c:ser>
          <c:idx val="4"/>
          <c:order val="4"/>
          <c:tx>
            <c:strRef>
              <c:f>Sheet1!$F$1</c:f>
              <c:strCache>
                <c:ptCount val="1"/>
                <c:pt idx="0">
                  <c:v>2017</c:v>
                </c:pt>
              </c:strCache>
            </c:strRef>
          </c:tx>
          <c:spPr>
            <a:ln w="28575" cap="rnd">
              <a:solidFill>
                <a:schemeClr val="bg1">
                  <a:lumMod val="75000"/>
                </a:schemeClr>
              </a:solidFill>
              <a:round/>
            </a:ln>
            <a:effectLst/>
          </c:spPr>
          <c:marker>
            <c:symbol val="none"/>
          </c:marker>
          <c:cat>
            <c:strRef>
              <c:f>Sheet1!$A$2:$A$51</c:f>
              <c:strCache>
                <c:ptCount val="50"/>
                <c:pt idx="0">
                  <c:v>苏州市</c:v>
                </c:pt>
                <c:pt idx="1">
                  <c:v>杭州市</c:v>
                </c:pt>
                <c:pt idx="2">
                  <c:v>青岛市</c:v>
                </c:pt>
                <c:pt idx="3">
                  <c:v>北京市</c:v>
                </c:pt>
                <c:pt idx="4">
                  <c:v>太原市</c:v>
                </c:pt>
                <c:pt idx="5">
                  <c:v>泉州市</c:v>
                </c:pt>
                <c:pt idx="6">
                  <c:v>长春市</c:v>
                </c:pt>
                <c:pt idx="7">
                  <c:v>西宁市</c:v>
                </c:pt>
                <c:pt idx="8">
                  <c:v>武汉市</c:v>
                </c:pt>
                <c:pt idx="9">
                  <c:v>石家庄市</c:v>
                </c:pt>
                <c:pt idx="10">
                  <c:v>天津市</c:v>
                </c:pt>
                <c:pt idx="11">
                  <c:v>上海市</c:v>
                </c:pt>
                <c:pt idx="12">
                  <c:v>福州市</c:v>
                </c:pt>
                <c:pt idx="13">
                  <c:v>哈尔滨市</c:v>
                </c:pt>
                <c:pt idx="14">
                  <c:v>潍坊市</c:v>
                </c:pt>
                <c:pt idx="15">
                  <c:v>东莞市</c:v>
                </c:pt>
                <c:pt idx="16">
                  <c:v>郑州市</c:v>
                </c:pt>
                <c:pt idx="17">
                  <c:v>长沙市</c:v>
                </c:pt>
                <c:pt idx="18">
                  <c:v>大连市</c:v>
                </c:pt>
                <c:pt idx="19">
                  <c:v>深圳市</c:v>
                </c:pt>
                <c:pt idx="20">
                  <c:v>兰州市</c:v>
                </c:pt>
                <c:pt idx="21">
                  <c:v>重庆市</c:v>
                </c:pt>
                <c:pt idx="22">
                  <c:v>台州市</c:v>
                </c:pt>
                <c:pt idx="23">
                  <c:v>拉萨市</c:v>
                </c:pt>
                <c:pt idx="24">
                  <c:v>南宁市</c:v>
                </c:pt>
                <c:pt idx="25">
                  <c:v>银川市</c:v>
                </c:pt>
                <c:pt idx="26">
                  <c:v>烟台市</c:v>
                </c:pt>
                <c:pt idx="27">
                  <c:v>南京市</c:v>
                </c:pt>
                <c:pt idx="28">
                  <c:v>昆明市</c:v>
                </c:pt>
                <c:pt idx="29">
                  <c:v>贵阳市</c:v>
                </c:pt>
                <c:pt idx="30">
                  <c:v>温州市</c:v>
                </c:pt>
                <c:pt idx="31">
                  <c:v>成都市</c:v>
                </c:pt>
                <c:pt idx="32">
                  <c:v>厦门市</c:v>
                </c:pt>
                <c:pt idx="33">
                  <c:v>临沂市</c:v>
                </c:pt>
                <c:pt idx="34">
                  <c:v>广州市</c:v>
                </c:pt>
                <c:pt idx="35">
                  <c:v>南昌市</c:v>
                </c:pt>
                <c:pt idx="36">
                  <c:v>金华市</c:v>
                </c:pt>
                <c:pt idx="37">
                  <c:v>济南市</c:v>
                </c:pt>
                <c:pt idx="38">
                  <c:v>徐州市</c:v>
                </c:pt>
                <c:pt idx="39">
                  <c:v>沈阳市</c:v>
                </c:pt>
                <c:pt idx="40">
                  <c:v>宁波市</c:v>
                </c:pt>
                <c:pt idx="41">
                  <c:v>唐山市</c:v>
                </c:pt>
                <c:pt idx="42">
                  <c:v>无锡市</c:v>
                </c:pt>
                <c:pt idx="43">
                  <c:v>海口市</c:v>
                </c:pt>
                <c:pt idx="44">
                  <c:v>佛山市</c:v>
                </c:pt>
                <c:pt idx="45">
                  <c:v>呼和浩特市</c:v>
                </c:pt>
                <c:pt idx="46">
                  <c:v>南通市</c:v>
                </c:pt>
                <c:pt idx="47">
                  <c:v>乌鲁木齐市</c:v>
                </c:pt>
                <c:pt idx="48">
                  <c:v>西安市</c:v>
                </c:pt>
                <c:pt idx="49">
                  <c:v>合肥市</c:v>
                </c:pt>
              </c:strCache>
            </c:strRef>
          </c:cat>
          <c:val>
            <c:numRef>
              <c:f>Sheet1!$F$2:$F$51</c:f>
              <c:numCache>
                <c:formatCode>0.00_);[Red]\(0.00\)</c:formatCode>
                <c:ptCount val="50"/>
                <c:pt idx="0">
                  <c:v>71.631479059015604</c:v>
                </c:pt>
                <c:pt idx="1">
                  <c:v>71.433265785104297</c:v>
                </c:pt>
                <c:pt idx="2">
                  <c:v>71.745197492189803</c:v>
                </c:pt>
                <c:pt idx="3">
                  <c:v>71.524570309611093</c:v>
                </c:pt>
                <c:pt idx="4">
                  <c:v>68.355191238398803</c:v>
                </c:pt>
                <c:pt idx="5">
                  <c:v>71.150484398907295</c:v>
                </c:pt>
                <c:pt idx="6">
                  <c:v>68.230022480339798</c:v>
                </c:pt>
                <c:pt idx="7">
                  <c:v>69.395559142169503</c:v>
                </c:pt>
                <c:pt idx="8">
                  <c:v>69.457376329537595</c:v>
                </c:pt>
                <c:pt idx="9">
                  <c:v>69.632559210213003</c:v>
                </c:pt>
                <c:pt idx="10">
                  <c:v>71.513115300168494</c:v>
                </c:pt>
                <c:pt idx="11">
                  <c:v>74.756138091276597</c:v>
                </c:pt>
                <c:pt idx="12">
                  <c:v>69.746441007853406</c:v>
                </c:pt>
                <c:pt idx="13">
                  <c:v>70.740771351265394</c:v>
                </c:pt>
                <c:pt idx="14">
                  <c:v>72.821854889229598</c:v>
                </c:pt>
                <c:pt idx="15">
                  <c:v>70.133990081040693</c:v>
                </c:pt>
                <c:pt idx="16">
                  <c:v>70.109981229360699</c:v>
                </c:pt>
                <c:pt idx="17">
                  <c:v>69.763216577297499</c:v>
                </c:pt>
                <c:pt idx="18">
                  <c:v>70.057635659794798</c:v>
                </c:pt>
                <c:pt idx="19">
                  <c:v>72.568590666361501</c:v>
                </c:pt>
                <c:pt idx="20">
                  <c:v>69.813807740424707</c:v>
                </c:pt>
                <c:pt idx="21">
                  <c:v>71.949749065959097</c:v>
                </c:pt>
                <c:pt idx="22">
                  <c:v>73.642528066388493</c:v>
                </c:pt>
                <c:pt idx="23">
                  <c:v>60.934124123320998</c:v>
                </c:pt>
                <c:pt idx="24">
                  <c:v>67.1528093618208</c:v>
                </c:pt>
                <c:pt idx="25">
                  <c:v>66.934993254483501</c:v>
                </c:pt>
                <c:pt idx="26">
                  <c:v>72.120682366202502</c:v>
                </c:pt>
                <c:pt idx="27">
                  <c:v>73.429616996656804</c:v>
                </c:pt>
                <c:pt idx="28">
                  <c:v>66.734188938665497</c:v>
                </c:pt>
                <c:pt idx="29">
                  <c:v>67.047812596277694</c:v>
                </c:pt>
                <c:pt idx="30">
                  <c:v>69.413552244358598</c:v>
                </c:pt>
                <c:pt idx="31">
                  <c:v>70.6695216295997</c:v>
                </c:pt>
                <c:pt idx="32">
                  <c:v>72.556515248782503</c:v>
                </c:pt>
                <c:pt idx="33">
                  <c:v>70.383096266786197</c:v>
                </c:pt>
                <c:pt idx="34">
                  <c:v>70.542035914407506</c:v>
                </c:pt>
                <c:pt idx="35">
                  <c:v>69.269079113030102</c:v>
                </c:pt>
                <c:pt idx="36">
                  <c:v>72.722091593571605</c:v>
                </c:pt>
                <c:pt idx="37">
                  <c:v>71.687159634946497</c:v>
                </c:pt>
                <c:pt idx="38">
                  <c:v>71.384690313644199</c:v>
                </c:pt>
                <c:pt idx="39">
                  <c:v>71.739648358356007</c:v>
                </c:pt>
                <c:pt idx="40">
                  <c:v>73.628652889514598</c:v>
                </c:pt>
                <c:pt idx="41">
                  <c:v>69.993923088665895</c:v>
                </c:pt>
                <c:pt idx="42">
                  <c:v>77.877673847352099</c:v>
                </c:pt>
                <c:pt idx="43">
                  <c:v>68.948789705997001</c:v>
                </c:pt>
                <c:pt idx="44">
                  <c:v>74.219504798638795</c:v>
                </c:pt>
                <c:pt idx="45">
                  <c:v>70.340284631831096</c:v>
                </c:pt>
                <c:pt idx="46">
                  <c:v>74.2822985289949</c:v>
                </c:pt>
                <c:pt idx="47">
                  <c:v>71.420855036114403</c:v>
                </c:pt>
                <c:pt idx="48">
                  <c:v>70.013377263738903</c:v>
                </c:pt>
                <c:pt idx="49">
                  <c:v>72.369555862181301</c:v>
                </c:pt>
              </c:numCache>
            </c:numRef>
          </c:val>
          <c:smooth val="1"/>
          <c:extLst>
            <c:ext xmlns:c16="http://schemas.microsoft.com/office/drawing/2014/chart" uri="{C3380CC4-5D6E-409C-BE32-E72D297353CC}">
              <c16:uniqueId val="{00000004-56C9-4D97-BE54-6E1AFC0FE674}"/>
            </c:ext>
          </c:extLst>
        </c:ser>
        <c:dLbls>
          <c:showLegendKey val="0"/>
          <c:showVal val="0"/>
          <c:showCatName val="0"/>
          <c:showSerName val="0"/>
          <c:showPercent val="0"/>
          <c:showBubbleSize val="0"/>
        </c:dLbls>
        <c:smooth val="0"/>
        <c:axId val="766188246"/>
        <c:axId val="900366245"/>
      </c:lineChart>
      <c:catAx>
        <c:axId val="766188246"/>
        <c:scaling>
          <c:orientation val="minMax"/>
        </c:scaling>
        <c:delete val="0"/>
        <c:axPos val="b"/>
        <c:numFmt formatCode="General" sourceLinked="0"/>
        <c:majorTickMark val="none"/>
        <c:minorTickMark val="none"/>
        <c:tickLblPos val="nextTo"/>
        <c:spPr>
          <a:noFill/>
          <a:ln w="9525" cap="flat" cmpd="sng" algn="ctr">
            <a:solidFill>
              <a:srgbClr val="FF0000"/>
            </a:solidFill>
            <a:round/>
          </a:ln>
          <a:effectLst/>
        </c:spPr>
        <c:txPr>
          <a:bodyPr rot="0" spcFirstLastPara="0" vertOverflow="ellipsis" vert="eaVert" wrap="square" anchor="ctr" anchorCtr="1"/>
          <a:lstStyle/>
          <a:p>
            <a:pPr>
              <a:defRPr lang="zh-CN" sz="500" b="0" i="0" u="none" strike="noStrike" kern="1200" baseline="0">
                <a:solidFill>
                  <a:schemeClr val="tx1">
                    <a:lumMod val="65000"/>
                    <a:lumOff val="35000"/>
                  </a:schemeClr>
                </a:solidFill>
                <a:latin typeface="+mn-lt"/>
                <a:ea typeface="+mn-ea"/>
                <a:cs typeface="+mn-cs"/>
              </a:defRPr>
            </a:pPr>
            <a:endParaRPr lang="zh-CN"/>
          </a:p>
        </c:txPr>
        <c:crossAx val="900366245"/>
        <c:crosses val="autoZero"/>
        <c:auto val="1"/>
        <c:lblAlgn val="ctr"/>
        <c:lblOffset val="100"/>
        <c:noMultiLvlLbl val="0"/>
      </c:catAx>
      <c:valAx>
        <c:axId val="900366245"/>
        <c:scaling>
          <c:orientation val="minMax"/>
          <c:max val="95"/>
          <c:min val="55"/>
        </c:scaling>
        <c:delete val="0"/>
        <c:axPos val="l"/>
        <c:numFmt formatCode="General"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6188246"/>
        <c:crosses val="autoZero"/>
        <c:crossBetween val="between"/>
      </c:valAx>
      <c:spPr>
        <a:noFill/>
        <a:ln>
          <a:solidFill>
            <a:srgbClr val="FF0000"/>
          </a:solid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2021</c:v>
                </c:pt>
              </c:strCache>
            </c:strRef>
          </c:tx>
          <c:spPr>
            <a:ln w="28575" cap="rnd">
              <a:solidFill>
                <a:schemeClr val="accent5">
                  <a:lumMod val="50000"/>
                </a:schemeClr>
              </a:solidFill>
              <a:round/>
            </a:ln>
            <a:effectLst/>
          </c:spPr>
          <c:marker>
            <c:symbol val="none"/>
          </c:marker>
          <c:cat>
            <c:strRef>
              <c:f>Sheet1!$A$2:$A$71</c:f>
              <c:strCache>
                <c:ptCount val="70"/>
                <c:pt idx="0">
                  <c:v>苏州市</c:v>
                </c:pt>
                <c:pt idx="1">
                  <c:v>杭州市</c:v>
                </c:pt>
                <c:pt idx="2">
                  <c:v>烟台市</c:v>
                </c:pt>
                <c:pt idx="3">
                  <c:v>青岛市</c:v>
                </c:pt>
                <c:pt idx="4">
                  <c:v>岳阳市</c:v>
                </c:pt>
                <c:pt idx="5">
                  <c:v>哈密市</c:v>
                </c:pt>
                <c:pt idx="6">
                  <c:v>襄阳市</c:v>
                </c:pt>
                <c:pt idx="7">
                  <c:v>无锡市</c:v>
                </c:pt>
                <c:pt idx="8">
                  <c:v>海东市</c:v>
                </c:pt>
                <c:pt idx="9">
                  <c:v>潍坊市</c:v>
                </c:pt>
                <c:pt idx="10">
                  <c:v>上海市</c:v>
                </c:pt>
                <c:pt idx="11">
                  <c:v>大庆市</c:v>
                </c:pt>
                <c:pt idx="12">
                  <c:v>北京市</c:v>
                </c:pt>
                <c:pt idx="13">
                  <c:v>泉州市</c:v>
                </c:pt>
                <c:pt idx="14">
                  <c:v>天津市</c:v>
                </c:pt>
                <c:pt idx="15">
                  <c:v>东莞市</c:v>
                </c:pt>
                <c:pt idx="16">
                  <c:v>武汉市</c:v>
                </c:pt>
                <c:pt idx="17">
                  <c:v>西宁市</c:v>
                </c:pt>
                <c:pt idx="18">
                  <c:v>三亚市</c:v>
                </c:pt>
                <c:pt idx="19">
                  <c:v>长春市</c:v>
                </c:pt>
                <c:pt idx="20">
                  <c:v>石家庄市</c:v>
                </c:pt>
                <c:pt idx="21">
                  <c:v>深圳市</c:v>
                </c:pt>
                <c:pt idx="22">
                  <c:v>郑州市</c:v>
                </c:pt>
                <c:pt idx="23">
                  <c:v>哈尔滨市</c:v>
                </c:pt>
                <c:pt idx="24">
                  <c:v>长沙市</c:v>
                </c:pt>
                <c:pt idx="25">
                  <c:v>太原市</c:v>
                </c:pt>
                <c:pt idx="26">
                  <c:v>兰州市</c:v>
                </c:pt>
                <c:pt idx="27">
                  <c:v>合肥市</c:v>
                </c:pt>
                <c:pt idx="28">
                  <c:v>宝鸡市</c:v>
                </c:pt>
                <c:pt idx="29">
                  <c:v>绵阳市</c:v>
                </c:pt>
                <c:pt idx="30">
                  <c:v>曲靖市</c:v>
                </c:pt>
                <c:pt idx="31">
                  <c:v>运城市</c:v>
                </c:pt>
                <c:pt idx="32">
                  <c:v>大连市</c:v>
                </c:pt>
                <c:pt idx="33">
                  <c:v>福州市</c:v>
                </c:pt>
                <c:pt idx="34">
                  <c:v>台州市</c:v>
                </c:pt>
                <c:pt idx="35">
                  <c:v>重庆市</c:v>
                </c:pt>
                <c:pt idx="36">
                  <c:v>拉萨市</c:v>
                </c:pt>
                <c:pt idx="37">
                  <c:v>天水市</c:v>
                </c:pt>
                <c:pt idx="38">
                  <c:v>南宁市</c:v>
                </c:pt>
                <c:pt idx="39">
                  <c:v>南京市</c:v>
                </c:pt>
                <c:pt idx="40">
                  <c:v>海口市</c:v>
                </c:pt>
                <c:pt idx="41">
                  <c:v>日喀则市</c:v>
                </c:pt>
                <c:pt idx="42">
                  <c:v>南昌市</c:v>
                </c:pt>
                <c:pt idx="43">
                  <c:v>银川市</c:v>
                </c:pt>
                <c:pt idx="44">
                  <c:v>洛阳市</c:v>
                </c:pt>
                <c:pt idx="45">
                  <c:v>吴忠市</c:v>
                </c:pt>
                <c:pt idx="46">
                  <c:v>柳州市</c:v>
                </c:pt>
                <c:pt idx="47">
                  <c:v>佛山市</c:v>
                </c:pt>
                <c:pt idx="48">
                  <c:v>芜湖市</c:v>
                </c:pt>
                <c:pt idx="49">
                  <c:v>厦门市</c:v>
                </c:pt>
                <c:pt idx="50">
                  <c:v>赣州市</c:v>
                </c:pt>
                <c:pt idx="51">
                  <c:v>宁波市</c:v>
                </c:pt>
                <c:pt idx="52">
                  <c:v>成都市</c:v>
                </c:pt>
                <c:pt idx="53">
                  <c:v>沈阳市</c:v>
                </c:pt>
                <c:pt idx="54">
                  <c:v>昆明市</c:v>
                </c:pt>
                <c:pt idx="55">
                  <c:v>温州市</c:v>
                </c:pt>
                <c:pt idx="56">
                  <c:v>徐州市</c:v>
                </c:pt>
                <c:pt idx="57">
                  <c:v>金华市</c:v>
                </c:pt>
                <c:pt idx="58">
                  <c:v>贵阳市</c:v>
                </c:pt>
                <c:pt idx="59">
                  <c:v>临沂市</c:v>
                </c:pt>
                <c:pt idx="60">
                  <c:v>包头市</c:v>
                </c:pt>
                <c:pt idx="61">
                  <c:v>济南市</c:v>
                </c:pt>
                <c:pt idx="62">
                  <c:v>西安市</c:v>
                </c:pt>
                <c:pt idx="63">
                  <c:v>广州市</c:v>
                </c:pt>
                <c:pt idx="64">
                  <c:v>吉林市</c:v>
                </c:pt>
                <c:pt idx="65">
                  <c:v>乌鲁木齐市</c:v>
                </c:pt>
                <c:pt idx="66">
                  <c:v>南通市</c:v>
                </c:pt>
                <c:pt idx="67">
                  <c:v>遵义市</c:v>
                </c:pt>
                <c:pt idx="68">
                  <c:v>呼和浩特市</c:v>
                </c:pt>
                <c:pt idx="69">
                  <c:v>唐山市</c:v>
                </c:pt>
              </c:strCache>
            </c:strRef>
          </c:cat>
          <c:val>
            <c:numRef>
              <c:f>Sheet1!$B$2:$B$71</c:f>
              <c:numCache>
                <c:formatCode>0.00_);[Red]\(0.00\)</c:formatCode>
                <c:ptCount val="70"/>
                <c:pt idx="0">
                  <c:v>89.695237730760098</c:v>
                </c:pt>
                <c:pt idx="1">
                  <c:v>87.336925816863996</c:v>
                </c:pt>
                <c:pt idx="2">
                  <c:v>85.293241550520193</c:v>
                </c:pt>
                <c:pt idx="3">
                  <c:v>87.005402528301104</c:v>
                </c:pt>
                <c:pt idx="4">
                  <c:v>80.755820557425906</c:v>
                </c:pt>
                <c:pt idx="5">
                  <c:v>79.249130026292406</c:v>
                </c:pt>
                <c:pt idx="6">
                  <c:v>80.772786861584393</c:v>
                </c:pt>
                <c:pt idx="7">
                  <c:v>86.001102026508704</c:v>
                </c:pt>
                <c:pt idx="8">
                  <c:v>79.329353333385896</c:v>
                </c:pt>
                <c:pt idx="9">
                  <c:v>82.076723962811101</c:v>
                </c:pt>
                <c:pt idx="10">
                  <c:v>84.574184321893</c:v>
                </c:pt>
                <c:pt idx="11">
                  <c:v>80.466568093630002</c:v>
                </c:pt>
                <c:pt idx="12">
                  <c:v>83.485326033466393</c:v>
                </c:pt>
                <c:pt idx="13">
                  <c:v>82.196319883717806</c:v>
                </c:pt>
                <c:pt idx="14">
                  <c:v>81.485000214483605</c:v>
                </c:pt>
                <c:pt idx="15">
                  <c:v>79.306859302645606</c:v>
                </c:pt>
                <c:pt idx="16">
                  <c:v>80.085150887552302</c:v>
                </c:pt>
                <c:pt idx="17">
                  <c:v>80.065915162289102</c:v>
                </c:pt>
                <c:pt idx="18">
                  <c:v>77.377540348227896</c:v>
                </c:pt>
                <c:pt idx="19">
                  <c:v>79.008969693772897</c:v>
                </c:pt>
                <c:pt idx="20">
                  <c:v>79.924773076601497</c:v>
                </c:pt>
                <c:pt idx="21">
                  <c:v>80.999491915573998</c:v>
                </c:pt>
                <c:pt idx="22">
                  <c:v>79.264422334368007</c:v>
                </c:pt>
                <c:pt idx="23">
                  <c:v>80.201506820171602</c:v>
                </c:pt>
                <c:pt idx="24">
                  <c:v>78.826863107648606</c:v>
                </c:pt>
                <c:pt idx="25">
                  <c:v>79.807631776629407</c:v>
                </c:pt>
                <c:pt idx="26">
                  <c:v>78.028909945870197</c:v>
                </c:pt>
                <c:pt idx="27">
                  <c:v>78.755749413056193</c:v>
                </c:pt>
                <c:pt idx="28">
                  <c:v>77.394108036526703</c:v>
                </c:pt>
                <c:pt idx="29">
                  <c:v>78.7838933620029</c:v>
                </c:pt>
                <c:pt idx="30">
                  <c:v>79.097690131746603</c:v>
                </c:pt>
                <c:pt idx="31">
                  <c:v>78.437751451305203</c:v>
                </c:pt>
                <c:pt idx="32">
                  <c:v>78.735744388414602</c:v>
                </c:pt>
                <c:pt idx="33">
                  <c:v>79.356507751334902</c:v>
                </c:pt>
                <c:pt idx="34">
                  <c:v>79.383928324144193</c:v>
                </c:pt>
                <c:pt idx="35">
                  <c:v>78.793975709861698</c:v>
                </c:pt>
                <c:pt idx="36">
                  <c:v>80.178079426409198</c:v>
                </c:pt>
                <c:pt idx="37">
                  <c:v>79.493251567448098</c:v>
                </c:pt>
                <c:pt idx="38">
                  <c:v>81.156242462272203</c:v>
                </c:pt>
                <c:pt idx="39">
                  <c:v>86.040015010313894</c:v>
                </c:pt>
                <c:pt idx="40">
                  <c:v>76.801631480936805</c:v>
                </c:pt>
                <c:pt idx="41">
                  <c:v>80.702486517848797</c:v>
                </c:pt>
                <c:pt idx="42">
                  <c:v>79.075908374986398</c:v>
                </c:pt>
                <c:pt idx="43">
                  <c:v>80.300780337533396</c:v>
                </c:pt>
                <c:pt idx="44">
                  <c:v>81.242333928096201</c:v>
                </c:pt>
                <c:pt idx="45">
                  <c:v>81.377707794561104</c:v>
                </c:pt>
                <c:pt idx="46">
                  <c:v>79.663469578546</c:v>
                </c:pt>
                <c:pt idx="47">
                  <c:v>81.931174782632397</c:v>
                </c:pt>
                <c:pt idx="48">
                  <c:v>80.151990607895101</c:v>
                </c:pt>
                <c:pt idx="49">
                  <c:v>83.163356266636001</c:v>
                </c:pt>
                <c:pt idx="50">
                  <c:v>79.463776931523896</c:v>
                </c:pt>
                <c:pt idx="51">
                  <c:v>82.403782358586696</c:v>
                </c:pt>
                <c:pt idx="52">
                  <c:v>81.845986949614002</c:v>
                </c:pt>
                <c:pt idx="53">
                  <c:v>80.782550189447406</c:v>
                </c:pt>
                <c:pt idx="54">
                  <c:v>79.149280411698697</c:v>
                </c:pt>
                <c:pt idx="55">
                  <c:v>80.950332697491703</c:v>
                </c:pt>
                <c:pt idx="56">
                  <c:v>80.430787983759103</c:v>
                </c:pt>
                <c:pt idx="57">
                  <c:v>81.904832635211704</c:v>
                </c:pt>
                <c:pt idx="58">
                  <c:v>78.947996848543696</c:v>
                </c:pt>
                <c:pt idx="59">
                  <c:v>80.745584669154596</c:v>
                </c:pt>
                <c:pt idx="60">
                  <c:v>79.887666608704507</c:v>
                </c:pt>
                <c:pt idx="61">
                  <c:v>80.780112006286899</c:v>
                </c:pt>
                <c:pt idx="62">
                  <c:v>76.729940568399499</c:v>
                </c:pt>
                <c:pt idx="63">
                  <c:v>80.895677891776899</c:v>
                </c:pt>
                <c:pt idx="64">
                  <c:v>79.093270941225796</c:v>
                </c:pt>
                <c:pt idx="65">
                  <c:v>78.213614720549003</c:v>
                </c:pt>
                <c:pt idx="66">
                  <c:v>81.296675100805402</c:v>
                </c:pt>
                <c:pt idx="67">
                  <c:v>78.881318278993305</c:v>
                </c:pt>
                <c:pt idx="68">
                  <c:v>77.554832104669799</c:v>
                </c:pt>
                <c:pt idx="69">
                  <c:v>78.123464910633501</c:v>
                </c:pt>
              </c:numCache>
            </c:numRef>
          </c:val>
          <c:smooth val="1"/>
          <c:extLst>
            <c:ext xmlns:c16="http://schemas.microsoft.com/office/drawing/2014/chart" uri="{C3380CC4-5D6E-409C-BE32-E72D297353CC}">
              <c16:uniqueId val="{00000000-55D2-428C-8C40-29315907C087}"/>
            </c:ext>
          </c:extLst>
        </c:ser>
        <c:ser>
          <c:idx val="1"/>
          <c:order val="1"/>
          <c:tx>
            <c:strRef>
              <c:f>Sheet1!$C$1</c:f>
              <c:strCache>
                <c:ptCount val="1"/>
                <c:pt idx="0">
                  <c:v>2020</c:v>
                </c:pt>
              </c:strCache>
            </c:strRef>
          </c:tx>
          <c:spPr>
            <a:ln w="28575" cap="rnd">
              <a:solidFill>
                <a:schemeClr val="accent5">
                  <a:lumMod val="75000"/>
                </a:schemeClr>
              </a:solidFill>
              <a:round/>
            </a:ln>
            <a:effectLst/>
          </c:spPr>
          <c:marker>
            <c:symbol val="none"/>
          </c:marker>
          <c:cat>
            <c:strRef>
              <c:f>Sheet1!$A$2:$A$71</c:f>
              <c:strCache>
                <c:ptCount val="70"/>
                <c:pt idx="0">
                  <c:v>苏州市</c:v>
                </c:pt>
                <c:pt idx="1">
                  <c:v>杭州市</c:v>
                </c:pt>
                <c:pt idx="2">
                  <c:v>烟台市</c:v>
                </c:pt>
                <c:pt idx="3">
                  <c:v>青岛市</c:v>
                </c:pt>
                <c:pt idx="4">
                  <c:v>岳阳市</c:v>
                </c:pt>
                <c:pt idx="5">
                  <c:v>哈密市</c:v>
                </c:pt>
                <c:pt idx="6">
                  <c:v>襄阳市</c:v>
                </c:pt>
                <c:pt idx="7">
                  <c:v>无锡市</c:v>
                </c:pt>
                <c:pt idx="8">
                  <c:v>海东市</c:v>
                </c:pt>
                <c:pt idx="9">
                  <c:v>潍坊市</c:v>
                </c:pt>
                <c:pt idx="10">
                  <c:v>上海市</c:v>
                </c:pt>
                <c:pt idx="11">
                  <c:v>大庆市</c:v>
                </c:pt>
                <c:pt idx="12">
                  <c:v>北京市</c:v>
                </c:pt>
                <c:pt idx="13">
                  <c:v>泉州市</c:v>
                </c:pt>
                <c:pt idx="14">
                  <c:v>天津市</c:v>
                </c:pt>
                <c:pt idx="15">
                  <c:v>东莞市</c:v>
                </c:pt>
                <c:pt idx="16">
                  <c:v>武汉市</c:v>
                </c:pt>
                <c:pt idx="17">
                  <c:v>西宁市</c:v>
                </c:pt>
                <c:pt idx="18">
                  <c:v>三亚市</c:v>
                </c:pt>
                <c:pt idx="19">
                  <c:v>长春市</c:v>
                </c:pt>
                <c:pt idx="20">
                  <c:v>石家庄市</c:v>
                </c:pt>
                <c:pt idx="21">
                  <c:v>深圳市</c:v>
                </c:pt>
                <c:pt idx="22">
                  <c:v>郑州市</c:v>
                </c:pt>
                <c:pt idx="23">
                  <c:v>哈尔滨市</c:v>
                </c:pt>
                <c:pt idx="24">
                  <c:v>长沙市</c:v>
                </c:pt>
                <c:pt idx="25">
                  <c:v>太原市</c:v>
                </c:pt>
                <c:pt idx="26">
                  <c:v>兰州市</c:v>
                </c:pt>
                <c:pt idx="27">
                  <c:v>合肥市</c:v>
                </c:pt>
                <c:pt idx="28">
                  <c:v>宝鸡市</c:v>
                </c:pt>
                <c:pt idx="29">
                  <c:v>绵阳市</c:v>
                </c:pt>
                <c:pt idx="30">
                  <c:v>曲靖市</c:v>
                </c:pt>
                <c:pt idx="31">
                  <c:v>运城市</c:v>
                </c:pt>
                <c:pt idx="32">
                  <c:v>大连市</c:v>
                </c:pt>
                <c:pt idx="33">
                  <c:v>福州市</c:v>
                </c:pt>
                <c:pt idx="34">
                  <c:v>台州市</c:v>
                </c:pt>
                <c:pt idx="35">
                  <c:v>重庆市</c:v>
                </c:pt>
                <c:pt idx="36">
                  <c:v>拉萨市</c:v>
                </c:pt>
                <c:pt idx="37">
                  <c:v>天水市</c:v>
                </c:pt>
                <c:pt idx="38">
                  <c:v>南宁市</c:v>
                </c:pt>
                <c:pt idx="39">
                  <c:v>南京市</c:v>
                </c:pt>
                <c:pt idx="40">
                  <c:v>海口市</c:v>
                </c:pt>
                <c:pt idx="41">
                  <c:v>日喀则市</c:v>
                </c:pt>
                <c:pt idx="42">
                  <c:v>南昌市</c:v>
                </c:pt>
                <c:pt idx="43">
                  <c:v>银川市</c:v>
                </c:pt>
                <c:pt idx="44">
                  <c:v>洛阳市</c:v>
                </c:pt>
                <c:pt idx="45">
                  <c:v>吴忠市</c:v>
                </c:pt>
                <c:pt idx="46">
                  <c:v>柳州市</c:v>
                </c:pt>
                <c:pt idx="47">
                  <c:v>佛山市</c:v>
                </c:pt>
                <c:pt idx="48">
                  <c:v>芜湖市</c:v>
                </c:pt>
                <c:pt idx="49">
                  <c:v>厦门市</c:v>
                </c:pt>
                <c:pt idx="50">
                  <c:v>赣州市</c:v>
                </c:pt>
                <c:pt idx="51">
                  <c:v>宁波市</c:v>
                </c:pt>
                <c:pt idx="52">
                  <c:v>成都市</c:v>
                </c:pt>
                <c:pt idx="53">
                  <c:v>沈阳市</c:v>
                </c:pt>
                <c:pt idx="54">
                  <c:v>昆明市</c:v>
                </c:pt>
                <c:pt idx="55">
                  <c:v>温州市</c:v>
                </c:pt>
                <c:pt idx="56">
                  <c:v>徐州市</c:v>
                </c:pt>
                <c:pt idx="57">
                  <c:v>金华市</c:v>
                </c:pt>
                <c:pt idx="58">
                  <c:v>贵阳市</c:v>
                </c:pt>
                <c:pt idx="59">
                  <c:v>临沂市</c:v>
                </c:pt>
                <c:pt idx="60">
                  <c:v>包头市</c:v>
                </c:pt>
                <c:pt idx="61">
                  <c:v>济南市</c:v>
                </c:pt>
                <c:pt idx="62">
                  <c:v>西安市</c:v>
                </c:pt>
                <c:pt idx="63">
                  <c:v>广州市</c:v>
                </c:pt>
                <c:pt idx="64">
                  <c:v>吉林市</c:v>
                </c:pt>
                <c:pt idx="65">
                  <c:v>乌鲁木齐市</c:v>
                </c:pt>
                <c:pt idx="66">
                  <c:v>南通市</c:v>
                </c:pt>
                <c:pt idx="67">
                  <c:v>遵义市</c:v>
                </c:pt>
                <c:pt idx="68">
                  <c:v>呼和浩特市</c:v>
                </c:pt>
                <c:pt idx="69">
                  <c:v>唐山市</c:v>
                </c:pt>
              </c:strCache>
            </c:strRef>
          </c:cat>
          <c:val>
            <c:numRef>
              <c:f>Sheet1!$C$2:$C$71</c:f>
              <c:numCache>
                <c:formatCode>0.00_);[Red]\(0.00\)</c:formatCode>
                <c:ptCount val="70"/>
                <c:pt idx="0">
                  <c:v>83.349280604253593</c:v>
                </c:pt>
                <c:pt idx="1">
                  <c:v>86.668261737687004</c:v>
                </c:pt>
                <c:pt idx="2">
                  <c:v>83.111588621844803</c:v>
                </c:pt>
                <c:pt idx="3">
                  <c:v>84.173652273523899</c:v>
                </c:pt>
                <c:pt idx="4">
                  <c:v>79.503552390965396</c:v>
                </c:pt>
                <c:pt idx="5">
                  <c:v>75.619463495554001</c:v>
                </c:pt>
                <c:pt idx="6">
                  <c:v>79.922906481086898</c:v>
                </c:pt>
                <c:pt idx="7">
                  <c:v>82.859875309454495</c:v>
                </c:pt>
                <c:pt idx="8">
                  <c:v>76.947395458365605</c:v>
                </c:pt>
                <c:pt idx="9">
                  <c:v>81.348016042471897</c:v>
                </c:pt>
                <c:pt idx="10">
                  <c:v>83.650345208464302</c:v>
                </c:pt>
                <c:pt idx="11">
                  <c:v>77.805318009733398</c:v>
                </c:pt>
                <c:pt idx="12">
                  <c:v>82.669073132137697</c:v>
                </c:pt>
                <c:pt idx="13">
                  <c:v>82.184969228886899</c:v>
                </c:pt>
                <c:pt idx="14">
                  <c:v>81.284315462638006</c:v>
                </c:pt>
                <c:pt idx="15">
                  <c:v>76.203217516496693</c:v>
                </c:pt>
                <c:pt idx="16">
                  <c:v>77.9340542007712</c:v>
                </c:pt>
                <c:pt idx="17">
                  <c:v>79.465860931301293</c:v>
                </c:pt>
                <c:pt idx="18">
                  <c:v>76.140431309815696</c:v>
                </c:pt>
                <c:pt idx="19">
                  <c:v>73.670571239546405</c:v>
                </c:pt>
                <c:pt idx="20">
                  <c:v>79.200744520569202</c:v>
                </c:pt>
                <c:pt idx="21">
                  <c:v>78.771310567780702</c:v>
                </c:pt>
                <c:pt idx="22">
                  <c:v>76.852340368672003</c:v>
                </c:pt>
                <c:pt idx="23">
                  <c:v>77.538532270684499</c:v>
                </c:pt>
                <c:pt idx="24">
                  <c:v>76.432281033431707</c:v>
                </c:pt>
                <c:pt idx="25">
                  <c:v>78.615274426948304</c:v>
                </c:pt>
                <c:pt idx="26">
                  <c:v>74.472446536218698</c:v>
                </c:pt>
                <c:pt idx="27">
                  <c:v>73.125839847067994</c:v>
                </c:pt>
                <c:pt idx="28">
                  <c:v>75.925688072673694</c:v>
                </c:pt>
                <c:pt idx="29">
                  <c:v>75.917255574601398</c:v>
                </c:pt>
                <c:pt idx="30">
                  <c:v>76.400811239888</c:v>
                </c:pt>
                <c:pt idx="31">
                  <c:v>76.501820568697994</c:v>
                </c:pt>
                <c:pt idx="32">
                  <c:v>75.489114575167306</c:v>
                </c:pt>
                <c:pt idx="33">
                  <c:v>76.4148859555428</c:v>
                </c:pt>
                <c:pt idx="34">
                  <c:v>74.903833507111798</c:v>
                </c:pt>
                <c:pt idx="35">
                  <c:v>77.917163137744495</c:v>
                </c:pt>
                <c:pt idx="36">
                  <c:v>81.192651799209798</c:v>
                </c:pt>
                <c:pt idx="37">
                  <c:v>80.105771873329203</c:v>
                </c:pt>
                <c:pt idx="38">
                  <c:v>82.651781497108004</c:v>
                </c:pt>
                <c:pt idx="39">
                  <c:v>86.082322081101495</c:v>
                </c:pt>
                <c:pt idx="40">
                  <c:v>79.895881929755305</c:v>
                </c:pt>
                <c:pt idx="41">
                  <c:v>82.309282690460606</c:v>
                </c:pt>
                <c:pt idx="42">
                  <c:v>80.226590835029299</c:v>
                </c:pt>
                <c:pt idx="43">
                  <c:v>81.144731327987699</c:v>
                </c:pt>
                <c:pt idx="44">
                  <c:v>81.841719895995894</c:v>
                </c:pt>
                <c:pt idx="45">
                  <c:v>83.810376212765306</c:v>
                </c:pt>
                <c:pt idx="46">
                  <c:v>80.213857400601697</c:v>
                </c:pt>
                <c:pt idx="47">
                  <c:v>80.774802681040597</c:v>
                </c:pt>
                <c:pt idx="48">
                  <c:v>82.428314075867306</c:v>
                </c:pt>
                <c:pt idx="49">
                  <c:v>84.200934972443704</c:v>
                </c:pt>
                <c:pt idx="50">
                  <c:v>81.059732723457401</c:v>
                </c:pt>
                <c:pt idx="51">
                  <c:v>82.494506879446305</c:v>
                </c:pt>
                <c:pt idx="52">
                  <c:v>82.203432436222002</c:v>
                </c:pt>
                <c:pt idx="53">
                  <c:v>82.5115644352462</c:v>
                </c:pt>
                <c:pt idx="54">
                  <c:v>69.873695163675094</c:v>
                </c:pt>
                <c:pt idx="55">
                  <c:v>82.267725251431401</c:v>
                </c:pt>
                <c:pt idx="56">
                  <c:v>78.073329580217006</c:v>
                </c:pt>
                <c:pt idx="57">
                  <c:v>82.474345632648806</c:v>
                </c:pt>
                <c:pt idx="58">
                  <c:v>69.479593042682495</c:v>
                </c:pt>
                <c:pt idx="59">
                  <c:v>81.045339467010507</c:v>
                </c:pt>
                <c:pt idx="60">
                  <c:v>80.984999710670706</c:v>
                </c:pt>
                <c:pt idx="61">
                  <c:v>82.766681794567404</c:v>
                </c:pt>
                <c:pt idx="62">
                  <c:v>76.785803703955594</c:v>
                </c:pt>
                <c:pt idx="63">
                  <c:v>77.431681094778895</c:v>
                </c:pt>
                <c:pt idx="64">
                  <c:v>76.790118372515195</c:v>
                </c:pt>
                <c:pt idx="65">
                  <c:v>79.822819355996998</c:v>
                </c:pt>
                <c:pt idx="66">
                  <c:v>82.015341753679706</c:v>
                </c:pt>
                <c:pt idx="67">
                  <c:v>72.212720352668995</c:v>
                </c:pt>
                <c:pt idx="68">
                  <c:v>74.389658032498502</c:v>
                </c:pt>
                <c:pt idx="69">
                  <c:v>73.535995135136801</c:v>
                </c:pt>
              </c:numCache>
            </c:numRef>
          </c:val>
          <c:smooth val="1"/>
          <c:extLst>
            <c:ext xmlns:c16="http://schemas.microsoft.com/office/drawing/2014/chart" uri="{C3380CC4-5D6E-409C-BE32-E72D297353CC}">
              <c16:uniqueId val="{00000001-55D2-428C-8C40-29315907C087}"/>
            </c:ext>
          </c:extLst>
        </c:ser>
        <c:ser>
          <c:idx val="2"/>
          <c:order val="2"/>
          <c:tx>
            <c:strRef>
              <c:f>Sheet1!$D$1</c:f>
              <c:strCache>
                <c:ptCount val="1"/>
                <c:pt idx="0">
                  <c:v>2019</c:v>
                </c:pt>
              </c:strCache>
            </c:strRef>
          </c:tx>
          <c:spPr>
            <a:ln w="28575" cap="rnd">
              <a:solidFill>
                <a:schemeClr val="accent5"/>
              </a:solidFill>
              <a:round/>
            </a:ln>
            <a:effectLst/>
          </c:spPr>
          <c:marker>
            <c:symbol val="none"/>
          </c:marker>
          <c:cat>
            <c:strRef>
              <c:f>Sheet1!$A$2:$A$71</c:f>
              <c:strCache>
                <c:ptCount val="70"/>
                <c:pt idx="0">
                  <c:v>苏州市</c:v>
                </c:pt>
                <c:pt idx="1">
                  <c:v>杭州市</c:v>
                </c:pt>
                <c:pt idx="2">
                  <c:v>烟台市</c:v>
                </c:pt>
                <c:pt idx="3">
                  <c:v>青岛市</c:v>
                </c:pt>
                <c:pt idx="4">
                  <c:v>岳阳市</c:v>
                </c:pt>
                <c:pt idx="5">
                  <c:v>哈密市</c:v>
                </c:pt>
                <c:pt idx="6">
                  <c:v>襄阳市</c:v>
                </c:pt>
                <c:pt idx="7">
                  <c:v>无锡市</c:v>
                </c:pt>
                <c:pt idx="8">
                  <c:v>海东市</c:v>
                </c:pt>
                <c:pt idx="9">
                  <c:v>潍坊市</c:v>
                </c:pt>
                <c:pt idx="10">
                  <c:v>上海市</c:v>
                </c:pt>
                <c:pt idx="11">
                  <c:v>大庆市</c:v>
                </c:pt>
                <c:pt idx="12">
                  <c:v>北京市</c:v>
                </c:pt>
                <c:pt idx="13">
                  <c:v>泉州市</c:v>
                </c:pt>
                <c:pt idx="14">
                  <c:v>天津市</c:v>
                </c:pt>
                <c:pt idx="15">
                  <c:v>东莞市</c:v>
                </c:pt>
                <c:pt idx="16">
                  <c:v>武汉市</c:v>
                </c:pt>
                <c:pt idx="17">
                  <c:v>西宁市</c:v>
                </c:pt>
                <c:pt idx="18">
                  <c:v>三亚市</c:v>
                </c:pt>
                <c:pt idx="19">
                  <c:v>长春市</c:v>
                </c:pt>
                <c:pt idx="20">
                  <c:v>石家庄市</c:v>
                </c:pt>
                <c:pt idx="21">
                  <c:v>深圳市</c:v>
                </c:pt>
                <c:pt idx="22">
                  <c:v>郑州市</c:v>
                </c:pt>
                <c:pt idx="23">
                  <c:v>哈尔滨市</c:v>
                </c:pt>
                <c:pt idx="24">
                  <c:v>长沙市</c:v>
                </c:pt>
                <c:pt idx="25">
                  <c:v>太原市</c:v>
                </c:pt>
                <c:pt idx="26">
                  <c:v>兰州市</c:v>
                </c:pt>
                <c:pt idx="27">
                  <c:v>合肥市</c:v>
                </c:pt>
                <c:pt idx="28">
                  <c:v>宝鸡市</c:v>
                </c:pt>
                <c:pt idx="29">
                  <c:v>绵阳市</c:v>
                </c:pt>
                <c:pt idx="30">
                  <c:v>曲靖市</c:v>
                </c:pt>
                <c:pt idx="31">
                  <c:v>运城市</c:v>
                </c:pt>
                <c:pt idx="32">
                  <c:v>大连市</c:v>
                </c:pt>
                <c:pt idx="33">
                  <c:v>福州市</c:v>
                </c:pt>
                <c:pt idx="34">
                  <c:v>台州市</c:v>
                </c:pt>
                <c:pt idx="35">
                  <c:v>重庆市</c:v>
                </c:pt>
                <c:pt idx="36">
                  <c:v>拉萨市</c:v>
                </c:pt>
                <c:pt idx="37">
                  <c:v>天水市</c:v>
                </c:pt>
                <c:pt idx="38">
                  <c:v>南宁市</c:v>
                </c:pt>
                <c:pt idx="39">
                  <c:v>南京市</c:v>
                </c:pt>
                <c:pt idx="40">
                  <c:v>海口市</c:v>
                </c:pt>
                <c:pt idx="41">
                  <c:v>日喀则市</c:v>
                </c:pt>
                <c:pt idx="42">
                  <c:v>南昌市</c:v>
                </c:pt>
                <c:pt idx="43">
                  <c:v>银川市</c:v>
                </c:pt>
                <c:pt idx="44">
                  <c:v>洛阳市</c:v>
                </c:pt>
                <c:pt idx="45">
                  <c:v>吴忠市</c:v>
                </c:pt>
                <c:pt idx="46">
                  <c:v>柳州市</c:v>
                </c:pt>
                <c:pt idx="47">
                  <c:v>佛山市</c:v>
                </c:pt>
                <c:pt idx="48">
                  <c:v>芜湖市</c:v>
                </c:pt>
                <c:pt idx="49">
                  <c:v>厦门市</c:v>
                </c:pt>
                <c:pt idx="50">
                  <c:v>赣州市</c:v>
                </c:pt>
                <c:pt idx="51">
                  <c:v>宁波市</c:v>
                </c:pt>
                <c:pt idx="52">
                  <c:v>成都市</c:v>
                </c:pt>
                <c:pt idx="53">
                  <c:v>沈阳市</c:v>
                </c:pt>
                <c:pt idx="54">
                  <c:v>昆明市</c:v>
                </c:pt>
                <c:pt idx="55">
                  <c:v>温州市</c:v>
                </c:pt>
                <c:pt idx="56">
                  <c:v>徐州市</c:v>
                </c:pt>
                <c:pt idx="57">
                  <c:v>金华市</c:v>
                </c:pt>
                <c:pt idx="58">
                  <c:v>贵阳市</c:v>
                </c:pt>
                <c:pt idx="59">
                  <c:v>临沂市</c:v>
                </c:pt>
                <c:pt idx="60">
                  <c:v>包头市</c:v>
                </c:pt>
                <c:pt idx="61">
                  <c:v>济南市</c:v>
                </c:pt>
                <c:pt idx="62">
                  <c:v>西安市</c:v>
                </c:pt>
                <c:pt idx="63">
                  <c:v>广州市</c:v>
                </c:pt>
                <c:pt idx="64">
                  <c:v>吉林市</c:v>
                </c:pt>
                <c:pt idx="65">
                  <c:v>乌鲁木齐市</c:v>
                </c:pt>
                <c:pt idx="66">
                  <c:v>南通市</c:v>
                </c:pt>
                <c:pt idx="67">
                  <c:v>遵义市</c:v>
                </c:pt>
                <c:pt idx="68">
                  <c:v>呼和浩特市</c:v>
                </c:pt>
                <c:pt idx="69">
                  <c:v>唐山市</c:v>
                </c:pt>
              </c:strCache>
            </c:strRef>
          </c:cat>
          <c:val>
            <c:numRef>
              <c:f>Sheet1!$D$2:$D$71</c:f>
              <c:numCache>
                <c:formatCode>0.00_);[Red]\(0.00\)</c:formatCode>
                <c:ptCount val="70"/>
                <c:pt idx="0">
                  <c:v>74.84</c:v>
                </c:pt>
                <c:pt idx="1">
                  <c:v>82.33</c:v>
                </c:pt>
                <c:pt idx="2">
                  <c:v>77.73</c:v>
                </c:pt>
                <c:pt idx="3">
                  <c:v>81.489999999999995</c:v>
                </c:pt>
                <c:pt idx="4">
                  <c:v>72.67</c:v>
                </c:pt>
                <c:pt idx="5">
                  <c:v>75.05</c:v>
                </c:pt>
                <c:pt idx="6">
                  <c:v>73.569999999999993</c:v>
                </c:pt>
                <c:pt idx="7">
                  <c:v>75.989999999999995</c:v>
                </c:pt>
                <c:pt idx="8">
                  <c:v>74.67</c:v>
                </c:pt>
                <c:pt idx="9">
                  <c:v>81.16</c:v>
                </c:pt>
                <c:pt idx="10">
                  <c:v>81.25</c:v>
                </c:pt>
                <c:pt idx="11">
                  <c:v>75.180000000000007</c:v>
                </c:pt>
                <c:pt idx="12">
                  <c:v>78.150000000000006</c:v>
                </c:pt>
                <c:pt idx="13">
                  <c:v>75.97</c:v>
                </c:pt>
                <c:pt idx="14">
                  <c:v>75.010000000000005</c:v>
                </c:pt>
                <c:pt idx="15">
                  <c:v>72.19</c:v>
                </c:pt>
                <c:pt idx="16">
                  <c:v>73.400000000000006</c:v>
                </c:pt>
                <c:pt idx="17">
                  <c:v>74.819999999999993</c:v>
                </c:pt>
                <c:pt idx="18">
                  <c:v>74.790000000000006</c:v>
                </c:pt>
                <c:pt idx="19">
                  <c:v>72.239999999999995</c:v>
                </c:pt>
                <c:pt idx="20">
                  <c:v>74.290000000000006</c:v>
                </c:pt>
                <c:pt idx="21">
                  <c:v>75.86</c:v>
                </c:pt>
                <c:pt idx="22">
                  <c:v>72.989999999999995</c:v>
                </c:pt>
                <c:pt idx="23">
                  <c:v>73.989999999999995</c:v>
                </c:pt>
                <c:pt idx="24">
                  <c:v>72.95</c:v>
                </c:pt>
                <c:pt idx="25">
                  <c:v>72.510000000000005</c:v>
                </c:pt>
                <c:pt idx="26">
                  <c:v>74.39</c:v>
                </c:pt>
                <c:pt idx="27">
                  <c:v>72.680000000000007</c:v>
                </c:pt>
                <c:pt idx="28">
                  <c:v>71.819999999999993</c:v>
                </c:pt>
                <c:pt idx="29">
                  <c:v>72.819999999999993</c:v>
                </c:pt>
                <c:pt idx="30">
                  <c:v>74.55</c:v>
                </c:pt>
                <c:pt idx="31">
                  <c:v>74.040000000000006</c:v>
                </c:pt>
                <c:pt idx="32">
                  <c:v>75.430000000000007</c:v>
                </c:pt>
                <c:pt idx="33">
                  <c:v>75.27</c:v>
                </c:pt>
                <c:pt idx="34">
                  <c:v>74.599999999999994</c:v>
                </c:pt>
                <c:pt idx="35">
                  <c:v>76.59</c:v>
                </c:pt>
                <c:pt idx="36">
                  <c:v>72.42</c:v>
                </c:pt>
                <c:pt idx="37">
                  <c:v>73.88</c:v>
                </c:pt>
                <c:pt idx="38">
                  <c:v>78.08</c:v>
                </c:pt>
                <c:pt idx="39">
                  <c:v>78.77</c:v>
                </c:pt>
                <c:pt idx="40">
                  <c:v>71.19</c:v>
                </c:pt>
                <c:pt idx="41">
                  <c:v>77.38</c:v>
                </c:pt>
                <c:pt idx="42">
                  <c:v>71.16</c:v>
                </c:pt>
                <c:pt idx="43">
                  <c:v>77.3</c:v>
                </c:pt>
                <c:pt idx="44">
                  <c:v>70.36</c:v>
                </c:pt>
                <c:pt idx="45">
                  <c:v>80.73</c:v>
                </c:pt>
                <c:pt idx="46">
                  <c:v>75.37</c:v>
                </c:pt>
                <c:pt idx="47">
                  <c:v>72.569999999999993</c:v>
                </c:pt>
                <c:pt idx="48">
                  <c:v>79.08</c:v>
                </c:pt>
                <c:pt idx="49">
                  <c:v>81.48</c:v>
                </c:pt>
                <c:pt idx="50">
                  <c:v>76.66</c:v>
                </c:pt>
                <c:pt idx="51">
                  <c:v>75.05</c:v>
                </c:pt>
                <c:pt idx="52">
                  <c:v>77.739999999999995</c:v>
                </c:pt>
                <c:pt idx="53">
                  <c:v>79.47</c:v>
                </c:pt>
                <c:pt idx="54">
                  <c:v>69.92</c:v>
                </c:pt>
                <c:pt idx="55">
                  <c:v>77.81</c:v>
                </c:pt>
                <c:pt idx="56">
                  <c:v>79.2</c:v>
                </c:pt>
                <c:pt idx="57">
                  <c:v>79.010000000000005</c:v>
                </c:pt>
                <c:pt idx="58">
                  <c:v>68.150000000000006</c:v>
                </c:pt>
                <c:pt idx="59">
                  <c:v>78.7</c:v>
                </c:pt>
                <c:pt idx="60">
                  <c:v>75.88</c:v>
                </c:pt>
                <c:pt idx="61">
                  <c:v>76.989999999999995</c:v>
                </c:pt>
                <c:pt idx="62">
                  <c:v>76</c:v>
                </c:pt>
                <c:pt idx="63">
                  <c:v>78.89</c:v>
                </c:pt>
                <c:pt idx="64">
                  <c:v>68.510000000000005</c:v>
                </c:pt>
                <c:pt idx="65">
                  <c:v>78.25</c:v>
                </c:pt>
                <c:pt idx="66">
                  <c:v>75.97</c:v>
                </c:pt>
                <c:pt idx="67">
                  <c:v>73.38</c:v>
                </c:pt>
                <c:pt idx="68">
                  <c:v>76.8</c:v>
                </c:pt>
                <c:pt idx="69">
                  <c:v>76.790000000000006</c:v>
                </c:pt>
              </c:numCache>
            </c:numRef>
          </c:val>
          <c:smooth val="1"/>
          <c:extLst>
            <c:ext xmlns:c16="http://schemas.microsoft.com/office/drawing/2014/chart" uri="{C3380CC4-5D6E-409C-BE32-E72D297353CC}">
              <c16:uniqueId val="{00000002-55D2-428C-8C40-29315907C087}"/>
            </c:ext>
          </c:extLst>
        </c:ser>
        <c:ser>
          <c:idx val="3"/>
          <c:order val="3"/>
          <c:tx>
            <c:strRef>
              <c:f>Sheet1!$E$1</c:f>
              <c:strCache>
                <c:ptCount val="1"/>
                <c:pt idx="0">
                  <c:v>2018</c:v>
                </c:pt>
              </c:strCache>
            </c:strRef>
          </c:tx>
          <c:spPr>
            <a:ln w="28575" cap="rnd">
              <a:solidFill>
                <a:schemeClr val="accent5">
                  <a:lumMod val="60000"/>
                  <a:lumOff val="40000"/>
                </a:schemeClr>
              </a:solidFill>
              <a:round/>
            </a:ln>
            <a:effectLst/>
          </c:spPr>
          <c:marker>
            <c:symbol val="none"/>
          </c:marker>
          <c:cat>
            <c:strRef>
              <c:f>Sheet1!$A$2:$A$71</c:f>
              <c:strCache>
                <c:ptCount val="70"/>
                <c:pt idx="0">
                  <c:v>苏州市</c:v>
                </c:pt>
                <c:pt idx="1">
                  <c:v>杭州市</c:v>
                </c:pt>
                <c:pt idx="2">
                  <c:v>烟台市</c:v>
                </c:pt>
                <c:pt idx="3">
                  <c:v>青岛市</c:v>
                </c:pt>
                <c:pt idx="4">
                  <c:v>岳阳市</c:v>
                </c:pt>
                <c:pt idx="5">
                  <c:v>哈密市</c:v>
                </c:pt>
                <c:pt idx="6">
                  <c:v>襄阳市</c:v>
                </c:pt>
                <c:pt idx="7">
                  <c:v>无锡市</c:v>
                </c:pt>
                <c:pt idx="8">
                  <c:v>海东市</c:v>
                </c:pt>
                <c:pt idx="9">
                  <c:v>潍坊市</c:v>
                </c:pt>
                <c:pt idx="10">
                  <c:v>上海市</c:v>
                </c:pt>
                <c:pt idx="11">
                  <c:v>大庆市</c:v>
                </c:pt>
                <c:pt idx="12">
                  <c:v>北京市</c:v>
                </c:pt>
                <c:pt idx="13">
                  <c:v>泉州市</c:v>
                </c:pt>
                <c:pt idx="14">
                  <c:v>天津市</c:v>
                </c:pt>
                <c:pt idx="15">
                  <c:v>东莞市</c:v>
                </c:pt>
                <c:pt idx="16">
                  <c:v>武汉市</c:v>
                </c:pt>
                <c:pt idx="17">
                  <c:v>西宁市</c:v>
                </c:pt>
                <c:pt idx="18">
                  <c:v>三亚市</c:v>
                </c:pt>
                <c:pt idx="19">
                  <c:v>长春市</c:v>
                </c:pt>
                <c:pt idx="20">
                  <c:v>石家庄市</c:v>
                </c:pt>
                <c:pt idx="21">
                  <c:v>深圳市</c:v>
                </c:pt>
                <c:pt idx="22">
                  <c:v>郑州市</c:v>
                </c:pt>
                <c:pt idx="23">
                  <c:v>哈尔滨市</c:v>
                </c:pt>
                <c:pt idx="24">
                  <c:v>长沙市</c:v>
                </c:pt>
                <c:pt idx="25">
                  <c:v>太原市</c:v>
                </c:pt>
                <c:pt idx="26">
                  <c:v>兰州市</c:v>
                </c:pt>
                <c:pt idx="27">
                  <c:v>合肥市</c:v>
                </c:pt>
                <c:pt idx="28">
                  <c:v>宝鸡市</c:v>
                </c:pt>
                <c:pt idx="29">
                  <c:v>绵阳市</c:v>
                </c:pt>
                <c:pt idx="30">
                  <c:v>曲靖市</c:v>
                </c:pt>
                <c:pt idx="31">
                  <c:v>运城市</c:v>
                </c:pt>
                <c:pt idx="32">
                  <c:v>大连市</c:v>
                </c:pt>
                <c:pt idx="33">
                  <c:v>福州市</c:v>
                </c:pt>
                <c:pt idx="34">
                  <c:v>台州市</c:v>
                </c:pt>
                <c:pt idx="35">
                  <c:v>重庆市</c:v>
                </c:pt>
                <c:pt idx="36">
                  <c:v>拉萨市</c:v>
                </c:pt>
                <c:pt idx="37">
                  <c:v>天水市</c:v>
                </c:pt>
                <c:pt idx="38">
                  <c:v>南宁市</c:v>
                </c:pt>
                <c:pt idx="39">
                  <c:v>南京市</c:v>
                </c:pt>
                <c:pt idx="40">
                  <c:v>海口市</c:v>
                </c:pt>
                <c:pt idx="41">
                  <c:v>日喀则市</c:v>
                </c:pt>
                <c:pt idx="42">
                  <c:v>南昌市</c:v>
                </c:pt>
                <c:pt idx="43">
                  <c:v>银川市</c:v>
                </c:pt>
                <c:pt idx="44">
                  <c:v>洛阳市</c:v>
                </c:pt>
                <c:pt idx="45">
                  <c:v>吴忠市</c:v>
                </c:pt>
                <c:pt idx="46">
                  <c:v>柳州市</c:v>
                </c:pt>
                <c:pt idx="47">
                  <c:v>佛山市</c:v>
                </c:pt>
                <c:pt idx="48">
                  <c:v>芜湖市</c:v>
                </c:pt>
                <c:pt idx="49">
                  <c:v>厦门市</c:v>
                </c:pt>
                <c:pt idx="50">
                  <c:v>赣州市</c:v>
                </c:pt>
                <c:pt idx="51">
                  <c:v>宁波市</c:v>
                </c:pt>
                <c:pt idx="52">
                  <c:v>成都市</c:v>
                </c:pt>
                <c:pt idx="53">
                  <c:v>沈阳市</c:v>
                </c:pt>
                <c:pt idx="54">
                  <c:v>昆明市</c:v>
                </c:pt>
                <c:pt idx="55">
                  <c:v>温州市</c:v>
                </c:pt>
                <c:pt idx="56">
                  <c:v>徐州市</c:v>
                </c:pt>
                <c:pt idx="57">
                  <c:v>金华市</c:v>
                </c:pt>
                <c:pt idx="58">
                  <c:v>贵阳市</c:v>
                </c:pt>
                <c:pt idx="59">
                  <c:v>临沂市</c:v>
                </c:pt>
                <c:pt idx="60">
                  <c:v>包头市</c:v>
                </c:pt>
                <c:pt idx="61">
                  <c:v>济南市</c:v>
                </c:pt>
                <c:pt idx="62">
                  <c:v>西安市</c:v>
                </c:pt>
                <c:pt idx="63">
                  <c:v>广州市</c:v>
                </c:pt>
                <c:pt idx="64">
                  <c:v>吉林市</c:v>
                </c:pt>
                <c:pt idx="65">
                  <c:v>乌鲁木齐市</c:v>
                </c:pt>
                <c:pt idx="66">
                  <c:v>南通市</c:v>
                </c:pt>
                <c:pt idx="67">
                  <c:v>遵义市</c:v>
                </c:pt>
                <c:pt idx="68">
                  <c:v>呼和浩特市</c:v>
                </c:pt>
                <c:pt idx="69">
                  <c:v>唐山市</c:v>
                </c:pt>
              </c:strCache>
            </c:strRef>
          </c:cat>
          <c:val>
            <c:numRef>
              <c:f>Sheet1!$E$2:$E$71</c:f>
              <c:numCache>
                <c:formatCode>0.00_);[Red]\(0.00\)</c:formatCode>
                <c:ptCount val="70"/>
                <c:pt idx="0">
                  <c:v>73.421919808350196</c:v>
                </c:pt>
                <c:pt idx="1">
                  <c:v>72.574720051115605</c:v>
                </c:pt>
                <c:pt idx="2">
                  <c:v>71.263212070593696</c:v>
                </c:pt>
                <c:pt idx="3">
                  <c:v>74.209922465170706</c:v>
                </c:pt>
                <c:pt idx="4">
                  <c:v>70.112470051297805</c:v>
                </c:pt>
                <c:pt idx="5">
                  <c:v>68.914200055021794</c:v>
                </c:pt>
                <c:pt idx="6">
                  <c:v>70.539583660158002</c:v>
                </c:pt>
                <c:pt idx="7">
                  <c:v>75.822544349210702</c:v>
                </c:pt>
                <c:pt idx="8">
                  <c:v>69.698216786046302</c:v>
                </c:pt>
                <c:pt idx="9">
                  <c:v>72.989893845826202</c:v>
                </c:pt>
                <c:pt idx="10">
                  <c:v>75.544930220788103</c:v>
                </c:pt>
                <c:pt idx="11">
                  <c:v>71.539553841626997</c:v>
                </c:pt>
                <c:pt idx="12">
                  <c:v>74.668224235659807</c:v>
                </c:pt>
                <c:pt idx="13">
                  <c:v>73.4753530871847</c:v>
                </c:pt>
                <c:pt idx="14">
                  <c:v>72.816537321529097</c:v>
                </c:pt>
                <c:pt idx="15">
                  <c:v>70.812935922011405</c:v>
                </c:pt>
                <c:pt idx="16">
                  <c:v>71.872645090272698</c:v>
                </c:pt>
                <c:pt idx="17">
                  <c:v>71.938813972250799</c:v>
                </c:pt>
                <c:pt idx="18">
                  <c:v>69.427442456743506</c:v>
                </c:pt>
                <c:pt idx="19">
                  <c:v>71.124044553650506</c:v>
                </c:pt>
                <c:pt idx="20">
                  <c:v>72.189099331052205</c:v>
                </c:pt>
                <c:pt idx="21">
                  <c:v>73.296973692108594</c:v>
                </c:pt>
                <c:pt idx="22">
                  <c:v>71.645610601252599</c:v>
                </c:pt>
                <c:pt idx="23">
                  <c:v>72.654196444232696</c:v>
                </c:pt>
                <c:pt idx="24">
                  <c:v>71.288728077393301</c:v>
                </c:pt>
                <c:pt idx="25">
                  <c:v>72.302161023423096</c:v>
                </c:pt>
                <c:pt idx="26">
                  <c:v>70.885580998614202</c:v>
                </c:pt>
                <c:pt idx="27">
                  <c:v>71.641330609865093</c:v>
                </c:pt>
                <c:pt idx="28">
                  <c:v>70.615795985186693</c:v>
                </c:pt>
                <c:pt idx="29">
                  <c:v>72.071497034472202</c:v>
                </c:pt>
                <c:pt idx="30">
                  <c:v>72.747901935792399</c:v>
                </c:pt>
                <c:pt idx="31">
                  <c:v>72.660887024983495</c:v>
                </c:pt>
                <c:pt idx="32">
                  <c:v>73.046454462737103</c:v>
                </c:pt>
                <c:pt idx="33">
                  <c:v>73.880410658089403</c:v>
                </c:pt>
                <c:pt idx="34">
                  <c:v>74.250768628126096</c:v>
                </c:pt>
                <c:pt idx="35">
                  <c:v>74.179037150588698</c:v>
                </c:pt>
                <c:pt idx="36">
                  <c:v>63.158863204288203</c:v>
                </c:pt>
                <c:pt idx="37">
                  <c:v>65.008284313840804</c:v>
                </c:pt>
                <c:pt idx="38">
                  <c:v>68.579529438783396</c:v>
                </c:pt>
                <c:pt idx="39">
                  <c:v>74.633028895062694</c:v>
                </c:pt>
                <c:pt idx="40">
                  <c:v>65.458775626530397</c:v>
                </c:pt>
                <c:pt idx="41">
                  <c:v>69.981720837015402</c:v>
                </c:pt>
                <c:pt idx="42">
                  <c:v>69.016951196971306</c:v>
                </c:pt>
                <c:pt idx="43">
                  <c:v>70.547151583170105</c:v>
                </c:pt>
                <c:pt idx="44">
                  <c:v>71.850921590746594</c:v>
                </c:pt>
                <c:pt idx="45">
                  <c:v>72.128359534608606</c:v>
                </c:pt>
                <c:pt idx="46">
                  <c:v>70.530389778335504</c:v>
                </c:pt>
                <c:pt idx="47">
                  <c:v>73.184718535036097</c:v>
                </c:pt>
                <c:pt idx="48">
                  <c:v>71.738884622686001</c:v>
                </c:pt>
                <c:pt idx="49">
                  <c:v>74.800681148878098</c:v>
                </c:pt>
                <c:pt idx="50">
                  <c:v>71.129799999146798</c:v>
                </c:pt>
                <c:pt idx="51">
                  <c:v>74.294290015973601</c:v>
                </c:pt>
                <c:pt idx="52">
                  <c:v>73.804812159528495</c:v>
                </c:pt>
                <c:pt idx="53">
                  <c:v>72.904435970572294</c:v>
                </c:pt>
                <c:pt idx="54">
                  <c:v>71.353635503886693</c:v>
                </c:pt>
                <c:pt idx="55">
                  <c:v>73.2572744975094</c:v>
                </c:pt>
                <c:pt idx="56">
                  <c:v>73.049310610000902</c:v>
                </c:pt>
                <c:pt idx="57">
                  <c:v>74.5690421474674</c:v>
                </c:pt>
                <c:pt idx="58">
                  <c:v>72.245980195344899</c:v>
                </c:pt>
                <c:pt idx="59">
                  <c:v>74.203441679410403</c:v>
                </c:pt>
                <c:pt idx="60">
                  <c:v>73.479159432867704</c:v>
                </c:pt>
                <c:pt idx="61">
                  <c:v>74.487857921476206</c:v>
                </c:pt>
                <c:pt idx="62">
                  <c:v>70.931368016352906</c:v>
                </c:pt>
                <c:pt idx="63">
                  <c:v>75.121552143897006</c:v>
                </c:pt>
                <c:pt idx="64">
                  <c:v>73.357763829991299</c:v>
                </c:pt>
                <c:pt idx="65">
                  <c:v>72.505960107085201</c:v>
                </c:pt>
                <c:pt idx="66">
                  <c:v>75.792522455713595</c:v>
                </c:pt>
                <c:pt idx="67">
                  <c:v>73.404161108176794</c:v>
                </c:pt>
                <c:pt idx="68">
                  <c:v>72.273519961128997</c:v>
                </c:pt>
                <c:pt idx="69">
                  <c:v>73.421015403982196</c:v>
                </c:pt>
              </c:numCache>
            </c:numRef>
          </c:val>
          <c:smooth val="1"/>
          <c:extLst>
            <c:ext xmlns:c16="http://schemas.microsoft.com/office/drawing/2014/chart" uri="{C3380CC4-5D6E-409C-BE32-E72D297353CC}">
              <c16:uniqueId val="{00000003-55D2-428C-8C40-29315907C087}"/>
            </c:ext>
          </c:extLst>
        </c:ser>
        <c:dLbls>
          <c:showLegendKey val="0"/>
          <c:showVal val="0"/>
          <c:showCatName val="0"/>
          <c:showSerName val="0"/>
          <c:showPercent val="0"/>
          <c:showBubbleSize val="0"/>
        </c:dLbls>
        <c:smooth val="0"/>
        <c:axId val="766188246"/>
        <c:axId val="900366245"/>
      </c:lineChart>
      <c:catAx>
        <c:axId val="766188246"/>
        <c:scaling>
          <c:orientation val="minMax"/>
        </c:scaling>
        <c:delete val="0"/>
        <c:axPos val="b"/>
        <c:numFmt formatCode="General" sourceLinked="0"/>
        <c:majorTickMark val="none"/>
        <c:minorTickMark val="none"/>
        <c:tickLblPos val="nextTo"/>
        <c:spPr>
          <a:noFill/>
          <a:ln w="9525" cap="flat" cmpd="sng" algn="ctr">
            <a:solidFill>
              <a:srgbClr val="FF0000"/>
            </a:solidFill>
            <a:round/>
          </a:ln>
          <a:effectLst/>
        </c:spPr>
        <c:txPr>
          <a:bodyPr rot="0" spcFirstLastPara="0" vertOverflow="ellipsis" vert="eaVert" wrap="square" anchor="ctr" anchorCtr="1"/>
          <a:lstStyle/>
          <a:p>
            <a:pPr>
              <a:defRPr lang="zh-CN" sz="500" b="0" i="0" u="none" strike="noStrike" kern="1200" baseline="0">
                <a:solidFill>
                  <a:schemeClr val="tx1">
                    <a:lumMod val="65000"/>
                    <a:lumOff val="35000"/>
                  </a:schemeClr>
                </a:solidFill>
                <a:latin typeface="+mn-lt"/>
                <a:ea typeface="+mn-ea"/>
                <a:cs typeface="+mn-cs"/>
              </a:defRPr>
            </a:pPr>
            <a:endParaRPr lang="zh-CN"/>
          </a:p>
        </c:txPr>
        <c:crossAx val="900366245"/>
        <c:crosses val="autoZero"/>
        <c:auto val="1"/>
        <c:lblAlgn val="ctr"/>
        <c:lblOffset val="100"/>
        <c:noMultiLvlLbl val="0"/>
      </c:catAx>
      <c:valAx>
        <c:axId val="900366245"/>
        <c:scaling>
          <c:orientation val="minMax"/>
          <c:max val="95"/>
          <c:min val="55"/>
        </c:scaling>
        <c:delete val="0"/>
        <c:axPos val="l"/>
        <c:numFmt formatCode="General"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6188246"/>
        <c:crosses val="autoZero"/>
        <c:crossBetween val="between"/>
      </c:valAx>
      <c:spPr>
        <a:noFill/>
        <a:ln>
          <a:solidFill>
            <a:srgbClr val="FF0000"/>
          </a:solid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515537251965599E-2"/>
          <c:y val="2.7635481261795599E-2"/>
          <c:w val="0.92622889814102305"/>
          <c:h val="0.74831490967915903"/>
        </c:manualLayout>
      </c:layout>
      <c:lineChart>
        <c:grouping val="standard"/>
        <c:varyColors val="0"/>
        <c:ser>
          <c:idx val="0"/>
          <c:order val="0"/>
          <c:tx>
            <c:strRef>
              <c:f>Sheet1!$B$1</c:f>
              <c:strCache>
                <c:ptCount val="1"/>
                <c:pt idx="0">
                  <c:v>2021</c:v>
                </c:pt>
              </c:strCache>
            </c:strRef>
          </c:tx>
          <c:spPr>
            <a:ln w="28575" cap="rnd">
              <a:solidFill>
                <a:schemeClr val="accent5">
                  <a:lumMod val="50000"/>
                </a:schemeClr>
              </a:solidFill>
              <a:round/>
            </a:ln>
            <a:effectLst/>
          </c:spPr>
          <c:marker>
            <c:symbol val="none"/>
          </c:marker>
          <c:cat>
            <c:strRef>
              <c:f>Sheet1!$A$2:$A$101</c:f>
              <c:strCache>
                <c:ptCount val="100"/>
                <c:pt idx="0">
                  <c:v>苏州市</c:v>
                </c:pt>
                <c:pt idx="1">
                  <c:v>贵阳市</c:v>
                </c:pt>
                <c:pt idx="2">
                  <c:v>吉林市</c:v>
                </c:pt>
                <c:pt idx="3">
                  <c:v>无锡市</c:v>
                </c:pt>
                <c:pt idx="4">
                  <c:v>宜昌市</c:v>
                </c:pt>
                <c:pt idx="5">
                  <c:v>佛山市</c:v>
                </c:pt>
                <c:pt idx="6">
                  <c:v>衡阳市</c:v>
                </c:pt>
                <c:pt idx="7">
                  <c:v>岳阳市</c:v>
                </c:pt>
                <c:pt idx="8">
                  <c:v>保定市</c:v>
                </c:pt>
                <c:pt idx="9">
                  <c:v>邯郸市</c:v>
                </c:pt>
                <c:pt idx="10">
                  <c:v>烟台市</c:v>
                </c:pt>
                <c:pt idx="11">
                  <c:v>南充市</c:v>
                </c:pt>
                <c:pt idx="12">
                  <c:v>太原市</c:v>
                </c:pt>
                <c:pt idx="13">
                  <c:v>襄阳市</c:v>
                </c:pt>
                <c:pt idx="14">
                  <c:v>东莞市</c:v>
                </c:pt>
                <c:pt idx="15">
                  <c:v>长春市</c:v>
                </c:pt>
                <c:pt idx="16">
                  <c:v>武汉市</c:v>
                </c:pt>
                <c:pt idx="17">
                  <c:v>天津市</c:v>
                </c:pt>
                <c:pt idx="18">
                  <c:v>郑州市</c:v>
                </c:pt>
                <c:pt idx="19">
                  <c:v>泉州市</c:v>
                </c:pt>
                <c:pt idx="20">
                  <c:v>哈尔滨市</c:v>
                </c:pt>
                <c:pt idx="21">
                  <c:v>上饶市</c:v>
                </c:pt>
                <c:pt idx="22">
                  <c:v>合肥市</c:v>
                </c:pt>
                <c:pt idx="23">
                  <c:v>大同市</c:v>
                </c:pt>
                <c:pt idx="24">
                  <c:v>绵阳市</c:v>
                </c:pt>
                <c:pt idx="25">
                  <c:v>长沙市</c:v>
                </c:pt>
                <c:pt idx="26">
                  <c:v>玉溪市</c:v>
                </c:pt>
                <c:pt idx="27">
                  <c:v>庆阳市</c:v>
                </c:pt>
                <c:pt idx="28">
                  <c:v>石家庄市</c:v>
                </c:pt>
                <c:pt idx="29">
                  <c:v>桂林市</c:v>
                </c:pt>
                <c:pt idx="30">
                  <c:v>宝鸡市</c:v>
                </c:pt>
                <c:pt idx="31">
                  <c:v>青岛市</c:v>
                </c:pt>
                <c:pt idx="32">
                  <c:v>北京市</c:v>
                </c:pt>
                <c:pt idx="33">
                  <c:v>大庆市</c:v>
                </c:pt>
                <c:pt idx="34">
                  <c:v>盐城市</c:v>
                </c:pt>
                <c:pt idx="35">
                  <c:v>西宁市</c:v>
                </c:pt>
                <c:pt idx="36">
                  <c:v>深圳市</c:v>
                </c:pt>
                <c:pt idx="37">
                  <c:v>毕节市</c:v>
                </c:pt>
                <c:pt idx="38">
                  <c:v>齐齐哈尔市</c:v>
                </c:pt>
                <c:pt idx="39">
                  <c:v>杭州市</c:v>
                </c:pt>
                <c:pt idx="40">
                  <c:v>台州市</c:v>
                </c:pt>
                <c:pt idx="41">
                  <c:v>儋州市</c:v>
                </c:pt>
                <c:pt idx="42">
                  <c:v>海东市</c:v>
                </c:pt>
                <c:pt idx="43">
                  <c:v>曲靖市</c:v>
                </c:pt>
                <c:pt idx="44">
                  <c:v>运城市</c:v>
                </c:pt>
                <c:pt idx="45">
                  <c:v>哈密市</c:v>
                </c:pt>
                <c:pt idx="46">
                  <c:v>福州市</c:v>
                </c:pt>
                <c:pt idx="47">
                  <c:v>兰州市</c:v>
                </c:pt>
                <c:pt idx="48">
                  <c:v>南阳市</c:v>
                </c:pt>
                <c:pt idx="49">
                  <c:v>上海市</c:v>
                </c:pt>
                <c:pt idx="50">
                  <c:v>大连市</c:v>
                </c:pt>
                <c:pt idx="51">
                  <c:v>三亚市</c:v>
                </c:pt>
                <c:pt idx="52">
                  <c:v>常州市</c:v>
                </c:pt>
                <c:pt idx="53">
                  <c:v>重庆市</c:v>
                </c:pt>
                <c:pt idx="54">
                  <c:v>鄂尔多斯市</c:v>
                </c:pt>
                <c:pt idx="55">
                  <c:v>潍坊市</c:v>
                </c:pt>
                <c:pt idx="56">
                  <c:v>昆明市</c:v>
                </c:pt>
                <c:pt idx="57">
                  <c:v>遵义市</c:v>
                </c:pt>
                <c:pt idx="58">
                  <c:v>汕头市</c:v>
                </c:pt>
                <c:pt idx="59">
                  <c:v>广州市</c:v>
                </c:pt>
                <c:pt idx="60">
                  <c:v>松原市</c:v>
                </c:pt>
                <c:pt idx="61">
                  <c:v>唐山市</c:v>
                </c:pt>
                <c:pt idx="62">
                  <c:v>徐州市</c:v>
                </c:pt>
                <c:pt idx="63">
                  <c:v>呼和浩特市</c:v>
                </c:pt>
                <c:pt idx="64">
                  <c:v>洛阳市</c:v>
                </c:pt>
                <c:pt idx="65">
                  <c:v>南昌市</c:v>
                </c:pt>
                <c:pt idx="66">
                  <c:v>拉萨市</c:v>
                </c:pt>
                <c:pt idx="67">
                  <c:v>宁波市</c:v>
                </c:pt>
                <c:pt idx="68">
                  <c:v>南京市</c:v>
                </c:pt>
                <c:pt idx="69">
                  <c:v>鞍山市</c:v>
                </c:pt>
                <c:pt idx="70">
                  <c:v>济宁市</c:v>
                </c:pt>
                <c:pt idx="71">
                  <c:v>天水市</c:v>
                </c:pt>
                <c:pt idx="72">
                  <c:v>海口市</c:v>
                </c:pt>
                <c:pt idx="73">
                  <c:v>海西蒙古族藏族自治州</c:v>
                </c:pt>
                <c:pt idx="74">
                  <c:v>南通市</c:v>
                </c:pt>
                <c:pt idx="75">
                  <c:v>柳州市</c:v>
                </c:pt>
                <c:pt idx="76">
                  <c:v>渭南市</c:v>
                </c:pt>
                <c:pt idx="77">
                  <c:v>成都市</c:v>
                </c:pt>
                <c:pt idx="78">
                  <c:v>包头市</c:v>
                </c:pt>
                <c:pt idx="79">
                  <c:v>山南市</c:v>
                </c:pt>
                <c:pt idx="80">
                  <c:v>济南市</c:v>
                </c:pt>
                <c:pt idx="81">
                  <c:v>绍兴市</c:v>
                </c:pt>
                <c:pt idx="82">
                  <c:v>日喀则市</c:v>
                </c:pt>
                <c:pt idx="83">
                  <c:v>温州市</c:v>
                </c:pt>
                <c:pt idx="84">
                  <c:v>南宁市</c:v>
                </c:pt>
                <c:pt idx="85">
                  <c:v>银川市</c:v>
                </c:pt>
                <c:pt idx="86">
                  <c:v>金华市</c:v>
                </c:pt>
                <c:pt idx="87">
                  <c:v>赣州市</c:v>
                </c:pt>
                <c:pt idx="88">
                  <c:v>石嘴山市</c:v>
                </c:pt>
                <c:pt idx="89">
                  <c:v>临沂市</c:v>
                </c:pt>
                <c:pt idx="90">
                  <c:v>嘉兴市</c:v>
                </c:pt>
                <c:pt idx="91">
                  <c:v>阜阳市</c:v>
                </c:pt>
                <c:pt idx="92">
                  <c:v>厦门市</c:v>
                </c:pt>
                <c:pt idx="93">
                  <c:v>沈阳市</c:v>
                </c:pt>
                <c:pt idx="94">
                  <c:v>芜湖市</c:v>
                </c:pt>
                <c:pt idx="95">
                  <c:v>西安市</c:v>
                </c:pt>
                <c:pt idx="96">
                  <c:v>吴忠市</c:v>
                </c:pt>
                <c:pt idx="97">
                  <c:v>淄博市</c:v>
                </c:pt>
                <c:pt idx="98">
                  <c:v>克拉玛依市</c:v>
                </c:pt>
                <c:pt idx="99">
                  <c:v>乌鲁木齐市</c:v>
                </c:pt>
              </c:strCache>
            </c:strRef>
          </c:cat>
          <c:val>
            <c:numRef>
              <c:f>Sheet1!$B$2:$B$101</c:f>
              <c:numCache>
                <c:formatCode>0.00_);[Red]\(0.00\)</c:formatCode>
                <c:ptCount val="100"/>
                <c:pt idx="0">
                  <c:v>89.695237730760098</c:v>
                </c:pt>
                <c:pt idx="1">
                  <c:v>78.947996848543696</c:v>
                </c:pt>
                <c:pt idx="2">
                  <c:v>79.093270941225796</c:v>
                </c:pt>
                <c:pt idx="3">
                  <c:v>86.001102026508704</c:v>
                </c:pt>
                <c:pt idx="4">
                  <c:v>82.394383970590297</c:v>
                </c:pt>
                <c:pt idx="5">
                  <c:v>81.931174782632397</c:v>
                </c:pt>
                <c:pt idx="6">
                  <c:v>77.0467880428629</c:v>
                </c:pt>
                <c:pt idx="7">
                  <c:v>80.755820557425906</c:v>
                </c:pt>
                <c:pt idx="8">
                  <c:v>78.336054567109997</c:v>
                </c:pt>
                <c:pt idx="9">
                  <c:v>78.629741984759406</c:v>
                </c:pt>
                <c:pt idx="10">
                  <c:v>85.293241550520193</c:v>
                </c:pt>
                <c:pt idx="11">
                  <c:v>79.293569100516905</c:v>
                </c:pt>
                <c:pt idx="12">
                  <c:v>79.807631776629407</c:v>
                </c:pt>
                <c:pt idx="13">
                  <c:v>80.772786861584393</c:v>
                </c:pt>
                <c:pt idx="14">
                  <c:v>79.306859302645606</c:v>
                </c:pt>
                <c:pt idx="15">
                  <c:v>79.008969693772897</c:v>
                </c:pt>
                <c:pt idx="16">
                  <c:v>80.085150887552302</c:v>
                </c:pt>
                <c:pt idx="17">
                  <c:v>81.485000214483605</c:v>
                </c:pt>
                <c:pt idx="18">
                  <c:v>79.264422334368007</c:v>
                </c:pt>
                <c:pt idx="19">
                  <c:v>82.196319883717806</c:v>
                </c:pt>
                <c:pt idx="20">
                  <c:v>80.201506820171602</c:v>
                </c:pt>
                <c:pt idx="21">
                  <c:v>79.723781720490905</c:v>
                </c:pt>
                <c:pt idx="22">
                  <c:v>78.755749413056193</c:v>
                </c:pt>
                <c:pt idx="23">
                  <c:v>79.756240033989101</c:v>
                </c:pt>
                <c:pt idx="24">
                  <c:v>78.7838933620029</c:v>
                </c:pt>
                <c:pt idx="25">
                  <c:v>78.826863107648606</c:v>
                </c:pt>
                <c:pt idx="26">
                  <c:v>78.296006011569304</c:v>
                </c:pt>
                <c:pt idx="27">
                  <c:v>76.650779201140097</c:v>
                </c:pt>
                <c:pt idx="28">
                  <c:v>79.924773076601497</c:v>
                </c:pt>
                <c:pt idx="29">
                  <c:v>78.728338339382404</c:v>
                </c:pt>
                <c:pt idx="30">
                  <c:v>77.394108036526703</c:v>
                </c:pt>
                <c:pt idx="31">
                  <c:v>87.005402528301104</c:v>
                </c:pt>
                <c:pt idx="32">
                  <c:v>83.485326033466393</c:v>
                </c:pt>
                <c:pt idx="33">
                  <c:v>80.466568093630002</c:v>
                </c:pt>
                <c:pt idx="34">
                  <c:v>80.773481003939295</c:v>
                </c:pt>
                <c:pt idx="35">
                  <c:v>80.065915162289102</c:v>
                </c:pt>
                <c:pt idx="36">
                  <c:v>80.999491915573998</c:v>
                </c:pt>
                <c:pt idx="37">
                  <c:v>79.435693520926506</c:v>
                </c:pt>
                <c:pt idx="38">
                  <c:v>79.543903014613406</c:v>
                </c:pt>
                <c:pt idx="39">
                  <c:v>87.336925816863996</c:v>
                </c:pt>
                <c:pt idx="40">
                  <c:v>79.383928324144193</c:v>
                </c:pt>
                <c:pt idx="41">
                  <c:v>78.782116963792305</c:v>
                </c:pt>
                <c:pt idx="42">
                  <c:v>79.329353333385896</c:v>
                </c:pt>
                <c:pt idx="43">
                  <c:v>79.097690131746603</c:v>
                </c:pt>
                <c:pt idx="44">
                  <c:v>78.437751451305203</c:v>
                </c:pt>
                <c:pt idx="45">
                  <c:v>79.249130026292406</c:v>
                </c:pt>
                <c:pt idx="46">
                  <c:v>79.356507751334902</c:v>
                </c:pt>
                <c:pt idx="47">
                  <c:v>78.028909945870197</c:v>
                </c:pt>
                <c:pt idx="48">
                  <c:v>79.052484752800694</c:v>
                </c:pt>
                <c:pt idx="49">
                  <c:v>84.574184321893</c:v>
                </c:pt>
                <c:pt idx="50">
                  <c:v>78.735744388414602</c:v>
                </c:pt>
                <c:pt idx="51">
                  <c:v>77.377540348227896</c:v>
                </c:pt>
                <c:pt idx="52">
                  <c:v>85.119612892262097</c:v>
                </c:pt>
                <c:pt idx="53">
                  <c:v>78.793975709861698</c:v>
                </c:pt>
                <c:pt idx="54">
                  <c:v>79.348067166681304</c:v>
                </c:pt>
                <c:pt idx="55">
                  <c:v>82.076723962811101</c:v>
                </c:pt>
                <c:pt idx="56">
                  <c:v>79.149280411698697</c:v>
                </c:pt>
                <c:pt idx="57">
                  <c:v>78.881318278993305</c:v>
                </c:pt>
                <c:pt idx="58">
                  <c:v>78.540765367767904</c:v>
                </c:pt>
                <c:pt idx="59">
                  <c:v>80.895677891776899</c:v>
                </c:pt>
                <c:pt idx="60">
                  <c:v>77.319939320648103</c:v>
                </c:pt>
                <c:pt idx="61">
                  <c:v>78.123464910633501</c:v>
                </c:pt>
                <c:pt idx="62">
                  <c:v>80.430787983759103</c:v>
                </c:pt>
                <c:pt idx="63">
                  <c:v>77.554832104669799</c:v>
                </c:pt>
                <c:pt idx="64">
                  <c:v>81.242333928096201</c:v>
                </c:pt>
                <c:pt idx="65">
                  <c:v>79.075908374986398</c:v>
                </c:pt>
                <c:pt idx="66">
                  <c:v>80.178079426409198</c:v>
                </c:pt>
                <c:pt idx="67">
                  <c:v>82.403782358586696</c:v>
                </c:pt>
                <c:pt idx="68">
                  <c:v>86.040015010313894</c:v>
                </c:pt>
                <c:pt idx="69">
                  <c:v>79.363923855388705</c:v>
                </c:pt>
                <c:pt idx="70">
                  <c:v>81.460078071023204</c:v>
                </c:pt>
                <c:pt idx="71">
                  <c:v>79.493251567448098</c:v>
                </c:pt>
                <c:pt idx="72">
                  <c:v>76.801631480936805</c:v>
                </c:pt>
                <c:pt idx="73">
                  <c:v>79.983455452560904</c:v>
                </c:pt>
                <c:pt idx="74">
                  <c:v>81.296675100805402</c:v>
                </c:pt>
                <c:pt idx="75">
                  <c:v>79.663469578546</c:v>
                </c:pt>
                <c:pt idx="76">
                  <c:v>79.909854204306001</c:v>
                </c:pt>
                <c:pt idx="77">
                  <c:v>81.845986949614002</c:v>
                </c:pt>
                <c:pt idx="78">
                  <c:v>79.887666608704507</c:v>
                </c:pt>
                <c:pt idx="79">
                  <c:v>80.636492481154704</c:v>
                </c:pt>
                <c:pt idx="80">
                  <c:v>80.780112006286899</c:v>
                </c:pt>
                <c:pt idx="81">
                  <c:v>81.115656065479598</c:v>
                </c:pt>
                <c:pt idx="82">
                  <c:v>80.702486517848797</c:v>
                </c:pt>
                <c:pt idx="83">
                  <c:v>80.950332697491703</c:v>
                </c:pt>
                <c:pt idx="84">
                  <c:v>81.156242462272203</c:v>
                </c:pt>
                <c:pt idx="85">
                  <c:v>80.300780337533396</c:v>
                </c:pt>
                <c:pt idx="86">
                  <c:v>81.904832635211704</c:v>
                </c:pt>
                <c:pt idx="87">
                  <c:v>79.463776931523896</c:v>
                </c:pt>
                <c:pt idx="88">
                  <c:v>79.311931558316203</c:v>
                </c:pt>
                <c:pt idx="89">
                  <c:v>80.745584669154596</c:v>
                </c:pt>
                <c:pt idx="90">
                  <c:v>81.384916947800804</c:v>
                </c:pt>
                <c:pt idx="91">
                  <c:v>78.789432303453495</c:v>
                </c:pt>
                <c:pt idx="92">
                  <c:v>83.163356266636001</c:v>
                </c:pt>
                <c:pt idx="93">
                  <c:v>80.782550189447406</c:v>
                </c:pt>
                <c:pt idx="94">
                  <c:v>80.151990607895101</c:v>
                </c:pt>
                <c:pt idx="95">
                  <c:v>76.729940568399499</c:v>
                </c:pt>
                <c:pt idx="96">
                  <c:v>81.377707794561104</c:v>
                </c:pt>
                <c:pt idx="97">
                  <c:v>80.089968110233499</c:v>
                </c:pt>
                <c:pt idx="98">
                  <c:v>80.718520898342803</c:v>
                </c:pt>
                <c:pt idx="99">
                  <c:v>78.213614720549003</c:v>
                </c:pt>
              </c:numCache>
            </c:numRef>
          </c:val>
          <c:smooth val="1"/>
          <c:extLst>
            <c:ext xmlns:c16="http://schemas.microsoft.com/office/drawing/2014/chart" uri="{C3380CC4-5D6E-409C-BE32-E72D297353CC}">
              <c16:uniqueId val="{00000000-5AAD-44DF-BCE9-03062673BDF6}"/>
            </c:ext>
          </c:extLst>
        </c:ser>
        <c:ser>
          <c:idx val="1"/>
          <c:order val="1"/>
          <c:tx>
            <c:strRef>
              <c:f>Sheet1!$C$1</c:f>
              <c:strCache>
                <c:ptCount val="1"/>
                <c:pt idx="0">
                  <c:v>2020</c:v>
                </c:pt>
              </c:strCache>
            </c:strRef>
          </c:tx>
          <c:spPr>
            <a:ln w="28575" cap="rnd">
              <a:solidFill>
                <a:schemeClr val="accent5">
                  <a:lumMod val="75000"/>
                </a:schemeClr>
              </a:solidFill>
              <a:round/>
            </a:ln>
            <a:effectLst/>
          </c:spPr>
          <c:marker>
            <c:symbol val="none"/>
          </c:marker>
          <c:cat>
            <c:strRef>
              <c:f>Sheet1!$A$2:$A$101</c:f>
              <c:strCache>
                <c:ptCount val="100"/>
                <c:pt idx="0">
                  <c:v>苏州市</c:v>
                </c:pt>
                <c:pt idx="1">
                  <c:v>贵阳市</c:v>
                </c:pt>
                <c:pt idx="2">
                  <c:v>吉林市</c:v>
                </c:pt>
                <c:pt idx="3">
                  <c:v>无锡市</c:v>
                </c:pt>
                <c:pt idx="4">
                  <c:v>宜昌市</c:v>
                </c:pt>
                <c:pt idx="5">
                  <c:v>佛山市</c:v>
                </c:pt>
                <c:pt idx="6">
                  <c:v>衡阳市</c:v>
                </c:pt>
                <c:pt idx="7">
                  <c:v>岳阳市</c:v>
                </c:pt>
                <c:pt idx="8">
                  <c:v>保定市</c:v>
                </c:pt>
                <c:pt idx="9">
                  <c:v>邯郸市</c:v>
                </c:pt>
                <c:pt idx="10">
                  <c:v>烟台市</c:v>
                </c:pt>
                <c:pt idx="11">
                  <c:v>南充市</c:v>
                </c:pt>
                <c:pt idx="12">
                  <c:v>太原市</c:v>
                </c:pt>
                <c:pt idx="13">
                  <c:v>襄阳市</c:v>
                </c:pt>
                <c:pt idx="14">
                  <c:v>东莞市</c:v>
                </c:pt>
                <c:pt idx="15">
                  <c:v>长春市</c:v>
                </c:pt>
                <c:pt idx="16">
                  <c:v>武汉市</c:v>
                </c:pt>
                <c:pt idx="17">
                  <c:v>天津市</c:v>
                </c:pt>
                <c:pt idx="18">
                  <c:v>郑州市</c:v>
                </c:pt>
                <c:pt idx="19">
                  <c:v>泉州市</c:v>
                </c:pt>
                <c:pt idx="20">
                  <c:v>哈尔滨市</c:v>
                </c:pt>
                <c:pt idx="21">
                  <c:v>上饶市</c:v>
                </c:pt>
                <c:pt idx="22">
                  <c:v>合肥市</c:v>
                </c:pt>
                <c:pt idx="23">
                  <c:v>大同市</c:v>
                </c:pt>
                <c:pt idx="24">
                  <c:v>绵阳市</c:v>
                </c:pt>
                <c:pt idx="25">
                  <c:v>长沙市</c:v>
                </c:pt>
                <c:pt idx="26">
                  <c:v>玉溪市</c:v>
                </c:pt>
                <c:pt idx="27">
                  <c:v>庆阳市</c:v>
                </c:pt>
                <c:pt idx="28">
                  <c:v>石家庄市</c:v>
                </c:pt>
                <c:pt idx="29">
                  <c:v>桂林市</c:v>
                </c:pt>
                <c:pt idx="30">
                  <c:v>宝鸡市</c:v>
                </c:pt>
                <c:pt idx="31">
                  <c:v>青岛市</c:v>
                </c:pt>
                <c:pt idx="32">
                  <c:v>北京市</c:v>
                </c:pt>
                <c:pt idx="33">
                  <c:v>大庆市</c:v>
                </c:pt>
                <c:pt idx="34">
                  <c:v>盐城市</c:v>
                </c:pt>
                <c:pt idx="35">
                  <c:v>西宁市</c:v>
                </c:pt>
                <c:pt idx="36">
                  <c:v>深圳市</c:v>
                </c:pt>
                <c:pt idx="37">
                  <c:v>毕节市</c:v>
                </c:pt>
                <c:pt idx="38">
                  <c:v>齐齐哈尔市</c:v>
                </c:pt>
                <c:pt idx="39">
                  <c:v>杭州市</c:v>
                </c:pt>
                <c:pt idx="40">
                  <c:v>台州市</c:v>
                </c:pt>
                <c:pt idx="41">
                  <c:v>儋州市</c:v>
                </c:pt>
                <c:pt idx="42">
                  <c:v>海东市</c:v>
                </c:pt>
                <c:pt idx="43">
                  <c:v>曲靖市</c:v>
                </c:pt>
                <c:pt idx="44">
                  <c:v>运城市</c:v>
                </c:pt>
                <c:pt idx="45">
                  <c:v>哈密市</c:v>
                </c:pt>
                <c:pt idx="46">
                  <c:v>福州市</c:v>
                </c:pt>
                <c:pt idx="47">
                  <c:v>兰州市</c:v>
                </c:pt>
                <c:pt idx="48">
                  <c:v>南阳市</c:v>
                </c:pt>
                <c:pt idx="49">
                  <c:v>上海市</c:v>
                </c:pt>
                <c:pt idx="50">
                  <c:v>大连市</c:v>
                </c:pt>
                <c:pt idx="51">
                  <c:v>三亚市</c:v>
                </c:pt>
                <c:pt idx="52">
                  <c:v>常州市</c:v>
                </c:pt>
                <c:pt idx="53">
                  <c:v>重庆市</c:v>
                </c:pt>
                <c:pt idx="54">
                  <c:v>鄂尔多斯市</c:v>
                </c:pt>
                <c:pt idx="55">
                  <c:v>潍坊市</c:v>
                </c:pt>
                <c:pt idx="56">
                  <c:v>昆明市</c:v>
                </c:pt>
                <c:pt idx="57">
                  <c:v>遵义市</c:v>
                </c:pt>
                <c:pt idx="58">
                  <c:v>汕头市</c:v>
                </c:pt>
                <c:pt idx="59">
                  <c:v>广州市</c:v>
                </c:pt>
                <c:pt idx="60">
                  <c:v>松原市</c:v>
                </c:pt>
                <c:pt idx="61">
                  <c:v>唐山市</c:v>
                </c:pt>
                <c:pt idx="62">
                  <c:v>徐州市</c:v>
                </c:pt>
                <c:pt idx="63">
                  <c:v>呼和浩特市</c:v>
                </c:pt>
                <c:pt idx="64">
                  <c:v>洛阳市</c:v>
                </c:pt>
                <c:pt idx="65">
                  <c:v>南昌市</c:v>
                </c:pt>
                <c:pt idx="66">
                  <c:v>拉萨市</c:v>
                </c:pt>
                <c:pt idx="67">
                  <c:v>宁波市</c:v>
                </c:pt>
                <c:pt idx="68">
                  <c:v>南京市</c:v>
                </c:pt>
                <c:pt idx="69">
                  <c:v>鞍山市</c:v>
                </c:pt>
                <c:pt idx="70">
                  <c:v>济宁市</c:v>
                </c:pt>
                <c:pt idx="71">
                  <c:v>天水市</c:v>
                </c:pt>
                <c:pt idx="72">
                  <c:v>海口市</c:v>
                </c:pt>
                <c:pt idx="73">
                  <c:v>海西蒙古族藏族自治州</c:v>
                </c:pt>
                <c:pt idx="74">
                  <c:v>南通市</c:v>
                </c:pt>
                <c:pt idx="75">
                  <c:v>柳州市</c:v>
                </c:pt>
                <c:pt idx="76">
                  <c:v>渭南市</c:v>
                </c:pt>
                <c:pt idx="77">
                  <c:v>成都市</c:v>
                </c:pt>
                <c:pt idx="78">
                  <c:v>包头市</c:v>
                </c:pt>
                <c:pt idx="79">
                  <c:v>山南市</c:v>
                </c:pt>
                <c:pt idx="80">
                  <c:v>济南市</c:v>
                </c:pt>
                <c:pt idx="81">
                  <c:v>绍兴市</c:v>
                </c:pt>
                <c:pt idx="82">
                  <c:v>日喀则市</c:v>
                </c:pt>
                <c:pt idx="83">
                  <c:v>温州市</c:v>
                </c:pt>
                <c:pt idx="84">
                  <c:v>南宁市</c:v>
                </c:pt>
                <c:pt idx="85">
                  <c:v>银川市</c:v>
                </c:pt>
                <c:pt idx="86">
                  <c:v>金华市</c:v>
                </c:pt>
                <c:pt idx="87">
                  <c:v>赣州市</c:v>
                </c:pt>
                <c:pt idx="88">
                  <c:v>石嘴山市</c:v>
                </c:pt>
                <c:pt idx="89">
                  <c:v>临沂市</c:v>
                </c:pt>
                <c:pt idx="90">
                  <c:v>嘉兴市</c:v>
                </c:pt>
                <c:pt idx="91">
                  <c:v>阜阳市</c:v>
                </c:pt>
                <c:pt idx="92">
                  <c:v>厦门市</c:v>
                </c:pt>
                <c:pt idx="93">
                  <c:v>沈阳市</c:v>
                </c:pt>
                <c:pt idx="94">
                  <c:v>芜湖市</c:v>
                </c:pt>
                <c:pt idx="95">
                  <c:v>西安市</c:v>
                </c:pt>
                <c:pt idx="96">
                  <c:v>吴忠市</c:v>
                </c:pt>
                <c:pt idx="97">
                  <c:v>淄博市</c:v>
                </c:pt>
                <c:pt idx="98">
                  <c:v>克拉玛依市</c:v>
                </c:pt>
                <c:pt idx="99">
                  <c:v>乌鲁木齐市</c:v>
                </c:pt>
              </c:strCache>
            </c:strRef>
          </c:cat>
          <c:val>
            <c:numRef>
              <c:f>Sheet1!$C$2:$C$101</c:f>
              <c:numCache>
                <c:formatCode>0.00_);[Red]\(0.00\)</c:formatCode>
                <c:ptCount val="100"/>
                <c:pt idx="0">
                  <c:v>83.349280604253593</c:v>
                </c:pt>
                <c:pt idx="1">
                  <c:v>69.479593042682495</c:v>
                </c:pt>
                <c:pt idx="2">
                  <c:v>76.790118372515195</c:v>
                </c:pt>
                <c:pt idx="3">
                  <c:v>82.859875309454495</c:v>
                </c:pt>
                <c:pt idx="4">
                  <c:v>81.370444589949997</c:v>
                </c:pt>
                <c:pt idx="5">
                  <c:v>80.774802681040597</c:v>
                </c:pt>
                <c:pt idx="6">
                  <c:v>70.612957052035</c:v>
                </c:pt>
                <c:pt idx="7">
                  <c:v>79.503552390965396</c:v>
                </c:pt>
                <c:pt idx="8">
                  <c:v>75.569804574537798</c:v>
                </c:pt>
                <c:pt idx="9">
                  <c:v>71.115268415820495</c:v>
                </c:pt>
                <c:pt idx="10">
                  <c:v>83.111588621844803</c:v>
                </c:pt>
                <c:pt idx="11">
                  <c:v>79.010139857966905</c:v>
                </c:pt>
                <c:pt idx="12">
                  <c:v>78.615274426948304</c:v>
                </c:pt>
                <c:pt idx="13">
                  <c:v>79.922906481086898</c:v>
                </c:pt>
                <c:pt idx="14">
                  <c:v>76.203217516496693</c:v>
                </c:pt>
                <c:pt idx="15">
                  <c:v>73.670571239546405</c:v>
                </c:pt>
                <c:pt idx="16">
                  <c:v>77.9340542007712</c:v>
                </c:pt>
                <c:pt idx="17">
                  <c:v>81.284315462638006</c:v>
                </c:pt>
                <c:pt idx="18">
                  <c:v>76.852340368672003</c:v>
                </c:pt>
                <c:pt idx="19">
                  <c:v>82.184969228886899</c:v>
                </c:pt>
                <c:pt idx="20">
                  <c:v>77.538532270684499</c:v>
                </c:pt>
                <c:pt idx="21">
                  <c:v>77.502582367092501</c:v>
                </c:pt>
                <c:pt idx="22">
                  <c:v>73.125839847067994</c:v>
                </c:pt>
                <c:pt idx="23">
                  <c:v>77.259312093337002</c:v>
                </c:pt>
                <c:pt idx="24">
                  <c:v>75.917255574601398</c:v>
                </c:pt>
                <c:pt idx="25">
                  <c:v>76.432281033431707</c:v>
                </c:pt>
                <c:pt idx="26">
                  <c:v>74.344800443456506</c:v>
                </c:pt>
                <c:pt idx="27">
                  <c:v>76.289398832754799</c:v>
                </c:pt>
                <c:pt idx="28">
                  <c:v>79.200744520569202</c:v>
                </c:pt>
                <c:pt idx="29">
                  <c:v>73.857220377229794</c:v>
                </c:pt>
                <c:pt idx="30">
                  <c:v>75.925688072673694</c:v>
                </c:pt>
                <c:pt idx="31">
                  <c:v>84.173652273523899</c:v>
                </c:pt>
                <c:pt idx="32">
                  <c:v>82.669073132137697</c:v>
                </c:pt>
                <c:pt idx="33">
                  <c:v>77.805318009733398</c:v>
                </c:pt>
                <c:pt idx="34">
                  <c:v>78.585874424886001</c:v>
                </c:pt>
                <c:pt idx="35">
                  <c:v>79.465860931301293</c:v>
                </c:pt>
                <c:pt idx="36">
                  <c:v>78.771310567780702</c:v>
                </c:pt>
                <c:pt idx="37">
                  <c:v>79.085858086265503</c:v>
                </c:pt>
                <c:pt idx="38">
                  <c:v>77.776775992929899</c:v>
                </c:pt>
                <c:pt idx="39">
                  <c:v>86.668261737687004</c:v>
                </c:pt>
                <c:pt idx="40">
                  <c:v>74.903833507111798</c:v>
                </c:pt>
                <c:pt idx="41">
                  <c:v>78.7815011203392</c:v>
                </c:pt>
                <c:pt idx="42">
                  <c:v>76.947395458365605</c:v>
                </c:pt>
                <c:pt idx="43">
                  <c:v>76.400811239888</c:v>
                </c:pt>
                <c:pt idx="44">
                  <c:v>76.501820568697994</c:v>
                </c:pt>
                <c:pt idx="45">
                  <c:v>75.619463495554001</c:v>
                </c:pt>
                <c:pt idx="46">
                  <c:v>76.4148859555428</c:v>
                </c:pt>
                <c:pt idx="47">
                  <c:v>74.472446536218698</c:v>
                </c:pt>
                <c:pt idx="48">
                  <c:v>77.576111364914894</c:v>
                </c:pt>
                <c:pt idx="49">
                  <c:v>83.650345208464302</c:v>
                </c:pt>
                <c:pt idx="50">
                  <c:v>75.489114575167306</c:v>
                </c:pt>
                <c:pt idx="51">
                  <c:v>76.140431309815696</c:v>
                </c:pt>
                <c:pt idx="52">
                  <c:v>82.9702812737344</c:v>
                </c:pt>
                <c:pt idx="53">
                  <c:v>77.917163137744495</c:v>
                </c:pt>
                <c:pt idx="54">
                  <c:v>79.154879802716195</c:v>
                </c:pt>
                <c:pt idx="55">
                  <c:v>81.348016042471897</c:v>
                </c:pt>
                <c:pt idx="56">
                  <c:v>69.873695163675094</c:v>
                </c:pt>
                <c:pt idx="57">
                  <c:v>72.212720352668995</c:v>
                </c:pt>
                <c:pt idx="58">
                  <c:v>73.215762205025896</c:v>
                </c:pt>
                <c:pt idx="59">
                  <c:v>77.431681094778895</c:v>
                </c:pt>
                <c:pt idx="60">
                  <c:v>73.361113338601299</c:v>
                </c:pt>
                <c:pt idx="61">
                  <c:v>73.535995135136801</c:v>
                </c:pt>
                <c:pt idx="62">
                  <c:v>78.073329580217006</c:v>
                </c:pt>
                <c:pt idx="63">
                  <c:v>74.389658032498502</c:v>
                </c:pt>
                <c:pt idx="64">
                  <c:v>81.841719895995894</c:v>
                </c:pt>
                <c:pt idx="65">
                  <c:v>80.226590835029299</c:v>
                </c:pt>
                <c:pt idx="66">
                  <c:v>81.192651799209798</c:v>
                </c:pt>
                <c:pt idx="67">
                  <c:v>82.494506879446305</c:v>
                </c:pt>
                <c:pt idx="68">
                  <c:v>86.082322081101495</c:v>
                </c:pt>
                <c:pt idx="69">
                  <c:v>80.1686928168441</c:v>
                </c:pt>
                <c:pt idx="70">
                  <c:v>82.318561728039796</c:v>
                </c:pt>
                <c:pt idx="71">
                  <c:v>80.105771873329203</c:v>
                </c:pt>
                <c:pt idx="72">
                  <c:v>79.895881929755305</c:v>
                </c:pt>
                <c:pt idx="73">
                  <c:v>81.775758716695293</c:v>
                </c:pt>
                <c:pt idx="74">
                  <c:v>82.015341753679706</c:v>
                </c:pt>
                <c:pt idx="75">
                  <c:v>80.213857400601697</c:v>
                </c:pt>
                <c:pt idx="76">
                  <c:v>81.137487265999596</c:v>
                </c:pt>
                <c:pt idx="77">
                  <c:v>82.203432436222002</c:v>
                </c:pt>
                <c:pt idx="78">
                  <c:v>80.984999710670706</c:v>
                </c:pt>
                <c:pt idx="79">
                  <c:v>82.657712566023207</c:v>
                </c:pt>
                <c:pt idx="80">
                  <c:v>82.766681794567404</c:v>
                </c:pt>
                <c:pt idx="81">
                  <c:v>81.828459331355702</c:v>
                </c:pt>
                <c:pt idx="82">
                  <c:v>82.309282690460606</c:v>
                </c:pt>
                <c:pt idx="83">
                  <c:v>82.267725251431401</c:v>
                </c:pt>
                <c:pt idx="84">
                  <c:v>82.651781497108004</c:v>
                </c:pt>
                <c:pt idx="85">
                  <c:v>81.144731327987699</c:v>
                </c:pt>
                <c:pt idx="86">
                  <c:v>82.474345632648806</c:v>
                </c:pt>
                <c:pt idx="87">
                  <c:v>81.059732723457401</c:v>
                </c:pt>
                <c:pt idx="88">
                  <c:v>80.763897913047003</c:v>
                </c:pt>
                <c:pt idx="89">
                  <c:v>81.045339467010507</c:v>
                </c:pt>
                <c:pt idx="90">
                  <c:v>82.766258636432894</c:v>
                </c:pt>
                <c:pt idx="91">
                  <c:v>79.325894741144893</c:v>
                </c:pt>
                <c:pt idx="92">
                  <c:v>84.200934972443704</c:v>
                </c:pt>
                <c:pt idx="93">
                  <c:v>82.5115644352462</c:v>
                </c:pt>
                <c:pt idx="94">
                  <c:v>82.428314075867306</c:v>
                </c:pt>
                <c:pt idx="95">
                  <c:v>76.785803703955594</c:v>
                </c:pt>
                <c:pt idx="96">
                  <c:v>83.810376212765306</c:v>
                </c:pt>
                <c:pt idx="97">
                  <c:v>82.229778385615901</c:v>
                </c:pt>
                <c:pt idx="98">
                  <c:v>81.823963952450796</c:v>
                </c:pt>
                <c:pt idx="99">
                  <c:v>79.822819355996998</c:v>
                </c:pt>
              </c:numCache>
            </c:numRef>
          </c:val>
          <c:smooth val="1"/>
          <c:extLst>
            <c:ext xmlns:c16="http://schemas.microsoft.com/office/drawing/2014/chart" uri="{C3380CC4-5D6E-409C-BE32-E72D297353CC}">
              <c16:uniqueId val="{00000001-5AAD-44DF-BCE9-03062673BDF6}"/>
            </c:ext>
          </c:extLst>
        </c:ser>
        <c:ser>
          <c:idx val="2"/>
          <c:order val="2"/>
          <c:tx>
            <c:strRef>
              <c:f>Sheet1!$D$1</c:f>
              <c:strCache>
                <c:ptCount val="1"/>
                <c:pt idx="0">
                  <c:v>2019</c:v>
                </c:pt>
              </c:strCache>
            </c:strRef>
          </c:tx>
          <c:spPr>
            <a:ln w="28575" cap="rnd">
              <a:solidFill>
                <a:schemeClr val="accent5"/>
              </a:solidFill>
              <a:round/>
            </a:ln>
            <a:effectLst/>
          </c:spPr>
          <c:marker>
            <c:symbol val="none"/>
          </c:marker>
          <c:cat>
            <c:strRef>
              <c:f>Sheet1!$A$2:$A$101</c:f>
              <c:strCache>
                <c:ptCount val="100"/>
                <c:pt idx="0">
                  <c:v>苏州市</c:v>
                </c:pt>
                <c:pt idx="1">
                  <c:v>贵阳市</c:v>
                </c:pt>
                <c:pt idx="2">
                  <c:v>吉林市</c:v>
                </c:pt>
                <c:pt idx="3">
                  <c:v>无锡市</c:v>
                </c:pt>
                <c:pt idx="4">
                  <c:v>宜昌市</c:v>
                </c:pt>
                <c:pt idx="5">
                  <c:v>佛山市</c:v>
                </c:pt>
                <c:pt idx="6">
                  <c:v>衡阳市</c:v>
                </c:pt>
                <c:pt idx="7">
                  <c:v>岳阳市</c:v>
                </c:pt>
                <c:pt idx="8">
                  <c:v>保定市</c:v>
                </c:pt>
                <c:pt idx="9">
                  <c:v>邯郸市</c:v>
                </c:pt>
                <c:pt idx="10">
                  <c:v>烟台市</c:v>
                </c:pt>
                <c:pt idx="11">
                  <c:v>南充市</c:v>
                </c:pt>
                <c:pt idx="12">
                  <c:v>太原市</c:v>
                </c:pt>
                <c:pt idx="13">
                  <c:v>襄阳市</c:v>
                </c:pt>
                <c:pt idx="14">
                  <c:v>东莞市</c:v>
                </c:pt>
                <c:pt idx="15">
                  <c:v>长春市</c:v>
                </c:pt>
                <c:pt idx="16">
                  <c:v>武汉市</c:v>
                </c:pt>
                <c:pt idx="17">
                  <c:v>天津市</c:v>
                </c:pt>
                <c:pt idx="18">
                  <c:v>郑州市</c:v>
                </c:pt>
                <c:pt idx="19">
                  <c:v>泉州市</c:v>
                </c:pt>
                <c:pt idx="20">
                  <c:v>哈尔滨市</c:v>
                </c:pt>
                <c:pt idx="21">
                  <c:v>上饶市</c:v>
                </c:pt>
                <c:pt idx="22">
                  <c:v>合肥市</c:v>
                </c:pt>
                <c:pt idx="23">
                  <c:v>大同市</c:v>
                </c:pt>
                <c:pt idx="24">
                  <c:v>绵阳市</c:v>
                </c:pt>
                <c:pt idx="25">
                  <c:v>长沙市</c:v>
                </c:pt>
                <c:pt idx="26">
                  <c:v>玉溪市</c:v>
                </c:pt>
                <c:pt idx="27">
                  <c:v>庆阳市</c:v>
                </c:pt>
                <c:pt idx="28">
                  <c:v>石家庄市</c:v>
                </c:pt>
                <c:pt idx="29">
                  <c:v>桂林市</c:v>
                </c:pt>
                <c:pt idx="30">
                  <c:v>宝鸡市</c:v>
                </c:pt>
                <c:pt idx="31">
                  <c:v>青岛市</c:v>
                </c:pt>
                <c:pt idx="32">
                  <c:v>北京市</c:v>
                </c:pt>
                <c:pt idx="33">
                  <c:v>大庆市</c:v>
                </c:pt>
                <c:pt idx="34">
                  <c:v>盐城市</c:v>
                </c:pt>
                <c:pt idx="35">
                  <c:v>西宁市</c:v>
                </c:pt>
                <c:pt idx="36">
                  <c:v>深圳市</c:v>
                </c:pt>
                <c:pt idx="37">
                  <c:v>毕节市</c:v>
                </c:pt>
                <c:pt idx="38">
                  <c:v>齐齐哈尔市</c:v>
                </c:pt>
                <c:pt idx="39">
                  <c:v>杭州市</c:v>
                </c:pt>
                <c:pt idx="40">
                  <c:v>台州市</c:v>
                </c:pt>
                <c:pt idx="41">
                  <c:v>儋州市</c:v>
                </c:pt>
                <c:pt idx="42">
                  <c:v>海东市</c:v>
                </c:pt>
                <c:pt idx="43">
                  <c:v>曲靖市</c:v>
                </c:pt>
                <c:pt idx="44">
                  <c:v>运城市</c:v>
                </c:pt>
                <c:pt idx="45">
                  <c:v>哈密市</c:v>
                </c:pt>
                <c:pt idx="46">
                  <c:v>福州市</c:v>
                </c:pt>
                <c:pt idx="47">
                  <c:v>兰州市</c:v>
                </c:pt>
                <c:pt idx="48">
                  <c:v>南阳市</c:v>
                </c:pt>
                <c:pt idx="49">
                  <c:v>上海市</c:v>
                </c:pt>
                <c:pt idx="50">
                  <c:v>大连市</c:v>
                </c:pt>
                <c:pt idx="51">
                  <c:v>三亚市</c:v>
                </c:pt>
                <c:pt idx="52">
                  <c:v>常州市</c:v>
                </c:pt>
                <c:pt idx="53">
                  <c:v>重庆市</c:v>
                </c:pt>
                <c:pt idx="54">
                  <c:v>鄂尔多斯市</c:v>
                </c:pt>
                <c:pt idx="55">
                  <c:v>潍坊市</c:v>
                </c:pt>
                <c:pt idx="56">
                  <c:v>昆明市</c:v>
                </c:pt>
                <c:pt idx="57">
                  <c:v>遵义市</c:v>
                </c:pt>
                <c:pt idx="58">
                  <c:v>汕头市</c:v>
                </c:pt>
                <c:pt idx="59">
                  <c:v>广州市</c:v>
                </c:pt>
                <c:pt idx="60">
                  <c:v>松原市</c:v>
                </c:pt>
                <c:pt idx="61">
                  <c:v>唐山市</c:v>
                </c:pt>
                <c:pt idx="62">
                  <c:v>徐州市</c:v>
                </c:pt>
                <c:pt idx="63">
                  <c:v>呼和浩特市</c:v>
                </c:pt>
                <c:pt idx="64">
                  <c:v>洛阳市</c:v>
                </c:pt>
                <c:pt idx="65">
                  <c:v>南昌市</c:v>
                </c:pt>
                <c:pt idx="66">
                  <c:v>拉萨市</c:v>
                </c:pt>
                <c:pt idx="67">
                  <c:v>宁波市</c:v>
                </c:pt>
                <c:pt idx="68">
                  <c:v>南京市</c:v>
                </c:pt>
                <c:pt idx="69">
                  <c:v>鞍山市</c:v>
                </c:pt>
                <c:pt idx="70">
                  <c:v>济宁市</c:v>
                </c:pt>
                <c:pt idx="71">
                  <c:v>天水市</c:v>
                </c:pt>
                <c:pt idx="72">
                  <c:v>海口市</c:v>
                </c:pt>
                <c:pt idx="73">
                  <c:v>海西蒙古族藏族自治州</c:v>
                </c:pt>
                <c:pt idx="74">
                  <c:v>南通市</c:v>
                </c:pt>
                <c:pt idx="75">
                  <c:v>柳州市</c:v>
                </c:pt>
                <c:pt idx="76">
                  <c:v>渭南市</c:v>
                </c:pt>
                <c:pt idx="77">
                  <c:v>成都市</c:v>
                </c:pt>
                <c:pt idx="78">
                  <c:v>包头市</c:v>
                </c:pt>
                <c:pt idx="79">
                  <c:v>山南市</c:v>
                </c:pt>
                <c:pt idx="80">
                  <c:v>济南市</c:v>
                </c:pt>
                <c:pt idx="81">
                  <c:v>绍兴市</c:v>
                </c:pt>
                <c:pt idx="82">
                  <c:v>日喀则市</c:v>
                </c:pt>
                <c:pt idx="83">
                  <c:v>温州市</c:v>
                </c:pt>
                <c:pt idx="84">
                  <c:v>南宁市</c:v>
                </c:pt>
                <c:pt idx="85">
                  <c:v>银川市</c:v>
                </c:pt>
                <c:pt idx="86">
                  <c:v>金华市</c:v>
                </c:pt>
                <c:pt idx="87">
                  <c:v>赣州市</c:v>
                </c:pt>
                <c:pt idx="88">
                  <c:v>石嘴山市</c:v>
                </c:pt>
                <c:pt idx="89">
                  <c:v>临沂市</c:v>
                </c:pt>
                <c:pt idx="90">
                  <c:v>嘉兴市</c:v>
                </c:pt>
                <c:pt idx="91">
                  <c:v>阜阳市</c:v>
                </c:pt>
                <c:pt idx="92">
                  <c:v>厦门市</c:v>
                </c:pt>
                <c:pt idx="93">
                  <c:v>沈阳市</c:v>
                </c:pt>
                <c:pt idx="94">
                  <c:v>芜湖市</c:v>
                </c:pt>
                <c:pt idx="95">
                  <c:v>西安市</c:v>
                </c:pt>
                <c:pt idx="96">
                  <c:v>吴忠市</c:v>
                </c:pt>
                <c:pt idx="97">
                  <c:v>淄博市</c:v>
                </c:pt>
                <c:pt idx="98">
                  <c:v>克拉玛依市</c:v>
                </c:pt>
                <c:pt idx="99">
                  <c:v>乌鲁木齐市</c:v>
                </c:pt>
              </c:strCache>
            </c:strRef>
          </c:cat>
          <c:val>
            <c:numRef>
              <c:f>Sheet1!$D$2:$D$101</c:f>
              <c:numCache>
                <c:formatCode>0.00_);[Red]\(0.00\)</c:formatCode>
                <c:ptCount val="100"/>
                <c:pt idx="0">
                  <c:v>74.84</c:v>
                </c:pt>
                <c:pt idx="1">
                  <c:v>68.150000000000006</c:v>
                </c:pt>
                <c:pt idx="2">
                  <c:v>68.510000000000005</c:v>
                </c:pt>
                <c:pt idx="3">
                  <c:v>75.989999999999995</c:v>
                </c:pt>
                <c:pt idx="4">
                  <c:v>72.87</c:v>
                </c:pt>
                <c:pt idx="5">
                  <c:v>72.569999999999993</c:v>
                </c:pt>
                <c:pt idx="6">
                  <c:v>68.459999999999994</c:v>
                </c:pt>
                <c:pt idx="7">
                  <c:v>72.67</c:v>
                </c:pt>
                <c:pt idx="8">
                  <c:v>70.42</c:v>
                </c:pt>
                <c:pt idx="9">
                  <c:v>70.72</c:v>
                </c:pt>
                <c:pt idx="10">
                  <c:v>77.73</c:v>
                </c:pt>
                <c:pt idx="11">
                  <c:v>71.86</c:v>
                </c:pt>
                <c:pt idx="12">
                  <c:v>72.510000000000005</c:v>
                </c:pt>
                <c:pt idx="13">
                  <c:v>73.569999999999993</c:v>
                </c:pt>
                <c:pt idx="14">
                  <c:v>72.19</c:v>
                </c:pt>
                <c:pt idx="15">
                  <c:v>72.239999999999995</c:v>
                </c:pt>
                <c:pt idx="16">
                  <c:v>73.400000000000006</c:v>
                </c:pt>
                <c:pt idx="17">
                  <c:v>75.010000000000005</c:v>
                </c:pt>
                <c:pt idx="18">
                  <c:v>72.989999999999995</c:v>
                </c:pt>
                <c:pt idx="19">
                  <c:v>75.97</c:v>
                </c:pt>
                <c:pt idx="20">
                  <c:v>73.989999999999995</c:v>
                </c:pt>
                <c:pt idx="21">
                  <c:v>73.63</c:v>
                </c:pt>
                <c:pt idx="22">
                  <c:v>72.680000000000007</c:v>
                </c:pt>
                <c:pt idx="23">
                  <c:v>73.73</c:v>
                </c:pt>
                <c:pt idx="24">
                  <c:v>72.819999999999993</c:v>
                </c:pt>
                <c:pt idx="25">
                  <c:v>72.95</c:v>
                </c:pt>
                <c:pt idx="26">
                  <c:v>72.459999999999994</c:v>
                </c:pt>
                <c:pt idx="27">
                  <c:v>70.97</c:v>
                </c:pt>
                <c:pt idx="28">
                  <c:v>74.290000000000006</c:v>
                </c:pt>
                <c:pt idx="29">
                  <c:v>73.13</c:v>
                </c:pt>
                <c:pt idx="30">
                  <c:v>71.819999999999993</c:v>
                </c:pt>
                <c:pt idx="31">
                  <c:v>81.489999999999995</c:v>
                </c:pt>
                <c:pt idx="32">
                  <c:v>78.150000000000006</c:v>
                </c:pt>
                <c:pt idx="33">
                  <c:v>75.180000000000007</c:v>
                </c:pt>
                <c:pt idx="34">
                  <c:v>75.5</c:v>
                </c:pt>
                <c:pt idx="35">
                  <c:v>74.819999999999993</c:v>
                </c:pt>
                <c:pt idx="36">
                  <c:v>75.86</c:v>
                </c:pt>
                <c:pt idx="37">
                  <c:v>74.31</c:v>
                </c:pt>
                <c:pt idx="38">
                  <c:v>74.459999999999994</c:v>
                </c:pt>
                <c:pt idx="39">
                  <c:v>82.33</c:v>
                </c:pt>
                <c:pt idx="40">
                  <c:v>74.599999999999994</c:v>
                </c:pt>
                <c:pt idx="41">
                  <c:v>74.09</c:v>
                </c:pt>
                <c:pt idx="42">
                  <c:v>74.67</c:v>
                </c:pt>
                <c:pt idx="43">
                  <c:v>74.55</c:v>
                </c:pt>
                <c:pt idx="44">
                  <c:v>74.040000000000006</c:v>
                </c:pt>
                <c:pt idx="45">
                  <c:v>75.05</c:v>
                </c:pt>
                <c:pt idx="46">
                  <c:v>75.27</c:v>
                </c:pt>
                <c:pt idx="47">
                  <c:v>74.39</c:v>
                </c:pt>
                <c:pt idx="48">
                  <c:v>75.64</c:v>
                </c:pt>
                <c:pt idx="49">
                  <c:v>81.25</c:v>
                </c:pt>
                <c:pt idx="50">
                  <c:v>75.430000000000007</c:v>
                </c:pt>
                <c:pt idx="51">
                  <c:v>74.790000000000006</c:v>
                </c:pt>
                <c:pt idx="52">
                  <c:v>82.72</c:v>
                </c:pt>
                <c:pt idx="53">
                  <c:v>76.59</c:v>
                </c:pt>
                <c:pt idx="54">
                  <c:v>78.19</c:v>
                </c:pt>
                <c:pt idx="55">
                  <c:v>81.16</c:v>
                </c:pt>
                <c:pt idx="56">
                  <c:v>69.92</c:v>
                </c:pt>
                <c:pt idx="57">
                  <c:v>73.38</c:v>
                </c:pt>
                <c:pt idx="58">
                  <c:v>76.400000000000006</c:v>
                </c:pt>
                <c:pt idx="59">
                  <c:v>78.89</c:v>
                </c:pt>
                <c:pt idx="60">
                  <c:v>75.47</c:v>
                </c:pt>
                <c:pt idx="61">
                  <c:v>76.790000000000006</c:v>
                </c:pt>
                <c:pt idx="62">
                  <c:v>79.2</c:v>
                </c:pt>
                <c:pt idx="63">
                  <c:v>76.8</c:v>
                </c:pt>
                <c:pt idx="64">
                  <c:v>70.36</c:v>
                </c:pt>
                <c:pt idx="65">
                  <c:v>71.16</c:v>
                </c:pt>
                <c:pt idx="66">
                  <c:v>72.42</c:v>
                </c:pt>
                <c:pt idx="67">
                  <c:v>75.05</c:v>
                </c:pt>
                <c:pt idx="68">
                  <c:v>78.77</c:v>
                </c:pt>
                <c:pt idx="69">
                  <c:v>73</c:v>
                </c:pt>
                <c:pt idx="70">
                  <c:v>75.58</c:v>
                </c:pt>
                <c:pt idx="71">
                  <c:v>73.88</c:v>
                </c:pt>
                <c:pt idx="72">
                  <c:v>71.19</c:v>
                </c:pt>
                <c:pt idx="73">
                  <c:v>74.42</c:v>
                </c:pt>
                <c:pt idx="74">
                  <c:v>75.97</c:v>
                </c:pt>
                <c:pt idx="75">
                  <c:v>75.37</c:v>
                </c:pt>
                <c:pt idx="76">
                  <c:v>75.77</c:v>
                </c:pt>
                <c:pt idx="77">
                  <c:v>77.739999999999995</c:v>
                </c:pt>
                <c:pt idx="78">
                  <c:v>75.88</c:v>
                </c:pt>
                <c:pt idx="79">
                  <c:v>76.73</c:v>
                </c:pt>
                <c:pt idx="80">
                  <c:v>76.989999999999995</c:v>
                </c:pt>
                <c:pt idx="81">
                  <c:v>77.55</c:v>
                </c:pt>
                <c:pt idx="82">
                  <c:v>77.38</c:v>
                </c:pt>
                <c:pt idx="83">
                  <c:v>77.81</c:v>
                </c:pt>
                <c:pt idx="84">
                  <c:v>78.08</c:v>
                </c:pt>
                <c:pt idx="85">
                  <c:v>77.3</c:v>
                </c:pt>
                <c:pt idx="86">
                  <c:v>79.010000000000005</c:v>
                </c:pt>
                <c:pt idx="87">
                  <c:v>76.66</c:v>
                </c:pt>
                <c:pt idx="88">
                  <c:v>76.599999999999994</c:v>
                </c:pt>
                <c:pt idx="89">
                  <c:v>78.7</c:v>
                </c:pt>
                <c:pt idx="90">
                  <c:v>79.52</c:v>
                </c:pt>
                <c:pt idx="91">
                  <c:v>76.930000000000007</c:v>
                </c:pt>
                <c:pt idx="92">
                  <c:v>81.48</c:v>
                </c:pt>
                <c:pt idx="93">
                  <c:v>79.47</c:v>
                </c:pt>
                <c:pt idx="94">
                  <c:v>79.08</c:v>
                </c:pt>
                <c:pt idx="95">
                  <c:v>76</c:v>
                </c:pt>
                <c:pt idx="96">
                  <c:v>80.73</c:v>
                </c:pt>
                <c:pt idx="97">
                  <c:v>79.97</c:v>
                </c:pt>
                <c:pt idx="98">
                  <c:v>80.75</c:v>
                </c:pt>
                <c:pt idx="99">
                  <c:v>78.25</c:v>
                </c:pt>
              </c:numCache>
            </c:numRef>
          </c:val>
          <c:smooth val="1"/>
          <c:extLst>
            <c:ext xmlns:c16="http://schemas.microsoft.com/office/drawing/2014/chart" uri="{C3380CC4-5D6E-409C-BE32-E72D297353CC}">
              <c16:uniqueId val="{00000002-5AAD-44DF-BCE9-03062673BDF6}"/>
            </c:ext>
          </c:extLst>
        </c:ser>
        <c:dLbls>
          <c:showLegendKey val="0"/>
          <c:showVal val="0"/>
          <c:showCatName val="0"/>
          <c:showSerName val="0"/>
          <c:showPercent val="0"/>
          <c:showBubbleSize val="0"/>
        </c:dLbls>
        <c:smooth val="0"/>
        <c:axId val="766188246"/>
        <c:axId val="900366245"/>
      </c:lineChart>
      <c:catAx>
        <c:axId val="766188246"/>
        <c:scaling>
          <c:orientation val="minMax"/>
        </c:scaling>
        <c:delete val="0"/>
        <c:axPos val="b"/>
        <c:numFmt formatCode="General" sourceLinked="0"/>
        <c:majorTickMark val="none"/>
        <c:minorTickMark val="none"/>
        <c:tickLblPos val="nextTo"/>
        <c:spPr>
          <a:noFill/>
          <a:ln w="9525" cap="flat" cmpd="sng" algn="ctr">
            <a:solidFill>
              <a:srgbClr val="FF0000"/>
            </a:solidFill>
            <a:round/>
          </a:ln>
          <a:effectLst/>
        </c:spPr>
        <c:txPr>
          <a:bodyPr rot="0" spcFirstLastPara="0" vertOverflow="ellipsis" vert="eaVert" wrap="square" anchor="ctr" anchorCtr="1"/>
          <a:lstStyle/>
          <a:p>
            <a:pPr>
              <a:defRPr lang="zh-CN" sz="500" b="0" i="0" u="none" strike="noStrike" kern="1200" baseline="0">
                <a:solidFill>
                  <a:schemeClr val="tx1">
                    <a:lumMod val="65000"/>
                    <a:lumOff val="35000"/>
                  </a:schemeClr>
                </a:solidFill>
                <a:latin typeface="+mn-lt"/>
                <a:ea typeface="+mn-ea"/>
                <a:cs typeface="+mn-cs"/>
              </a:defRPr>
            </a:pPr>
            <a:endParaRPr lang="zh-CN"/>
          </a:p>
        </c:txPr>
        <c:crossAx val="900366245"/>
        <c:crosses val="autoZero"/>
        <c:auto val="1"/>
        <c:lblAlgn val="ctr"/>
        <c:lblOffset val="100"/>
        <c:noMultiLvlLbl val="0"/>
      </c:catAx>
      <c:valAx>
        <c:axId val="900366245"/>
        <c:scaling>
          <c:orientation val="minMax"/>
          <c:max val="95"/>
          <c:min val="55"/>
        </c:scaling>
        <c:delete val="0"/>
        <c:axPos val="l"/>
        <c:numFmt formatCode="General"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6188246"/>
        <c:crosses val="autoZero"/>
        <c:crossBetween val="between"/>
      </c:valAx>
      <c:spPr>
        <a:noFill/>
        <a:ln>
          <a:solidFill>
            <a:srgbClr val="FF0000"/>
          </a:solid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非常乐观</c:v>
                </c:pt>
                <c:pt idx="1">
                  <c:v>比较乐观</c:v>
                </c:pt>
                <c:pt idx="2">
                  <c:v>一般</c:v>
                </c:pt>
                <c:pt idx="3">
                  <c:v>不太乐观</c:v>
                </c:pt>
                <c:pt idx="4">
                  <c:v>非常不乐观</c:v>
                </c:pt>
                <c:pt idx="5">
                  <c:v>说不清楚</c:v>
                </c:pt>
              </c:strCache>
            </c:strRef>
          </c:cat>
          <c:val>
            <c:numRef>
              <c:f>Sheet1!$B$2:$B$7</c:f>
              <c:numCache>
                <c:formatCode>0.0%</c:formatCode>
                <c:ptCount val="6"/>
                <c:pt idx="0">
                  <c:v>0.23186917487435599</c:v>
                </c:pt>
                <c:pt idx="1">
                  <c:v>0.54015155051424502</c:v>
                </c:pt>
                <c:pt idx="2">
                  <c:v>7.0173800743748904E-2</c:v>
                </c:pt>
                <c:pt idx="3">
                  <c:v>0.13639546282033299</c:v>
                </c:pt>
                <c:pt idx="4">
                  <c:v>1.4345952169786401E-2</c:v>
                </c:pt>
                <c:pt idx="5">
                  <c:v>7.0640588775303798E-3</c:v>
                </c:pt>
              </c:numCache>
            </c:numRef>
          </c:val>
          <c:extLst>
            <c:ext xmlns:c16="http://schemas.microsoft.com/office/drawing/2014/chart" uri="{C3380CC4-5D6E-409C-BE32-E72D297353CC}">
              <c16:uniqueId val="{00000000-51CA-4C2A-88BB-5DD8E26FDE7C}"/>
            </c:ext>
          </c:extLst>
        </c:ser>
        <c:ser>
          <c:idx val="1"/>
          <c:order val="1"/>
          <c:tx>
            <c:strRef>
              <c:f>Sheet1!$C$1</c:f>
              <c:strCache>
                <c:ptCount val="1"/>
                <c:pt idx="0">
                  <c:v>2021</c:v>
                </c:pt>
              </c:strCache>
            </c:strRef>
          </c:tx>
          <c:spPr>
            <a:solidFill>
              <a:schemeClr val="accent6"/>
            </a:solidFill>
            <a:ln>
              <a:noFill/>
            </a:ln>
            <a:effectLst/>
          </c:spPr>
          <c:invertIfNegative val="0"/>
          <c:dLbls>
            <c:dLbl>
              <c:idx val="1"/>
              <c:layout>
                <c:manualLayout>
                  <c:x val="1.074546675621219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CA-4C2A-88BB-5DD8E26FDE7C}"/>
                </c:ext>
              </c:extLst>
            </c:dLbl>
            <c:dLbl>
              <c:idx val="4"/>
              <c:layout>
                <c:manualLayout>
                  <c:x val="1.208865010073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CA-4C2A-88BB-5DD8E26FDE7C}"/>
                </c:ext>
              </c:extLst>
            </c:dLbl>
            <c:dLbl>
              <c:idx val="5"/>
              <c:layout>
                <c:manualLayout>
                  <c:x val="1.4103425117528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CA-4C2A-88BB-5DD8E26FDE7C}"/>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非常乐观</c:v>
                </c:pt>
                <c:pt idx="1">
                  <c:v>比较乐观</c:v>
                </c:pt>
                <c:pt idx="2">
                  <c:v>一般</c:v>
                </c:pt>
                <c:pt idx="3">
                  <c:v>不太乐观</c:v>
                </c:pt>
                <c:pt idx="4">
                  <c:v>非常不乐观</c:v>
                </c:pt>
                <c:pt idx="5">
                  <c:v>说不清楚</c:v>
                </c:pt>
              </c:strCache>
            </c:strRef>
          </c:cat>
          <c:val>
            <c:numRef>
              <c:f>Sheet1!$C$2:$C$7</c:f>
              <c:numCache>
                <c:formatCode>0.0%</c:formatCode>
                <c:ptCount val="6"/>
                <c:pt idx="0">
                  <c:v>0.27562351211874297</c:v>
                </c:pt>
                <c:pt idx="1">
                  <c:v>0.432104682931506</c:v>
                </c:pt>
                <c:pt idx="2">
                  <c:v>0.18054290690057401</c:v>
                </c:pt>
                <c:pt idx="3">
                  <c:v>8.8450047132882806E-2</c:v>
                </c:pt>
                <c:pt idx="4">
                  <c:v>1.33090479157679E-2</c:v>
                </c:pt>
                <c:pt idx="5">
                  <c:v>9.9698030005272494E-3</c:v>
                </c:pt>
              </c:numCache>
            </c:numRef>
          </c:val>
          <c:extLst>
            <c:ext xmlns:c16="http://schemas.microsoft.com/office/drawing/2014/chart" uri="{C3380CC4-5D6E-409C-BE32-E72D297353CC}">
              <c16:uniqueId val="{00000004-51CA-4C2A-88BB-5DD8E26FDE7C}"/>
            </c:ext>
          </c:extLst>
        </c:ser>
        <c:dLbls>
          <c:showLegendKey val="0"/>
          <c:showVal val="1"/>
          <c:showCatName val="0"/>
          <c:showSerName val="0"/>
          <c:showPercent val="0"/>
          <c:showBubbleSize val="0"/>
        </c:dLbls>
        <c:gapWidth val="219"/>
        <c:overlap val="-27"/>
        <c:axId val="625411085"/>
        <c:axId val="582224684"/>
      </c:barChart>
      <c:catAx>
        <c:axId val="62541108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82224684"/>
        <c:crosses val="autoZero"/>
        <c:auto val="1"/>
        <c:lblAlgn val="ctr"/>
        <c:lblOffset val="100"/>
        <c:noMultiLvlLbl val="0"/>
      </c:catAx>
      <c:valAx>
        <c:axId val="582224684"/>
        <c:scaling>
          <c:orientation val="minMax"/>
        </c:scaling>
        <c:delete val="1"/>
        <c:axPos val="l"/>
        <c:numFmt formatCode="0.0%" sourceLinked="1"/>
        <c:majorTickMark val="none"/>
        <c:minorTickMark val="none"/>
        <c:tickLblPos val="nextTo"/>
        <c:crossAx val="625411085"/>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消费供给</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dLbl>
              <c:idx val="1"/>
              <c:layout>
                <c:manualLayout>
                  <c:x val="-3.5691114098337001E-2"/>
                  <c:y val="5.1630465696431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74-4A0C-AE9F-7D938824A0D5}"/>
                </c:ext>
              </c:extLst>
            </c:dLbl>
            <c:dLbl>
              <c:idx val="2"/>
              <c:layout>
                <c:manualLayout>
                  <c:x val="-4.2914807813723498E-2"/>
                  <c:y val="5.1630465696431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74-4A0C-AE9F-7D938824A0D5}"/>
                </c:ext>
              </c:extLst>
            </c:dLbl>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accent6">
                        <a:lumMod val="7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0.00_);[Red]\(0.00\)</c:formatCode>
                <c:ptCount val="5"/>
                <c:pt idx="0">
                  <c:v>75.02</c:v>
                </c:pt>
                <c:pt idx="1">
                  <c:v>75.72</c:v>
                </c:pt>
                <c:pt idx="2">
                  <c:v>78.459999999999994</c:v>
                </c:pt>
                <c:pt idx="3">
                  <c:v>81.36</c:v>
                </c:pt>
                <c:pt idx="4">
                  <c:v>81.93</c:v>
                </c:pt>
              </c:numCache>
            </c:numRef>
          </c:val>
          <c:smooth val="1"/>
          <c:extLst>
            <c:ext xmlns:c16="http://schemas.microsoft.com/office/drawing/2014/chart" uri="{C3380CC4-5D6E-409C-BE32-E72D297353CC}">
              <c16:uniqueId val="{00000002-7874-4A0C-AE9F-7D938824A0D5}"/>
            </c:ext>
          </c:extLst>
        </c:ser>
        <c:ser>
          <c:idx val="1"/>
          <c:order val="1"/>
          <c:tx>
            <c:strRef>
              <c:f>Sheet1!$C$1</c:f>
              <c:strCache>
                <c:ptCount val="1"/>
                <c:pt idx="0">
                  <c:v>消费环境</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4.7056392210545098E-2"/>
                  <c:y val="5.9886399648960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74-4A0C-AE9F-7D938824A0D5}"/>
                </c:ext>
              </c:extLst>
            </c:dLbl>
            <c:dLbl>
              <c:idx val="1"/>
              <c:layout>
                <c:manualLayout>
                  <c:x val="-4.7730603623981099E-2"/>
                  <c:y val="-3.0928873828851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74-4A0C-AE9F-7D938824A0D5}"/>
                </c:ext>
              </c:extLst>
            </c:dLbl>
            <c:dLbl>
              <c:idx val="3"/>
              <c:layout>
                <c:manualLayout>
                  <c:x val="-3.8099012003465903E-2"/>
                  <c:y val="3.0990630815110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74-4A0C-AE9F-7D938824A0D5}"/>
                </c:ext>
              </c:extLst>
            </c:dLbl>
            <c:dLbl>
              <c:idx val="4"/>
              <c:layout>
                <c:manualLayout>
                  <c:x val="-1.40200329521778E-2"/>
                  <c:y val="-3.0928873828851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74-4A0C-AE9F-7D938824A0D5}"/>
                </c:ext>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accent1">
                        <a:lumMod val="7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Sheet1!$C$2:$C$6</c:f>
              <c:numCache>
                <c:formatCode>0.00_);[Red]\(0.00\)</c:formatCode>
                <c:ptCount val="5"/>
                <c:pt idx="0">
                  <c:v>72.900000000000006</c:v>
                </c:pt>
                <c:pt idx="1">
                  <c:v>76.11</c:v>
                </c:pt>
                <c:pt idx="2">
                  <c:v>79.08</c:v>
                </c:pt>
                <c:pt idx="3">
                  <c:v>80.62</c:v>
                </c:pt>
                <c:pt idx="4">
                  <c:v>80.52</c:v>
                </c:pt>
              </c:numCache>
            </c:numRef>
          </c:val>
          <c:smooth val="1"/>
          <c:extLst>
            <c:ext xmlns:c16="http://schemas.microsoft.com/office/drawing/2014/chart" uri="{C3380CC4-5D6E-409C-BE32-E72D297353CC}">
              <c16:uniqueId val="{00000007-7874-4A0C-AE9F-7D938824A0D5}"/>
            </c:ext>
          </c:extLst>
        </c:ser>
        <c:ser>
          <c:idx val="2"/>
          <c:order val="2"/>
          <c:tx>
            <c:strRef>
              <c:f>Sheet1!$D$1</c:f>
              <c:strCache>
                <c:ptCount val="1"/>
                <c:pt idx="0">
                  <c:v>消费维权</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dLbls>
            <c:dLbl>
              <c:idx val="4"/>
              <c:layout>
                <c:manualLayout>
                  <c:x val="-2.8467420382950599E-2"/>
                  <c:y val="5.1630465696431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74-4A0C-AE9F-7D938824A0D5}"/>
                </c:ext>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accent2">
                        <a:lumMod val="7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Sheet1!$D$2:$D$6</c:f>
              <c:numCache>
                <c:formatCode>0.00_);[Red]\(0.00\)</c:formatCode>
                <c:ptCount val="5"/>
                <c:pt idx="0">
                  <c:v>66.92</c:v>
                </c:pt>
                <c:pt idx="1">
                  <c:v>66.33</c:v>
                </c:pt>
                <c:pt idx="2">
                  <c:v>70.86</c:v>
                </c:pt>
                <c:pt idx="3">
                  <c:v>74.7</c:v>
                </c:pt>
                <c:pt idx="4">
                  <c:v>80.05</c:v>
                </c:pt>
              </c:numCache>
            </c:numRef>
          </c:val>
          <c:smooth val="1"/>
          <c:extLst>
            <c:ext xmlns:c16="http://schemas.microsoft.com/office/drawing/2014/chart" uri="{C3380CC4-5D6E-409C-BE32-E72D297353CC}">
              <c16:uniqueId val="{00000009-7874-4A0C-AE9F-7D938824A0D5}"/>
            </c:ext>
          </c:extLst>
        </c:ser>
        <c:dLbls>
          <c:showLegendKey val="0"/>
          <c:showVal val="1"/>
          <c:showCatName val="0"/>
          <c:showSerName val="0"/>
          <c:showPercent val="0"/>
          <c:showBubbleSize val="0"/>
        </c:dLbls>
        <c:marker val="1"/>
        <c:smooth val="0"/>
        <c:axId val="749735391"/>
        <c:axId val="749737471"/>
      </c:lineChart>
      <c:catAx>
        <c:axId val="749735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49737471"/>
        <c:crosses val="autoZero"/>
        <c:auto val="1"/>
        <c:lblAlgn val="ctr"/>
        <c:lblOffset val="100"/>
        <c:noMultiLvlLbl val="0"/>
      </c:catAx>
      <c:valAx>
        <c:axId val="749737471"/>
        <c:scaling>
          <c:orientation val="minMax"/>
          <c:min val="65"/>
        </c:scaling>
        <c:delete val="0"/>
        <c:axPos val="l"/>
        <c:numFmt formatCode="0.00_);[Red]\(0.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49735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增加支出</c:v>
                </c:pt>
                <c:pt idx="1">
                  <c:v>与今年持平</c:v>
                </c:pt>
                <c:pt idx="2">
                  <c:v>减少支出</c:v>
                </c:pt>
                <c:pt idx="3">
                  <c:v>说不清楚</c:v>
                </c:pt>
              </c:strCache>
            </c:strRef>
          </c:cat>
          <c:val>
            <c:numRef>
              <c:f>Sheet1!$B$2:$B$5</c:f>
              <c:numCache>
                <c:formatCode>0.0%</c:formatCode>
                <c:ptCount val="4"/>
                <c:pt idx="0">
                  <c:v>0.34185427784606298</c:v>
                </c:pt>
                <c:pt idx="1">
                  <c:v>0.42243243663746799</c:v>
                </c:pt>
                <c:pt idx="2">
                  <c:v>0.22026356323806301</c:v>
                </c:pt>
                <c:pt idx="3">
                  <c:v>1.54497222784062E-2</c:v>
                </c:pt>
              </c:numCache>
            </c:numRef>
          </c:val>
          <c:extLst>
            <c:ext xmlns:c16="http://schemas.microsoft.com/office/drawing/2014/chart" uri="{C3380CC4-5D6E-409C-BE32-E72D297353CC}">
              <c16:uniqueId val="{00000000-AC5E-4A5D-BCBD-BDF159A82BFF}"/>
            </c:ext>
          </c:extLst>
        </c:ser>
        <c:ser>
          <c:idx val="1"/>
          <c:order val="1"/>
          <c:tx>
            <c:strRef>
              <c:f>Sheet1!$C$1</c:f>
              <c:strCache>
                <c:ptCount val="1"/>
                <c:pt idx="0">
                  <c:v>2021</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增加支出</c:v>
                </c:pt>
                <c:pt idx="1">
                  <c:v>与今年持平</c:v>
                </c:pt>
                <c:pt idx="2">
                  <c:v>减少支出</c:v>
                </c:pt>
                <c:pt idx="3">
                  <c:v>说不清楚</c:v>
                </c:pt>
              </c:strCache>
            </c:strRef>
          </c:cat>
          <c:val>
            <c:numRef>
              <c:f>Sheet1!$C$2:$C$5</c:f>
              <c:numCache>
                <c:formatCode>0.0%</c:formatCode>
                <c:ptCount val="4"/>
                <c:pt idx="0">
                  <c:v>0.36956973270063398</c:v>
                </c:pt>
                <c:pt idx="1">
                  <c:v>0.44421543721740198</c:v>
                </c:pt>
                <c:pt idx="2">
                  <c:v>0.142868555177427</c:v>
                </c:pt>
                <c:pt idx="3">
                  <c:v>4.3346274904535902E-2</c:v>
                </c:pt>
              </c:numCache>
            </c:numRef>
          </c:val>
          <c:extLst>
            <c:ext xmlns:c16="http://schemas.microsoft.com/office/drawing/2014/chart" uri="{C3380CC4-5D6E-409C-BE32-E72D297353CC}">
              <c16:uniqueId val="{00000001-AC5E-4A5D-BCBD-BDF159A82BFF}"/>
            </c:ext>
          </c:extLst>
        </c:ser>
        <c:dLbls>
          <c:showLegendKey val="0"/>
          <c:showVal val="1"/>
          <c:showCatName val="0"/>
          <c:showSerName val="0"/>
          <c:showPercent val="0"/>
          <c:showBubbleSize val="0"/>
        </c:dLbls>
        <c:gapWidth val="219"/>
        <c:overlap val="-27"/>
        <c:axId val="625411085"/>
        <c:axId val="582224684"/>
      </c:barChart>
      <c:catAx>
        <c:axId val="62541108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82224684"/>
        <c:crosses val="autoZero"/>
        <c:auto val="1"/>
        <c:lblAlgn val="ctr"/>
        <c:lblOffset val="100"/>
        <c:noMultiLvlLbl val="0"/>
      </c:catAx>
      <c:valAx>
        <c:axId val="582224684"/>
        <c:scaling>
          <c:orientation val="minMax"/>
        </c:scaling>
        <c:delete val="1"/>
        <c:axPos val="l"/>
        <c:numFmt formatCode="0.0%" sourceLinked="1"/>
        <c:majorTickMark val="none"/>
        <c:minorTickMark val="none"/>
        <c:tickLblPos val="nextTo"/>
        <c:crossAx val="625411085"/>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4千亿以上</c:v>
                </c:pt>
                <c:pt idx="1">
                  <c:v>2千亿-4千亿</c:v>
                </c:pt>
                <c:pt idx="2">
                  <c:v>1千亿-2千亿</c:v>
                </c:pt>
                <c:pt idx="3">
                  <c:v>1千亿以下</c:v>
                </c:pt>
              </c:strCache>
            </c:strRef>
          </c:cat>
          <c:val>
            <c:numRef>
              <c:f>Sheet1!$B$2:$B$5</c:f>
              <c:numCache>
                <c:formatCode>General</c:formatCode>
                <c:ptCount val="4"/>
                <c:pt idx="0">
                  <c:v>72.17</c:v>
                </c:pt>
                <c:pt idx="1">
                  <c:v>71.25</c:v>
                </c:pt>
                <c:pt idx="2">
                  <c:v>69.760000000000005</c:v>
                </c:pt>
                <c:pt idx="3">
                  <c:v>68.19</c:v>
                </c:pt>
              </c:numCache>
            </c:numRef>
          </c:val>
          <c:extLst>
            <c:ext xmlns:c16="http://schemas.microsoft.com/office/drawing/2014/chart" uri="{C3380CC4-5D6E-409C-BE32-E72D297353CC}">
              <c16:uniqueId val="{00000000-B5D9-4F92-AD83-7E169B981950}"/>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4千亿以上</c:v>
                </c:pt>
                <c:pt idx="1">
                  <c:v>2千亿-4千亿</c:v>
                </c:pt>
                <c:pt idx="2">
                  <c:v>1千亿-2千亿</c:v>
                </c:pt>
                <c:pt idx="3">
                  <c:v>1千亿以下</c:v>
                </c:pt>
              </c:strCache>
            </c:strRef>
          </c:cat>
          <c:val>
            <c:numRef>
              <c:f>Sheet1!$C$2:$C$5</c:f>
              <c:numCache>
                <c:formatCode>General</c:formatCode>
                <c:ptCount val="4"/>
                <c:pt idx="0">
                  <c:v>74.03</c:v>
                </c:pt>
                <c:pt idx="1">
                  <c:v>72.92</c:v>
                </c:pt>
                <c:pt idx="2">
                  <c:v>71.69</c:v>
                </c:pt>
                <c:pt idx="3">
                  <c:v>71.349999999999994</c:v>
                </c:pt>
              </c:numCache>
            </c:numRef>
          </c:val>
          <c:extLst>
            <c:ext xmlns:c16="http://schemas.microsoft.com/office/drawing/2014/chart" uri="{C3380CC4-5D6E-409C-BE32-E72D297353CC}">
              <c16:uniqueId val="{00000001-B5D9-4F92-AD83-7E169B981950}"/>
            </c:ext>
          </c:extLst>
        </c:ser>
        <c:ser>
          <c:idx val="2"/>
          <c:order val="2"/>
          <c:tx>
            <c:strRef>
              <c:f>Sheet1!$D$1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4千亿以上</c:v>
                </c:pt>
                <c:pt idx="1">
                  <c:v>2千亿-4千亿</c:v>
                </c:pt>
                <c:pt idx="2">
                  <c:v>1千亿-2千亿</c:v>
                </c:pt>
                <c:pt idx="3">
                  <c:v>1千亿以下</c:v>
                </c:pt>
              </c:strCache>
            </c:strRef>
          </c:cat>
          <c:val>
            <c:numRef>
              <c:f>Sheet1!$D$2:$D$5</c:f>
              <c:numCache>
                <c:formatCode>General</c:formatCode>
                <c:ptCount val="4"/>
                <c:pt idx="0">
                  <c:v>77.69</c:v>
                </c:pt>
                <c:pt idx="1">
                  <c:v>76.09</c:v>
                </c:pt>
                <c:pt idx="2">
                  <c:v>74.2</c:v>
                </c:pt>
                <c:pt idx="3">
                  <c:v>74.75</c:v>
                </c:pt>
              </c:numCache>
            </c:numRef>
          </c:val>
          <c:extLst>
            <c:ext xmlns:c16="http://schemas.microsoft.com/office/drawing/2014/chart" uri="{C3380CC4-5D6E-409C-BE32-E72D297353CC}">
              <c16:uniqueId val="{00000002-B5D9-4F92-AD83-7E169B981950}"/>
            </c:ext>
          </c:extLst>
        </c:ser>
        <c:ser>
          <c:idx val="3"/>
          <c:order val="3"/>
          <c:tx>
            <c:strRef>
              <c:f>Sheet1!$E$1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4千亿以上</c:v>
                </c:pt>
                <c:pt idx="1">
                  <c:v>2千亿-4千亿</c:v>
                </c:pt>
                <c:pt idx="2">
                  <c:v>1千亿-2千亿</c:v>
                </c:pt>
                <c:pt idx="3">
                  <c:v>1千亿以下</c:v>
                </c:pt>
              </c:strCache>
            </c:strRef>
          </c:cat>
          <c:val>
            <c:numRef>
              <c:f>Sheet1!$E$2:$E$5</c:f>
              <c:numCache>
                <c:formatCode>0.00_);[Red]\(0.00\)</c:formatCode>
                <c:ptCount val="4"/>
                <c:pt idx="0">
                  <c:v>80.893361348265699</c:v>
                </c:pt>
                <c:pt idx="1">
                  <c:v>79.658131254851796</c:v>
                </c:pt>
                <c:pt idx="2">
                  <c:v>77.328995649091894</c:v>
                </c:pt>
                <c:pt idx="3">
                  <c:v>78.675778137522997</c:v>
                </c:pt>
              </c:numCache>
            </c:numRef>
          </c:val>
          <c:extLst>
            <c:ext xmlns:c16="http://schemas.microsoft.com/office/drawing/2014/chart" uri="{C3380CC4-5D6E-409C-BE32-E72D297353CC}">
              <c16:uniqueId val="{00000003-B5D9-4F92-AD83-7E169B981950}"/>
            </c:ext>
          </c:extLst>
        </c:ser>
        <c:ser>
          <c:idx val="4"/>
          <c:order val="4"/>
          <c:tx>
            <c:strRef>
              <c:f>Sheet1!$F$1</c:f>
              <c:strCache>
                <c:ptCount val="1"/>
                <c:pt idx="0">
                  <c:v>2021</c:v>
                </c:pt>
              </c:strCache>
            </c:strRef>
          </c:tx>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4千亿以上</c:v>
                </c:pt>
                <c:pt idx="1">
                  <c:v>2千亿-4千亿</c:v>
                </c:pt>
                <c:pt idx="2">
                  <c:v>1千亿-2千亿</c:v>
                </c:pt>
                <c:pt idx="3">
                  <c:v>1千亿以下</c:v>
                </c:pt>
              </c:strCache>
            </c:strRef>
          </c:cat>
          <c:val>
            <c:numRef>
              <c:f>Sheet1!$F$2:$F$5</c:f>
              <c:numCache>
                <c:formatCode>0.00_);[Red]\(0.00\)</c:formatCode>
                <c:ptCount val="4"/>
                <c:pt idx="0">
                  <c:v>82.250518</c:v>
                </c:pt>
                <c:pt idx="1">
                  <c:v>81.092793999999998</c:v>
                </c:pt>
                <c:pt idx="2">
                  <c:v>79.321247999999997</c:v>
                </c:pt>
                <c:pt idx="3">
                  <c:v>79.217909000000006</c:v>
                </c:pt>
              </c:numCache>
            </c:numRef>
          </c:val>
          <c:extLst>
            <c:ext xmlns:c16="http://schemas.microsoft.com/office/drawing/2014/chart" uri="{C3380CC4-5D6E-409C-BE32-E72D297353CC}">
              <c16:uniqueId val="{00000004-B5D9-4F92-AD83-7E169B981950}"/>
            </c:ext>
          </c:extLst>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9557187"/>
        <c:crosses val="autoZero"/>
        <c:auto val="1"/>
        <c:lblAlgn val="ctr"/>
        <c:lblOffset val="100"/>
        <c:noMultiLvlLbl val="0"/>
      </c:catAx>
      <c:valAx>
        <c:axId val="609557187"/>
        <c:scaling>
          <c:orientation val="minMax"/>
          <c:min val="55"/>
        </c:scaling>
        <c:delete val="1"/>
        <c:axPos val="l"/>
        <c:numFmt formatCode="General" sourceLinked="1"/>
        <c:majorTickMark val="none"/>
        <c:minorTickMark val="none"/>
        <c:tickLblPos val="nextTo"/>
        <c:crossAx val="23942283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超大城市</c:v>
                </c:pt>
                <c:pt idx="1">
                  <c:v>特大城市</c:v>
                </c:pt>
                <c:pt idx="2">
                  <c:v>Ⅰ型大城市</c:v>
                </c:pt>
                <c:pt idx="3">
                  <c:v>Ⅱ型大城市</c:v>
                </c:pt>
                <c:pt idx="4">
                  <c:v>中小型城市</c:v>
                </c:pt>
              </c:strCache>
            </c:strRef>
          </c:cat>
          <c:val>
            <c:numRef>
              <c:f>Sheet1!$B$2:$B$6</c:f>
              <c:numCache>
                <c:formatCode>General</c:formatCode>
                <c:ptCount val="5"/>
                <c:pt idx="0">
                  <c:v>72.44</c:v>
                </c:pt>
                <c:pt idx="1">
                  <c:v>71.150000000000006</c:v>
                </c:pt>
                <c:pt idx="2">
                  <c:v>70.92</c:v>
                </c:pt>
                <c:pt idx="3">
                  <c:v>71.27</c:v>
                </c:pt>
                <c:pt idx="4">
                  <c:v>60.93</c:v>
                </c:pt>
              </c:numCache>
            </c:numRef>
          </c:val>
          <c:extLst>
            <c:ext xmlns:c16="http://schemas.microsoft.com/office/drawing/2014/chart" uri="{C3380CC4-5D6E-409C-BE32-E72D297353CC}">
              <c16:uniqueId val="{00000000-5287-4558-89DC-0802F7135769}"/>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超大城市</c:v>
                </c:pt>
                <c:pt idx="1">
                  <c:v>特大城市</c:v>
                </c:pt>
                <c:pt idx="2">
                  <c:v>Ⅰ型大城市</c:v>
                </c:pt>
                <c:pt idx="3">
                  <c:v>Ⅱ型大城市</c:v>
                </c:pt>
                <c:pt idx="4">
                  <c:v>中小型城市</c:v>
                </c:pt>
              </c:strCache>
            </c:strRef>
          </c:cat>
          <c:val>
            <c:numRef>
              <c:f>Sheet1!$C$2:$C$6</c:f>
              <c:numCache>
                <c:formatCode>General</c:formatCode>
                <c:ptCount val="5"/>
                <c:pt idx="0">
                  <c:v>74.569999999999993</c:v>
                </c:pt>
                <c:pt idx="1">
                  <c:v>72.86</c:v>
                </c:pt>
                <c:pt idx="2">
                  <c:v>73</c:v>
                </c:pt>
                <c:pt idx="3">
                  <c:v>72.849999999999994</c:v>
                </c:pt>
                <c:pt idx="4">
                  <c:v>66.56</c:v>
                </c:pt>
              </c:numCache>
            </c:numRef>
          </c:val>
          <c:extLst>
            <c:ext xmlns:c16="http://schemas.microsoft.com/office/drawing/2014/chart" uri="{C3380CC4-5D6E-409C-BE32-E72D297353CC}">
              <c16:uniqueId val="{00000001-5287-4558-89DC-0802F7135769}"/>
            </c:ext>
          </c:extLst>
        </c:ser>
        <c:ser>
          <c:idx val="2"/>
          <c:order val="2"/>
          <c:tx>
            <c:strRef>
              <c:f>Sheet1!$D$1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超大城市</c:v>
                </c:pt>
                <c:pt idx="1">
                  <c:v>特大城市</c:v>
                </c:pt>
                <c:pt idx="2">
                  <c:v>Ⅰ型大城市</c:v>
                </c:pt>
                <c:pt idx="3">
                  <c:v>Ⅱ型大城市</c:v>
                </c:pt>
                <c:pt idx="4">
                  <c:v>中小型城市</c:v>
                </c:pt>
              </c:strCache>
            </c:strRef>
          </c:cat>
          <c:val>
            <c:numRef>
              <c:f>Sheet1!$D$2:$D$6</c:f>
              <c:numCache>
                <c:formatCode>General</c:formatCode>
                <c:ptCount val="5"/>
                <c:pt idx="0">
                  <c:v>78.290000000000006</c:v>
                </c:pt>
                <c:pt idx="1">
                  <c:v>76.819999999999993</c:v>
                </c:pt>
                <c:pt idx="2">
                  <c:v>75.84</c:v>
                </c:pt>
                <c:pt idx="3">
                  <c:v>75.45</c:v>
                </c:pt>
                <c:pt idx="4">
                  <c:v>75.62</c:v>
                </c:pt>
              </c:numCache>
            </c:numRef>
          </c:val>
          <c:extLst>
            <c:ext xmlns:c16="http://schemas.microsoft.com/office/drawing/2014/chart" uri="{C3380CC4-5D6E-409C-BE32-E72D297353CC}">
              <c16:uniqueId val="{00000002-5287-4558-89DC-0802F7135769}"/>
            </c:ext>
          </c:extLst>
        </c:ser>
        <c:ser>
          <c:idx val="3"/>
          <c:order val="3"/>
          <c:tx>
            <c:strRef>
              <c:f>Sheet1!$E$1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超大城市</c:v>
                </c:pt>
                <c:pt idx="1">
                  <c:v>特大城市</c:v>
                </c:pt>
                <c:pt idx="2">
                  <c:v>Ⅰ型大城市</c:v>
                </c:pt>
                <c:pt idx="3">
                  <c:v>Ⅱ型大城市</c:v>
                </c:pt>
                <c:pt idx="4">
                  <c:v>中小型城市</c:v>
                </c:pt>
              </c:strCache>
            </c:strRef>
          </c:cat>
          <c:val>
            <c:numRef>
              <c:f>Sheet1!$E$2:$E$6</c:f>
              <c:numCache>
                <c:formatCode>0.00_);[Red]\(0.00\)</c:formatCode>
                <c:ptCount val="5"/>
                <c:pt idx="0">
                  <c:v>80.681857789643601</c:v>
                </c:pt>
                <c:pt idx="1">
                  <c:v>80.415895705959102</c:v>
                </c:pt>
                <c:pt idx="2">
                  <c:v>79.103747871370501</c:v>
                </c:pt>
                <c:pt idx="3">
                  <c:v>78.757188209629902</c:v>
                </c:pt>
                <c:pt idx="4">
                  <c:v>79.011780459742894</c:v>
                </c:pt>
              </c:numCache>
            </c:numRef>
          </c:val>
          <c:extLst>
            <c:ext xmlns:c16="http://schemas.microsoft.com/office/drawing/2014/chart" uri="{C3380CC4-5D6E-409C-BE32-E72D297353CC}">
              <c16:uniqueId val="{00000003-5287-4558-89DC-0802F7135769}"/>
            </c:ext>
          </c:extLst>
        </c:ser>
        <c:ser>
          <c:idx val="4"/>
          <c:order val="4"/>
          <c:tx>
            <c:strRef>
              <c:f>Sheet1!$F$1</c:f>
              <c:strCache>
                <c:ptCount val="1"/>
                <c:pt idx="0">
                  <c:v>2021</c:v>
                </c:pt>
              </c:strCache>
            </c:strRef>
          </c:tx>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超大城市</c:v>
                </c:pt>
                <c:pt idx="1">
                  <c:v>特大城市</c:v>
                </c:pt>
                <c:pt idx="2">
                  <c:v>Ⅰ型大城市</c:v>
                </c:pt>
                <c:pt idx="3">
                  <c:v>Ⅱ型大城市</c:v>
                </c:pt>
                <c:pt idx="4">
                  <c:v>中小型城市</c:v>
                </c:pt>
              </c:strCache>
            </c:strRef>
          </c:cat>
          <c:val>
            <c:numRef>
              <c:f>Sheet1!$F$2:$F$6</c:f>
              <c:numCache>
                <c:formatCode>0.00_);[Red]\(0.00\)</c:formatCode>
                <c:ptCount val="5"/>
                <c:pt idx="0">
                  <c:v>82.017081000000005</c:v>
                </c:pt>
                <c:pt idx="1">
                  <c:v>81.446574999999996</c:v>
                </c:pt>
                <c:pt idx="2">
                  <c:v>80.639501999999993</c:v>
                </c:pt>
                <c:pt idx="3">
                  <c:v>79.799176000000003</c:v>
                </c:pt>
                <c:pt idx="4">
                  <c:v>79.372106000000002</c:v>
                </c:pt>
              </c:numCache>
            </c:numRef>
          </c:val>
          <c:extLst>
            <c:ext xmlns:c16="http://schemas.microsoft.com/office/drawing/2014/chart" uri="{C3380CC4-5D6E-409C-BE32-E72D297353CC}">
              <c16:uniqueId val="{00000004-5287-4558-89DC-0802F7135769}"/>
            </c:ext>
          </c:extLst>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9557187"/>
        <c:crosses val="autoZero"/>
        <c:auto val="1"/>
        <c:lblAlgn val="ctr"/>
        <c:lblOffset val="100"/>
        <c:noMultiLvlLbl val="0"/>
      </c:catAx>
      <c:valAx>
        <c:axId val="609557187"/>
        <c:scaling>
          <c:orientation val="minMax"/>
          <c:min val="55"/>
        </c:scaling>
        <c:delete val="1"/>
        <c:axPos val="l"/>
        <c:numFmt formatCode="General" sourceLinked="1"/>
        <c:majorTickMark val="none"/>
        <c:minorTickMark val="none"/>
        <c:tickLblPos val="nextTo"/>
        <c:crossAx val="23942283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直辖市</c:v>
                </c:pt>
                <c:pt idx="1">
                  <c:v>计划单列市</c:v>
                </c:pt>
                <c:pt idx="2">
                  <c:v>省会城市</c:v>
                </c:pt>
                <c:pt idx="3">
                  <c:v>其他城市</c:v>
                </c:pt>
              </c:strCache>
            </c:strRef>
          </c:cat>
          <c:val>
            <c:numRef>
              <c:f>Sheet1!$B$2:$B$5</c:f>
              <c:numCache>
                <c:formatCode>General</c:formatCode>
                <c:ptCount val="4"/>
                <c:pt idx="0">
                  <c:v>72.709999999999994</c:v>
                </c:pt>
                <c:pt idx="1">
                  <c:v>72.260000000000005</c:v>
                </c:pt>
                <c:pt idx="2">
                  <c:v>70.42</c:v>
                </c:pt>
                <c:pt idx="3">
                  <c:v>72.069999999999993</c:v>
                </c:pt>
              </c:numCache>
            </c:numRef>
          </c:val>
          <c:extLst>
            <c:ext xmlns:c16="http://schemas.microsoft.com/office/drawing/2014/chart" uri="{C3380CC4-5D6E-409C-BE32-E72D297353CC}">
              <c16:uniqueId val="{00000000-66C6-483B-8F70-F5A45B0B8F34}"/>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直辖市</c:v>
                </c:pt>
                <c:pt idx="1">
                  <c:v>计划单列市</c:v>
                </c:pt>
                <c:pt idx="2">
                  <c:v>省会城市</c:v>
                </c:pt>
                <c:pt idx="3">
                  <c:v>其他城市</c:v>
                </c:pt>
              </c:strCache>
            </c:strRef>
          </c:cat>
          <c:val>
            <c:numRef>
              <c:f>Sheet1!$C$2:$C$5</c:f>
              <c:numCache>
                <c:formatCode>General</c:formatCode>
                <c:ptCount val="4"/>
                <c:pt idx="0">
                  <c:v>74.67</c:v>
                </c:pt>
                <c:pt idx="1">
                  <c:v>73.73</c:v>
                </c:pt>
                <c:pt idx="2">
                  <c:v>72.98</c:v>
                </c:pt>
                <c:pt idx="3">
                  <c:v>73.14</c:v>
                </c:pt>
              </c:numCache>
            </c:numRef>
          </c:val>
          <c:extLst>
            <c:ext xmlns:c16="http://schemas.microsoft.com/office/drawing/2014/chart" uri="{C3380CC4-5D6E-409C-BE32-E72D297353CC}">
              <c16:uniqueId val="{00000001-66C6-483B-8F70-F5A45B0B8F34}"/>
            </c:ext>
          </c:extLst>
        </c:ser>
        <c:ser>
          <c:idx val="2"/>
          <c:order val="2"/>
          <c:tx>
            <c:strRef>
              <c:f>Sheet1!$D$1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直辖市</c:v>
                </c:pt>
                <c:pt idx="1">
                  <c:v>计划单列市</c:v>
                </c:pt>
                <c:pt idx="2">
                  <c:v>省会城市</c:v>
                </c:pt>
                <c:pt idx="3">
                  <c:v>其他城市</c:v>
                </c:pt>
              </c:strCache>
            </c:strRef>
          </c:cat>
          <c:val>
            <c:numRef>
              <c:f>Sheet1!$D$2:$D$5</c:f>
              <c:numCache>
                <c:formatCode>General</c:formatCode>
                <c:ptCount val="4"/>
                <c:pt idx="0">
                  <c:v>78.400000000000006</c:v>
                </c:pt>
                <c:pt idx="1">
                  <c:v>77.209999999999994</c:v>
                </c:pt>
                <c:pt idx="2">
                  <c:v>76.41</c:v>
                </c:pt>
                <c:pt idx="3">
                  <c:v>75.75</c:v>
                </c:pt>
              </c:numCache>
            </c:numRef>
          </c:val>
          <c:extLst>
            <c:ext xmlns:c16="http://schemas.microsoft.com/office/drawing/2014/chart" uri="{C3380CC4-5D6E-409C-BE32-E72D297353CC}">
              <c16:uniqueId val="{00000002-66C6-483B-8F70-F5A45B0B8F34}"/>
            </c:ext>
          </c:extLst>
        </c:ser>
        <c:ser>
          <c:idx val="3"/>
          <c:order val="3"/>
          <c:tx>
            <c:strRef>
              <c:f>Sheet1!$E$1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直辖市</c:v>
                </c:pt>
                <c:pt idx="1">
                  <c:v>计划单列市</c:v>
                </c:pt>
                <c:pt idx="2">
                  <c:v>省会城市</c:v>
                </c:pt>
                <c:pt idx="3">
                  <c:v>其他城市</c:v>
                </c:pt>
              </c:strCache>
            </c:strRef>
          </c:cat>
          <c:val>
            <c:numRef>
              <c:f>Sheet1!$E$2:$E$5</c:f>
              <c:numCache>
                <c:formatCode>0.00_);[Red]\(0.00\)</c:formatCode>
                <c:ptCount val="4"/>
                <c:pt idx="0">
                  <c:v>81.913898000203503</c:v>
                </c:pt>
                <c:pt idx="1">
                  <c:v>81.064139366993999</c:v>
                </c:pt>
                <c:pt idx="2">
                  <c:v>78.800689020116593</c:v>
                </c:pt>
                <c:pt idx="3">
                  <c:v>79.048562318538103</c:v>
                </c:pt>
              </c:numCache>
            </c:numRef>
          </c:val>
          <c:extLst>
            <c:ext xmlns:c16="http://schemas.microsoft.com/office/drawing/2014/chart" uri="{C3380CC4-5D6E-409C-BE32-E72D297353CC}">
              <c16:uniqueId val="{00000003-66C6-483B-8F70-F5A45B0B8F34}"/>
            </c:ext>
          </c:extLst>
        </c:ser>
        <c:ser>
          <c:idx val="4"/>
          <c:order val="4"/>
          <c:tx>
            <c:strRef>
              <c:f>Sheet1!$F$1</c:f>
              <c:strCache>
                <c:ptCount val="1"/>
                <c:pt idx="0">
                  <c:v>2021</c:v>
                </c:pt>
              </c:strCache>
            </c:strRef>
          </c:tx>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直辖市</c:v>
                </c:pt>
                <c:pt idx="1">
                  <c:v>计划单列市</c:v>
                </c:pt>
                <c:pt idx="2">
                  <c:v>省会城市</c:v>
                </c:pt>
                <c:pt idx="3">
                  <c:v>其他城市</c:v>
                </c:pt>
              </c:strCache>
            </c:strRef>
          </c:cat>
          <c:val>
            <c:numRef>
              <c:f>Sheet1!$F$2:$F$5</c:f>
              <c:numCache>
                <c:formatCode>0.00_);[Red]\(0.00\)</c:formatCode>
                <c:ptCount val="4"/>
                <c:pt idx="0">
                  <c:v>82.556274999999999</c:v>
                </c:pt>
                <c:pt idx="1">
                  <c:v>82.379159999999999</c:v>
                </c:pt>
                <c:pt idx="2">
                  <c:v>80.335635999999994</c:v>
                </c:pt>
                <c:pt idx="3">
                  <c:v>80.258133999999998</c:v>
                </c:pt>
              </c:numCache>
            </c:numRef>
          </c:val>
          <c:extLst>
            <c:ext xmlns:c16="http://schemas.microsoft.com/office/drawing/2014/chart" uri="{C3380CC4-5D6E-409C-BE32-E72D297353CC}">
              <c16:uniqueId val="{00000004-66C6-483B-8F70-F5A45B0B8F34}"/>
            </c:ext>
          </c:extLst>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9557187"/>
        <c:crosses val="autoZero"/>
        <c:auto val="1"/>
        <c:lblAlgn val="ctr"/>
        <c:lblOffset val="100"/>
        <c:noMultiLvlLbl val="0"/>
      </c:catAx>
      <c:valAx>
        <c:axId val="609557187"/>
        <c:scaling>
          <c:orientation val="minMax"/>
          <c:min val="55"/>
        </c:scaling>
        <c:delete val="1"/>
        <c:axPos val="l"/>
        <c:numFmt formatCode="General" sourceLinked="1"/>
        <c:majorTickMark val="none"/>
        <c:minorTickMark val="none"/>
        <c:tickLblPos val="nextTo"/>
        <c:crossAx val="23942283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东部</c:v>
                </c:pt>
                <c:pt idx="1">
                  <c:v>中部</c:v>
                </c:pt>
                <c:pt idx="2">
                  <c:v>西部</c:v>
                </c:pt>
              </c:strCache>
            </c:strRef>
          </c:cat>
          <c:val>
            <c:numRef>
              <c:f>Sheet1!$B$2:$B$4</c:f>
              <c:numCache>
                <c:formatCode>General</c:formatCode>
                <c:ptCount val="3"/>
                <c:pt idx="0">
                  <c:v>72.23</c:v>
                </c:pt>
                <c:pt idx="1">
                  <c:v>69.87</c:v>
                </c:pt>
                <c:pt idx="2">
                  <c:v>71</c:v>
                </c:pt>
              </c:numCache>
            </c:numRef>
          </c:val>
          <c:extLst>
            <c:ext xmlns:c16="http://schemas.microsoft.com/office/drawing/2014/chart" uri="{C3380CC4-5D6E-409C-BE32-E72D297353CC}">
              <c16:uniqueId val="{00000000-7190-4BF1-A324-DC0E6FE22EAF}"/>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东部</c:v>
                </c:pt>
                <c:pt idx="1">
                  <c:v>中部</c:v>
                </c:pt>
                <c:pt idx="2">
                  <c:v>西部</c:v>
                </c:pt>
              </c:strCache>
            </c:strRef>
          </c:cat>
          <c:val>
            <c:numRef>
              <c:f>Sheet1!$C$2:$C$4</c:f>
              <c:numCache>
                <c:formatCode>General</c:formatCode>
                <c:ptCount val="3"/>
                <c:pt idx="0">
                  <c:v>74.16</c:v>
                </c:pt>
                <c:pt idx="1">
                  <c:v>71.69</c:v>
                </c:pt>
                <c:pt idx="2">
                  <c:v>73.36</c:v>
                </c:pt>
              </c:numCache>
            </c:numRef>
          </c:val>
          <c:extLst>
            <c:ext xmlns:c16="http://schemas.microsoft.com/office/drawing/2014/chart" uri="{C3380CC4-5D6E-409C-BE32-E72D297353CC}">
              <c16:uniqueId val="{00000001-7190-4BF1-A324-DC0E6FE22EAF}"/>
            </c:ext>
          </c:extLst>
        </c:ser>
        <c:ser>
          <c:idx val="2"/>
          <c:order val="2"/>
          <c:tx>
            <c:strRef>
              <c:f>Sheet1!$D$1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东部</c:v>
                </c:pt>
                <c:pt idx="1">
                  <c:v>中部</c:v>
                </c:pt>
                <c:pt idx="2">
                  <c:v>西部</c:v>
                </c:pt>
              </c:strCache>
            </c:strRef>
          </c:cat>
          <c:val>
            <c:numRef>
              <c:f>Sheet1!$D$2:$D$4</c:f>
              <c:numCache>
                <c:formatCode>General</c:formatCode>
                <c:ptCount val="3"/>
                <c:pt idx="0">
                  <c:v>77.98</c:v>
                </c:pt>
                <c:pt idx="1">
                  <c:v>73.37</c:v>
                </c:pt>
                <c:pt idx="2">
                  <c:v>76.25</c:v>
                </c:pt>
              </c:numCache>
            </c:numRef>
          </c:val>
          <c:extLst>
            <c:ext xmlns:c16="http://schemas.microsoft.com/office/drawing/2014/chart" uri="{C3380CC4-5D6E-409C-BE32-E72D297353CC}">
              <c16:uniqueId val="{00000002-7190-4BF1-A324-DC0E6FE22EAF}"/>
            </c:ext>
          </c:extLst>
        </c:ser>
        <c:ser>
          <c:idx val="3"/>
          <c:order val="3"/>
          <c:tx>
            <c:strRef>
              <c:f>Sheet1!$E$1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东部</c:v>
                </c:pt>
                <c:pt idx="1">
                  <c:v>中部</c:v>
                </c:pt>
                <c:pt idx="2">
                  <c:v>西部</c:v>
                </c:pt>
              </c:strCache>
            </c:strRef>
          </c:cat>
          <c:val>
            <c:numRef>
              <c:f>Sheet1!$E$2:$E$4</c:f>
              <c:numCache>
                <c:formatCode>0.00_);[Red]\(0.00\)</c:formatCode>
                <c:ptCount val="3"/>
                <c:pt idx="0">
                  <c:v>80.687593094443997</c:v>
                </c:pt>
                <c:pt idx="1">
                  <c:v>77.720700765077595</c:v>
                </c:pt>
                <c:pt idx="2">
                  <c:v>78.456800815314807</c:v>
                </c:pt>
              </c:numCache>
            </c:numRef>
          </c:val>
          <c:extLst>
            <c:ext xmlns:c16="http://schemas.microsoft.com/office/drawing/2014/chart" uri="{C3380CC4-5D6E-409C-BE32-E72D297353CC}">
              <c16:uniqueId val="{00000003-7190-4BF1-A324-DC0E6FE22EAF}"/>
            </c:ext>
          </c:extLst>
        </c:ser>
        <c:ser>
          <c:idx val="4"/>
          <c:order val="4"/>
          <c:tx>
            <c:strRef>
              <c:f>Sheet1!$F$1</c:f>
              <c:strCache>
                <c:ptCount val="1"/>
                <c:pt idx="0">
                  <c:v>2021</c:v>
                </c:pt>
              </c:strCache>
            </c:strRef>
          </c:tx>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东部</c:v>
                </c:pt>
                <c:pt idx="1">
                  <c:v>中部</c:v>
                </c:pt>
                <c:pt idx="2">
                  <c:v>西部</c:v>
                </c:pt>
              </c:strCache>
            </c:strRef>
          </c:cat>
          <c:val>
            <c:numRef>
              <c:f>Sheet1!$F$2:$F$4</c:f>
              <c:numCache>
                <c:formatCode>0.00_);[Red]\(0.00\)</c:formatCode>
                <c:ptCount val="3"/>
                <c:pt idx="0">
                  <c:v>81.917265999999998</c:v>
                </c:pt>
                <c:pt idx="1">
                  <c:v>79.541460999999998</c:v>
                </c:pt>
                <c:pt idx="2">
                  <c:v>79.382037999999994</c:v>
                </c:pt>
              </c:numCache>
            </c:numRef>
          </c:val>
          <c:extLst>
            <c:ext xmlns:c16="http://schemas.microsoft.com/office/drawing/2014/chart" uri="{C3380CC4-5D6E-409C-BE32-E72D297353CC}">
              <c16:uniqueId val="{00000004-7190-4BF1-A324-DC0E6FE22EAF}"/>
            </c:ext>
          </c:extLst>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9557187"/>
        <c:crosses val="autoZero"/>
        <c:auto val="1"/>
        <c:lblAlgn val="ctr"/>
        <c:lblOffset val="100"/>
        <c:noMultiLvlLbl val="0"/>
      </c:catAx>
      <c:valAx>
        <c:axId val="609557187"/>
        <c:scaling>
          <c:orientation val="minMax"/>
          <c:min val="55"/>
        </c:scaling>
        <c:delete val="1"/>
        <c:axPos val="l"/>
        <c:numFmt formatCode="General" sourceLinked="1"/>
        <c:majorTickMark val="none"/>
        <c:minorTickMark val="none"/>
        <c:tickLblPos val="nextTo"/>
        <c:crossAx val="23942283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华东</c:v>
                </c:pt>
                <c:pt idx="1">
                  <c:v>华北</c:v>
                </c:pt>
                <c:pt idx="2">
                  <c:v>华中</c:v>
                </c:pt>
                <c:pt idx="3">
                  <c:v>华南</c:v>
                </c:pt>
                <c:pt idx="4">
                  <c:v>西南</c:v>
                </c:pt>
                <c:pt idx="5">
                  <c:v>东北</c:v>
                </c:pt>
                <c:pt idx="6">
                  <c:v>西北</c:v>
                </c:pt>
              </c:strCache>
            </c:strRef>
          </c:cat>
          <c:val>
            <c:numRef>
              <c:f>Sheet1!$B$2:$B$8</c:f>
              <c:numCache>
                <c:formatCode>General</c:formatCode>
                <c:ptCount val="7"/>
                <c:pt idx="0">
                  <c:v>72.959999999999994</c:v>
                </c:pt>
                <c:pt idx="1">
                  <c:v>71.209999999999994</c:v>
                </c:pt>
                <c:pt idx="2">
                  <c:v>69.7</c:v>
                </c:pt>
                <c:pt idx="3">
                  <c:v>71.209999999999994</c:v>
                </c:pt>
                <c:pt idx="4">
                  <c:v>71.34</c:v>
                </c:pt>
                <c:pt idx="5">
                  <c:v>70.510000000000005</c:v>
                </c:pt>
                <c:pt idx="6">
                  <c:v>70.06</c:v>
                </c:pt>
              </c:numCache>
            </c:numRef>
          </c:val>
          <c:extLst>
            <c:ext xmlns:c16="http://schemas.microsoft.com/office/drawing/2014/chart" uri="{C3380CC4-5D6E-409C-BE32-E72D297353CC}">
              <c16:uniqueId val="{00000000-7AAE-42E9-A4E5-88EBEB7C332D}"/>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华东</c:v>
                </c:pt>
                <c:pt idx="1">
                  <c:v>华北</c:v>
                </c:pt>
                <c:pt idx="2">
                  <c:v>华中</c:v>
                </c:pt>
                <c:pt idx="3">
                  <c:v>华南</c:v>
                </c:pt>
                <c:pt idx="4">
                  <c:v>西南</c:v>
                </c:pt>
                <c:pt idx="5">
                  <c:v>东北</c:v>
                </c:pt>
                <c:pt idx="6">
                  <c:v>西北</c:v>
                </c:pt>
              </c:strCache>
            </c:strRef>
          </c:cat>
          <c:val>
            <c:numRef>
              <c:f>Sheet1!$C$2:$C$8</c:f>
              <c:numCache>
                <c:formatCode>General</c:formatCode>
                <c:ptCount val="7"/>
                <c:pt idx="0">
                  <c:v>74.23</c:v>
                </c:pt>
                <c:pt idx="1">
                  <c:v>73.89</c:v>
                </c:pt>
                <c:pt idx="2">
                  <c:v>71.599999999999994</c:v>
                </c:pt>
                <c:pt idx="3">
                  <c:v>73.819999999999993</c:v>
                </c:pt>
                <c:pt idx="4">
                  <c:v>73.86</c:v>
                </c:pt>
                <c:pt idx="5">
                  <c:v>72.56</c:v>
                </c:pt>
                <c:pt idx="6">
                  <c:v>71.12</c:v>
                </c:pt>
              </c:numCache>
            </c:numRef>
          </c:val>
          <c:extLst>
            <c:ext xmlns:c16="http://schemas.microsoft.com/office/drawing/2014/chart" uri="{C3380CC4-5D6E-409C-BE32-E72D297353CC}">
              <c16:uniqueId val="{00000001-7AAE-42E9-A4E5-88EBEB7C332D}"/>
            </c:ext>
          </c:extLst>
        </c:ser>
        <c:ser>
          <c:idx val="2"/>
          <c:order val="2"/>
          <c:tx>
            <c:strRef>
              <c:f>Sheet1!$D$1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华东</c:v>
                </c:pt>
                <c:pt idx="1">
                  <c:v>华北</c:v>
                </c:pt>
                <c:pt idx="2">
                  <c:v>华中</c:v>
                </c:pt>
                <c:pt idx="3">
                  <c:v>华南</c:v>
                </c:pt>
                <c:pt idx="4">
                  <c:v>西南</c:v>
                </c:pt>
                <c:pt idx="5">
                  <c:v>东北</c:v>
                </c:pt>
                <c:pt idx="6">
                  <c:v>西北</c:v>
                </c:pt>
              </c:strCache>
            </c:strRef>
          </c:cat>
          <c:val>
            <c:numRef>
              <c:f>Sheet1!$D$2:$D$8</c:f>
              <c:numCache>
                <c:formatCode>General</c:formatCode>
                <c:ptCount val="7"/>
                <c:pt idx="0">
                  <c:v>78.760000000000005</c:v>
                </c:pt>
                <c:pt idx="1">
                  <c:v>76.41</c:v>
                </c:pt>
                <c:pt idx="2">
                  <c:v>73.28</c:v>
                </c:pt>
                <c:pt idx="3">
                  <c:v>76.8</c:v>
                </c:pt>
                <c:pt idx="4">
                  <c:v>76.239999999999995</c:v>
                </c:pt>
                <c:pt idx="5">
                  <c:v>75.010000000000005</c:v>
                </c:pt>
                <c:pt idx="6">
                  <c:v>75.680000000000007</c:v>
                </c:pt>
              </c:numCache>
            </c:numRef>
          </c:val>
          <c:extLst>
            <c:ext xmlns:c16="http://schemas.microsoft.com/office/drawing/2014/chart" uri="{C3380CC4-5D6E-409C-BE32-E72D297353CC}">
              <c16:uniqueId val="{00000002-7AAE-42E9-A4E5-88EBEB7C332D}"/>
            </c:ext>
          </c:extLst>
        </c:ser>
        <c:ser>
          <c:idx val="3"/>
          <c:order val="3"/>
          <c:tx>
            <c:strRef>
              <c:f>Sheet1!$E$1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华东</c:v>
                </c:pt>
                <c:pt idx="1">
                  <c:v>华北</c:v>
                </c:pt>
                <c:pt idx="2">
                  <c:v>华中</c:v>
                </c:pt>
                <c:pt idx="3">
                  <c:v>华南</c:v>
                </c:pt>
                <c:pt idx="4">
                  <c:v>西南</c:v>
                </c:pt>
                <c:pt idx="5">
                  <c:v>东北</c:v>
                </c:pt>
                <c:pt idx="6">
                  <c:v>西北</c:v>
                </c:pt>
              </c:strCache>
            </c:strRef>
          </c:cat>
          <c:val>
            <c:numRef>
              <c:f>Sheet1!$E$2:$E$8</c:f>
              <c:numCache>
                <c:formatCode>0.00_);[Red]\(0.00\)</c:formatCode>
                <c:ptCount val="7"/>
                <c:pt idx="0">
                  <c:v>81.921248753980393</c:v>
                </c:pt>
                <c:pt idx="1">
                  <c:v>78.242591558426199</c:v>
                </c:pt>
                <c:pt idx="2">
                  <c:v>78.0352410550298</c:v>
                </c:pt>
                <c:pt idx="3">
                  <c:v>78.195681732885902</c:v>
                </c:pt>
                <c:pt idx="4">
                  <c:v>77.6360904613298</c:v>
                </c:pt>
                <c:pt idx="5">
                  <c:v>77.392574809661298</c:v>
                </c:pt>
                <c:pt idx="6">
                  <c:v>79.088820919046199</c:v>
                </c:pt>
              </c:numCache>
            </c:numRef>
          </c:val>
          <c:extLst>
            <c:ext xmlns:c16="http://schemas.microsoft.com/office/drawing/2014/chart" uri="{C3380CC4-5D6E-409C-BE32-E72D297353CC}">
              <c16:uniqueId val="{00000003-7AAE-42E9-A4E5-88EBEB7C332D}"/>
            </c:ext>
          </c:extLst>
        </c:ser>
        <c:ser>
          <c:idx val="4"/>
          <c:order val="4"/>
          <c:tx>
            <c:strRef>
              <c:f>Sheet1!$F$1</c:f>
              <c:strCache>
                <c:ptCount val="1"/>
                <c:pt idx="0">
                  <c:v>2021</c:v>
                </c:pt>
              </c:strCache>
            </c:strRef>
          </c:tx>
          <c:spPr>
            <a:solidFill>
              <a:schemeClr val="accent2">
                <a:lumMod val="75000"/>
              </a:schemeClr>
            </a:solidFill>
            <a:ln>
              <a:noFill/>
            </a:ln>
            <a:effectLst/>
          </c:spPr>
          <c:invertIfNegative val="0"/>
          <c:dLbls>
            <c:dLbl>
              <c:idx val="0"/>
              <c:layout>
                <c:manualLayout>
                  <c:x val="0"/>
                  <c:y val="-1.016949152542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E-42E9-A4E5-88EBEB7C332D}"/>
                </c:ext>
              </c:extLst>
            </c:dLbl>
            <c:dLbl>
              <c:idx val="6"/>
              <c:layout>
                <c:manualLayout>
                  <c:x val="1.63909359038572E-2"/>
                  <c:y val="3.7288135593220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E-42E9-A4E5-88EBEB7C332D}"/>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华东</c:v>
                </c:pt>
                <c:pt idx="1">
                  <c:v>华北</c:v>
                </c:pt>
                <c:pt idx="2">
                  <c:v>华中</c:v>
                </c:pt>
                <c:pt idx="3">
                  <c:v>华南</c:v>
                </c:pt>
                <c:pt idx="4">
                  <c:v>西南</c:v>
                </c:pt>
                <c:pt idx="5">
                  <c:v>东北</c:v>
                </c:pt>
                <c:pt idx="6">
                  <c:v>西北</c:v>
                </c:pt>
              </c:strCache>
            </c:strRef>
          </c:cat>
          <c:val>
            <c:numRef>
              <c:f>Sheet1!$F$2:$F$8</c:f>
              <c:numCache>
                <c:formatCode>0.00_);[Red]\(0.00\)</c:formatCode>
                <c:ptCount val="7"/>
                <c:pt idx="0">
                  <c:v>82.613555000000005</c:v>
                </c:pt>
                <c:pt idx="1">
                  <c:v>80.179694999999995</c:v>
                </c:pt>
                <c:pt idx="2">
                  <c:v>79.857709</c:v>
                </c:pt>
                <c:pt idx="3">
                  <c:v>79.830768000000006</c:v>
                </c:pt>
                <c:pt idx="4">
                  <c:v>79.672809999999998</c:v>
                </c:pt>
                <c:pt idx="5">
                  <c:v>79.496016999999995</c:v>
                </c:pt>
                <c:pt idx="6">
                  <c:v>79.058083999999994</c:v>
                </c:pt>
              </c:numCache>
            </c:numRef>
          </c:val>
          <c:extLst>
            <c:ext xmlns:c16="http://schemas.microsoft.com/office/drawing/2014/chart" uri="{C3380CC4-5D6E-409C-BE32-E72D297353CC}">
              <c16:uniqueId val="{00000006-7AAE-42E9-A4E5-88EBEB7C332D}"/>
            </c:ext>
          </c:extLst>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9557187"/>
        <c:crosses val="autoZero"/>
        <c:auto val="1"/>
        <c:lblAlgn val="ctr"/>
        <c:lblOffset val="100"/>
        <c:noMultiLvlLbl val="0"/>
      </c:catAx>
      <c:valAx>
        <c:axId val="609557187"/>
        <c:scaling>
          <c:orientation val="minMax"/>
          <c:min val="55"/>
        </c:scaling>
        <c:delete val="1"/>
        <c:axPos val="l"/>
        <c:numFmt formatCode="General" sourceLinked="1"/>
        <c:majorTickMark val="none"/>
        <c:minorTickMark val="none"/>
        <c:tickLblPos val="nextTo"/>
        <c:crossAx val="23942283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2017</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江苏省</c:v>
                </c:pt>
                <c:pt idx="1">
                  <c:v>上海市</c:v>
                </c:pt>
                <c:pt idx="2">
                  <c:v>北京市</c:v>
                </c:pt>
                <c:pt idx="3">
                  <c:v>浙江省</c:v>
                </c:pt>
                <c:pt idx="4">
                  <c:v>山东省</c:v>
                </c:pt>
                <c:pt idx="5">
                  <c:v>福建省</c:v>
                </c:pt>
                <c:pt idx="6">
                  <c:v>天津市</c:v>
                </c:pt>
                <c:pt idx="7">
                  <c:v>湖北省</c:v>
                </c:pt>
                <c:pt idx="8">
                  <c:v>广东省</c:v>
                </c:pt>
                <c:pt idx="9">
                  <c:v>四川省</c:v>
                </c:pt>
                <c:pt idx="10">
                  <c:v>西藏自治区</c:v>
                </c:pt>
                <c:pt idx="11">
                  <c:v>宁夏回族自治区</c:v>
                </c:pt>
                <c:pt idx="12">
                  <c:v>黑龙江省</c:v>
                </c:pt>
                <c:pt idx="13">
                  <c:v>广西壮族自治区</c:v>
                </c:pt>
                <c:pt idx="14">
                  <c:v>青海省</c:v>
                </c:pt>
              </c:strCache>
            </c:strRef>
          </c:cat>
          <c:val>
            <c:numRef>
              <c:f>Sheet1!$B$2:$B$16</c:f>
              <c:numCache>
                <c:formatCode>General</c:formatCode>
                <c:ptCount val="15"/>
                <c:pt idx="0">
                  <c:v>73.23</c:v>
                </c:pt>
                <c:pt idx="1">
                  <c:v>74.760000000000005</c:v>
                </c:pt>
                <c:pt idx="2">
                  <c:v>71.52</c:v>
                </c:pt>
                <c:pt idx="3">
                  <c:v>71.84</c:v>
                </c:pt>
                <c:pt idx="4">
                  <c:v>71.73</c:v>
                </c:pt>
                <c:pt idx="5">
                  <c:v>70.56</c:v>
                </c:pt>
                <c:pt idx="6">
                  <c:v>71.510000000000005</c:v>
                </c:pt>
                <c:pt idx="7">
                  <c:v>69.459999999999994</c:v>
                </c:pt>
                <c:pt idx="8">
                  <c:v>71.48</c:v>
                </c:pt>
                <c:pt idx="9">
                  <c:v>70.67</c:v>
                </c:pt>
                <c:pt idx="10">
                  <c:v>60.93</c:v>
                </c:pt>
                <c:pt idx="11">
                  <c:v>66.930000000000007</c:v>
                </c:pt>
                <c:pt idx="12">
                  <c:v>70.739999999999995</c:v>
                </c:pt>
                <c:pt idx="13">
                  <c:v>67.150000000000006</c:v>
                </c:pt>
                <c:pt idx="14">
                  <c:v>69.400000000000006</c:v>
                </c:pt>
              </c:numCache>
            </c:numRef>
          </c:val>
          <c:extLst>
            <c:ext xmlns:c16="http://schemas.microsoft.com/office/drawing/2014/chart" uri="{C3380CC4-5D6E-409C-BE32-E72D297353CC}">
              <c16:uniqueId val="{00000000-5E4E-4850-BAF5-37860231966D}"/>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江苏省</c:v>
                </c:pt>
                <c:pt idx="1">
                  <c:v>上海市</c:v>
                </c:pt>
                <c:pt idx="2">
                  <c:v>北京市</c:v>
                </c:pt>
                <c:pt idx="3">
                  <c:v>浙江省</c:v>
                </c:pt>
                <c:pt idx="4">
                  <c:v>山东省</c:v>
                </c:pt>
                <c:pt idx="5">
                  <c:v>福建省</c:v>
                </c:pt>
                <c:pt idx="6">
                  <c:v>天津市</c:v>
                </c:pt>
                <c:pt idx="7">
                  <c:v>湖北省</c:v>
                </c:pt>
                <c:pt idx="8">
                  <c:v>广东省</c:v>
                </c:pt>
                <c:pt idx="9">
                  <c:v>四川省</c:v>
                </c:pt>
                <c:pt idx="10">
                  <c:v>西藏自治区</c:v>
                </c:pt>
                <c:pt idx="11">
                  <c:v>宁夏回族自治区</c:v>
                </c:pt>
                <c:pt idx="12">
                  <c:v>黑龙江省</c:v>
                </c:pt>
                <c:pt idx="13">
                  <c:v>广西壮族自治区</c:v>
                </c:pt>
                <c:pt idx="14">
                  <c:v>青海省</c:v>
                </c:pt>
              </c:strCache>
            </c:strRef>
          </c:cat>
          <c:val>
            <c:numRef>
              <c:f>Sheet1!$C$2:$C$16</c:f>
              <c:numCache>
                <c:formatCode>General</c:formatCode>
                <c:ptCount val="15"/>
                <c:pt idx="0">
                  <c:v>74.239999999999995</c:v>
                </c:pt>
                <c:pt idx="1">
                  <c:v>75.540000000000006</c:v>
                </c:pt>
                <c:pt idx="2">
                  <c:v>74.67</c:v>
                </c:pt>
                <c:pt idx="3">
                  <c:v>73.44</c:v>
                </c:pt>
                <c:pt idx="4">
                  <c:v>73.650000000000006</c:v>
                </c:pt>
                <c:pt idx="5">
                  <c:v>73.8</c:v>
                </c:pt>
                <c:pt idx="6">
                  <c:v>72.819999999999993</c:v>
                </c:pt>
                <c:pt idx="7">
                  <c:v>71.72</c:v>
                </c:pt>
                <c:pt idx="8">
                  <c:v>74.069999999999993</c:v>
                </c:pt>
                <c:pt idx="9">
                  <c:v>73.72</c:v>
                </c:pt>
                <c:pt idx="10">
                  <c:v>65.14</c:v>
                </c:pt>
                <c:pt idx="11">
                  <c:v>70.73</c:v>
                </c:pt>
                <c:pt idx="12">
                  <c:v>72.569999999999993</c:v>
                </c:pt>
                <c:pt idx="13">
                  <c:v>68.989999999999995</c:v>
                </c:pt>
                <c:pt idx="14">
                  <c:v>71.760000000000005</c:v>
                </c:pt>
              </c:numCache>
            </c:numRef>
          </c:val>
          <c:extLst>
            <c:ext xmlns:c16="http://schemas.microsoft.com/office/drawing/2014/chart" uri="{C3380CC4-5D6E-409C-BE32-E72D297353CC}">
              <c16:uniqueId val="{00000001-5E4E-4850-BAF5-37860231966D}"/>
            </c:ext>
          </c:extLst>
        </c:ser>
        <c:ser>
          <c:idx val="2"/>
          <c:order val="2"/>
          <c:tx>
            <c:strRef>
              <c:f>Sheet1!$D$1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江苏省</c:v>
                </c:pt>
                <c:pt idx="1">
                  <c:v>上海市</c:v>
                </c:pt>
                <c:pt idx="2">
                  <c:v>北京市</c:v>
                </c:pt>
                <c:pt idx="3">
                  <c:v>浙江省</c:v>
                </c:pt>
                <c:pt idx="4">
                  <c:v>山东省</c:v>
                </c:pt>
                <c:pt idx="5">
                  <c:v>福建省</c:v>
                </c:pt>
                <c:pt idx="6">
                  <c:v>天津市</c:v>
                </c:pt>
                <c:pt idx="7">
                  <c:v>湖北省</c:v>
                </c:pt>
                <c:pt idx="8">
                  <c:v>广东省</c:v>
                </c:pt>
                <c:pt idx="9">
                  <c:v>四川省</c:v>
                </c:pt>
                <c:pt idx="10">
                  <c:v>西藏自治区</c:v>
                </c:pt>
                <c:pt idx="11">
                  <c:v>宁夏回族自治区</c:v>
                </c:pt>
                <c:pt idx="12">
                  <c:v>黑龙江省</c:v>
                </c:pt>
                <c:pt idx="13">
                  <c:v>广西壮族自治区</c:v>
                </c:pt>
                <c:pt idx="14">
                  <c:v>青海省</c:v>
                </c:pt>
              </c:strCache>
            </c:strRef>
          </c:cat>
          <c:val>
            <c:numRef>
              <c:f>Sheet1!$D$2:$D$16</c:f>
              <c:numCache>
                <c:formatCode>General</c:formatCode>
                <c:ptCount val="15"/>
                <c:pt idx="0">
                  <c:v>77.03</c:v>
                </c:pt>
                <c:pt idx="1">
                  <c:v>81.25</c:v>
                </c:pt>
                <c:pt idx="2">
                  <c:v>78.150000000000006</c:v>
                </c:pt>
                <c:pt idx="3">
                  <c:v>78.760000000000005</c:v>
                </c:pt>
                <c:pt idx="4">
                  <c:v>79.12</c:v>
                </c:pt>
                <c:pt idx="5">
                  <c:v>76.14</c:v>
                </c:pt>
                <c:pt idx="6">
                  <c:v>75.010000000000005</c:v>
                </c:pt>
                <c:pt idx="7">
                  <c:v>73.39</c:v>
                </c:pt>
                <c:pt idx="8">
                  <c:v>76.849999999999994</c:v>
                </c:pt>
                <c:pt idx="9">
                  <c:v>77.239999999999995</c:v>
                </c:pt>
                <c:pt idx="10">
                  <c:v>74.31</c:v>
                </c:pt>
                <c:pt idx="11">
                  <c:v>77.63</c:v>
                </c:pt>
                <c:pt idx="12">
                  <c:v>74.08</c:v>
                </c:pt>
                <c:pt idx="13">
                  <c:v>76.7</c:v>
                </c:pt>
                <c:pt idx="14">
                  <c:v>74.819999999999993</c:v>
                </c:pt>
              </c:numCache>
            </c:numRef>
          </c:val>
          <c:extLst>
            <c:ext xmlns:c16="http://schemas.microsoft.com/office/drawing/2014/chart" uri="{C3380CC4-5D6E-409C-BE32-E72D297353CC}">
              <c16:uniqueId val="{00000002-5E4E-4850-BAF5-37860231966D}"/>
            </c:ext>
          </c:extLst>
        </c:ser>
        <c:ser>
          <c:idx val="3"/>
          <c:order val="3"/>
          <c:tx>
            <c:strRef>
              <c:f>Sheet1!$E$1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江苏省</c:v>
                </c:pt>
                <c:pt idx="1">
                  <c:v>上海市</c:v>
                </c:pt>
                <c:pt idx="2">
                  <c:v>北京市</c:v>
                </c:pt>
                <c:pt idx="3">
                  <c:v>浙江省</c:v>
                </c:pt>
                <c:pt idx="4">
                  <c:v>山东省</c:v>
                </c:pt>
                <c:pt idx="5">
                  <c:v>福建省</c:v>
                </c:pt>
                <c:pt idx="6">
                  <c:v>天津市</c:v>
                </c:pt>
                <c:pt idx="7">
                  <c:v>湖北省</c:v>
                </c:pt>
                <c:pt idx="8">
                  <c:v>广东省</c:v>
                </c:pt>
                <c:pt idx="9">
                  <c:v>四川省</c:v>
                </c:pt>
                <c:pt idx="10">
                  <c:v>西藏自治区</c:v>
                </c:pt>
                <c:pt idx="11">
                  <c:v>宁夏回族自治区</c:v>
                </c:pt>
                <c:pt idx="12">
                  <c:v>黑龙江省</c:v>
                </c:pt>
                <c:pt idx="13">
                  <c:v>广西壮族自治区</c:v>
                </c:pt>
                <c:pt idx="14">
                  <c:v>青海省</c:v>
                </c:pt>
              </c:strCache>
            </c:strRef>
          </c:cat>
          <c:val>
            <c:numRef>
              <c:f>Sheet1!$E$2:$E$16</c:f>
              <c:numCache>
                <c:formatCode>0.00_);[Red]\(0.00\)</c:formatCode>
                <c:ptCount val="15"/>
                <c:pt idx="0">
                  <c:v>82.590591251535201</c:v>
                </c:pt>
                <c:pt idx="1">
                  <c:v>83.650345208464302</c:v>
                </c:pt>
                <c:pt idx="2">
                  <c:v>82.669073132137697</c:v>
                </c:pt>
                <c:pt idx="3">
                  <c:v>82.388583918135893</c:v>
                </c:pt>
                <c:pt idx="4">
                  <c:v>82.558866286002996</c:v>
                </c:pt>
                <c:pt idx="5">
                  <c:v>81.102900060959399</c:v>
                </c:pt>
                <c:pt idx="6">
                  <c:v>81.284315462638006</c:v>
                </c:pt>
                <c:pt idx="7">
                  <c:v>79.327703134230305</c:v>
                </c:pt>
                <c:pt idx="8">
                  <c:v>77.554754900055102</c:v>
                </c:pt>
                <c:pt idx="9">
                  <c:v>79.7679238274184</c:v>
                </c:pt>
                <c:pt idx="10">
                  <c:v>82.064419711700793</c:v>
                </c:pt>
                <c:pt idx="11">
                  <c:v>81.8783667306718</c:v>
                </c:pt>
                <c:pt idx="12">
                  <c:v>77.604368389557905</c:v>
                </c:pt>
                <c:pt idx="13">
                  <c:v>79.108216559537993</c:v>
                </c:pt>
                <c:pt idx="14">
                  <c:v>79.376859542573698</c:v>
                </c:pt>
              </c:numCache>
            </c:numRef>
          </c:val>
          <c:extLst>
            <c:ext xmlns:c16="http://schemas.microsoft.com/office/drawing/2014/chart" uri="{C3380CC4-5D6E-409C-BE32-E72D297353CC}">
              <c16:uniqueId val="{00000003-5E4E-4850-BAF5-37860231966D}"/>
            </c:ext>
          </c:extLst>
        </c:ser>
        <c:ser>
          <c:idx val="4"/>
          <c:order val="4"/>
          <c:tx>
            <c:strRef>
              <c:f>Sheet1!$F$1</c:f>
              <c:strCache>
                <c:ptCount val="1"/>
                <c:pt idx="0">
                  <c:v>2021</c:v>
                </c:pt>
              </c:strCache>
            </c:strRef>
          </c:tx>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江苏省</c:v>
                </c:pt>
                <c:pt idx="1">
                  <c:v>上海市</c:v>
                </c:pt>
                <c:pt idx="2">
                  <c:v>北京市</c:v>
                </c:pt>
                <c:pt idx="3">
                  <c:v>浙江省</c:v>
                </c:pt>
                <c:pt idx="4">
                  <c:v>山东省</c:v>
                </c:pt>
                <c:pt idx="5">
                  <c:v>福建省</c:v>
                </c:pt>
                <c:pt idx="6">
                  <c:v>天津市</c:v>
                </c:pt>
                <c:pt idx="7">
                  <c:v>湖北省</c:v>
                </c:pt>
                <c:pt idx="8">
                  <c:v>广东省</c:v>
                </c:pt>
                <c:pt idx="9">
                  <c:v>四川省</c:v>
                </c:pt>
                <c:pt idx="10">
                  <c:v>西藏自治区</c:v>
                </c:pt>
                <c:pt idx="11">
                  <c:v>宁夏回族自治区</c:v>
                </c:pt>
                <c:pt idx="12">
                  <c:v>黑龙江省</c:v>
                </c:pt>
                <c:pt idx="13">
                  <c:v>广西壮族自治区</c:v>
                </c:pt>
                <c:pt idx="14">
                  <c:v>青海省</c:v>
                </c:pt>
              </c:strCache>
            </c:strRef>
          </c:cat>
          <c:val>
            <c:numRef>
              <c:f>Sheet1!$F$2:$F$16</c:f>
              <c:numCache>
                <c:formatCode>0.00_);[Red]\(0.00\)</c:formatCode>
                <c:ptCount val="15"/>
                <c:pt idx="0">
                  <c:v>84.702732999999995</c:v>
                </c:pt>
                <c:pt idx="1">
                  <c:v>84.574184000000002</c:v>
                </c:pt>
                <c:pt idx="2">
                  <c:v>83.485326000000001</c:v>
                </c:pt>
                <c:pt idx="3">
                  <c:v>82.595095999999998</c:v>
                </c:pt>
                <c:pt idx="4">
                  <c:v>82.586256000000006</c:v>
                </c:pt>
                <c:pt idx="5">
                  <c:v>81.556068999999994</c:v>
                </c:pt>
                <c:pt idx="6">
                  <c:v>81.484999999999999</c:v>
                </c:pt>
                <c:pt idx="7">
                  <c:v>80.889826999999997</c:v>
                </c:pt>
                <c:pt idx="8">
                  <c:v>80.554128000000006</c:v>
                </c:pt>
                <c:pt idx="9">
                  <c:v>80.501622999999995</c:v>
                </c:pt>
                <c:pt idx="10">
                  <c:v>80.485712000000007</c:v>
                </c:pt>
                <c:pt idx="11">
                  <c:v>80.403604999999999</c:v>
                </c:pt>
                <c:pt idx="12">
                  <c:v>80.076909999999998</c:v>
                </c:pt>
                <c:pt idx="13">
                  <c:v>79.867897999999997</c:v>
                </c:pt>
                <c:pt idx="14">
                  <c:v>79.829644000000002</c:v>
                </c:pt>
              </c:numCache>
            </c:numRef>
          </c:val>
          <c:extLst>
            <c:ext xmlns:c16="http://schemas.microsoft.com/office/drawing/2014/chart" uri="{C3380CC4-5D6E-409C-BE32-E72D297353CC}">
              <c16:uniqueId val="{00000004-5E4E-4850-BAF5-37860231966D}"/>
            </c:ext>
          </c:extLst>
        </c:ser>
        <c:dLbls>
          <c:showLegendKey val="0"/>
          <c:showVal val="1"/>
          <c:showCatName val="0"/>
          <c:showSerName val="0"/>
          <c:showPercent val="0"/>
          <c:showBubbleSize val="0"/>
        </c:dLbls>
        <c:gapWidth val="182"/>
        <c:axId val="174881062"/>
        <c:axId val="709473472"/>
      </c:barChart>
      <c:catAx>
        <c:axId val="17488106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9473472"/>
        <c:crosses val="autoZero"/>
        <c:auto val="1"/>
        <c:lblAlgn val="ctr"/>
        <c:lblOffset val="100"/>
        <c:noMultiLvlLbl val="0"/>
      </c:catAx>
      <c:valAx>
        <c:axId val="709473472"/>
        <c:scaling>
          <c:orientation val="minMax"/>
          <c:min val="55"/>
        </c:scaling>
        <c:delete val="1"/>
        <c:axPos val="t"/>
        <c:numFmt formatCode="General" sourceLinked="1"/>
        <c:majorTickMark val="none"/>
        <c:minorTickMark val="none"/>
        <c:tickLblPos val="nextTo"/>
        <c:crossAx val="17488106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2017</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辽宁省</c:v>
                </c:pt>
                <c:pt idx="1">
                  <c:v>河南省</c:v>
                </c:pt>
                <c:pt idx="2">
                  <c:v>新疆维吾尔自治区</c:v>
                </c:pt>
                <c:pt idx="3">
                  <c:v>江西省</c:v>
                </c:pt>
                <c:pt idx="4">
                  <c:v>山西省</c:v>
                </c:pt>
                <c:pt idx="5">
                  <c:v>安徽省</c:v>
                </c:pt>
                <c:pt idx="6">
                  <c:v>贵州省</c:v>
                </c:pt>
                <c:pt idx="7">
                  <c:v>内蒙古自治区</c:v>
                </c:pt>
                <c:pt idx="8">
                  <c:v>湖南省</c:v>
                </c:pt>
                <c:pt idx="9">
                  <c:v>云南省</c:v>
                </c:pt>
                <c:pt idx="10">
                  <c:v>河北省</c:v>
                </c:pt>
                <c:pt idx="11">
                  <c:v>重庆市</c:v>
                </c:pt>
                <c:pt idx="12">
                  <c:v>吉林省</c:v>
                </c:pt>
                <c:pt idx="13">
                  <c:v>甘肃省</c:v>
                </c:pt>
                <c:pt idx="14">
                  <c:v>陕西省</c:v>
                </c:pt>
                <c:pt idx="15">
                  <c:v>海南省</c:v>
                </c:pt>
              </c:strCache>
            </c:strRef>
          </c:cat>
          <c:val>
            <c:numRef>
              <c:f>Sheet1!$B$2:$B$17</c:f>
              <c:numCache>
                <c:formatCode>General</c:formatCode>
                <c:ptCount val="16"/>
                <c:pt idx="0">
                  <c:v>71.17</c:v>
                </c:pt>
                <c:pt idx="1">
                  <c:v>70.11</c:v>
                </c:pt>
                <c:pt idx="2">
                  <c:v>71.42</c:v>
                </c:pt>
                <c:pt idx="3">
                  <c:v>69.27</c:v>
                </c:pt>
                <c:pt idx="4">
                  <c:v>68.36</c:v>
                </c:pt>
                <c:pt idx="5">
                  <c:v>72.37</c:v>
                </c:pt>
                <c:pt idx="6">
                  <c:v>67.05</c:v>
                </c:pt>
                <c:pt idx="7">
                  <c:v>70.34</c:v>
                </c:pt>
                <c:pt idx="8">
                  <c:v>69.760000000000005</c:v>
                </c:pt>
                <c:pt idx="9">
                  <c:v>66.73</c:v>
                </c:pt>
                <c:pt idx="10">
                  <c:v>69.78</c:v>
                </c:pt>
                <c:pt idx="11">
                  <c:v>71.95</c:v>
                </c:pt>
                <c:pt idx="12">
                  <c:v>68.23</c:v>
                </c:pt>
                <c:pt idx="13">
                  <c:v>69.81</c:v>
                </c:pt>
                <c:pt idx="14">
                  <c:v>70.010000000000005</c:v>
                </c:pt>
                <c:pt idx="15">
                  <c:v>68.95</c:v>
                </c:pt>
              </c:numCache>
            </c:numRef>
          </c:val>
          <c:extLst>
            <c:ext xmlns:c16="http://schemas.microsoft.com/office/drawing/2014/chart" uri="{C3380CC4-5D6E-409C-BE32-E72D297353CC}">
              <c16:uniqueId val="{00000000-8719-411B-9ABE-EAAEBCA0E029}"/>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辽宁省</c:v>
                </c:pt>
                <c:pt idx="1">
                  <c:v>河南省</c:v>
                </c:pt>
                <c:pt idx="2">
                  <c:v>新疆维吾尔自治区</c:v>
                </c:pt>
                <c:pt idx="3">
                  <c:v>江西省</c:v>
                </c:pt>
                <c:pt idx="4">
                  <c:v>山西省</c:v>
                </c:pt>
                <c:pt idx="5">
                  <c:v>安徽省</c:v>
                </c:pt>
                <c:pt idx="6">
                  <c:v>贵州省</c:v>
                </c:pt>
                <c:pt idx="7">
                  <c:v>内蒙古自治区</c:v>
                </c:pt>
                <c:pt idx="8">
                  <c:v>湖南省</c:v>
                </c:pt>
                <c:pt idx="9">
                  <c:v>云南省</c:v>
                </c:pt>
                <c:pt idx="10">
                  <c:v>河北省</c:v>
                </c:pt>
                <c:pt idx="11">
                  <c:v>重庆市</c:v>
                </c:pt>
                <c:pt idx="12">
                  <c:v>吉林省</c:v>
                </c:pt>
                <c:pt idx="13">
                  <c:v>甘肃省</c:v>
                </c:pt>
                <c:pt idx="14">
                  <c:v>陕西省</c:v>
                </c:pt>
                <c:pt idx="15">
                  <c:v>海南省</c:v>
                </c:pt>
              </c:strCache>
            </c:strRef>
          </c:cat>
          <c:val>
            <c:numRef>
              <c:f>Sheet1!$C$2:$C$17</c:f>
              <c:numCache>
                <c:formatCode>General</c:formatCode>
                <c:ptCount val="16"/>
                <c:pt idx="0">
                  <c:v>72.98</c:v>
                </c:pt>
                <c:pt idx="1">
                  <c:v>71.709999999999994</c:v>
                </c:pt>
                <c:pt idx="2">
                  <c:v>72.45</c:v>
                </c:pt>
                <c:pt idx="3">
                  <c:v>69.849999999999994</c:v>
                </c:pt>
                <c:pt idx="4">
                  <c:v>72.44</c:v>
                </c:pt>
                <c:pt idx="5">
                  <c:v>71.66</c:v>
                </c:pt>
                <c:pt idx="6">
                  <c:v>72.760000000000005</c:v>
                </c:pt>
                <c:pt idx="7">
                  <c:v>72.84</c:v>
                </c:pt>
                <c:pt idx="8">
                  <c:v>71.14</c:v>
                </c:pt>
                <c:pt idx="9">
                  <c:v>71.62</c:v>
                </c:pt>
                <c:pt idx="10">
                  <c:v>72.64</c:v>
                </c:pt>
                <c:pt idx="11">
                  <c:v>74.180000000000007</c:v>
                </c:pt>
                <c:pt idx="12">
                  <c:v>71.62</c:v>
                </c:pt>
                <c:pt idx="13">
                  <c:v>69.88</c:v>
                </c:pt>
                <c:pt idx="14">
                  <c:v>70.95</c:v>
                </c:pt>
                <c:pt idx="15">
                  <c:v>65.819999999999993</c:v>
                </c:pt>
              </c:numCache>
            </c:numRef>
          </c:val>
          <c:extLst>
            <c:ext xmlns:c16="http://schemas.microsoft.com/office/drawing/2014/chart" uri="{C3380CC4-5D6E-409C-BE32-E72D297353CC}">
              <c16:uniqueId val="{00000001-8719-411B-9ABE-EAAEBCA0E029}"/>
            </c:ext>
          </c:extLst>
        </c:ser>
        <c:ser>
          <c:idx val="2"/>
          <c:order val="2"/>
          <c:tx>
            <c:strRef>
              <c:f>Sheet1!$D$1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辽宁省</c:v>
                </c:pt>
                <c:pt idx="1">
                  <c:v>河南省</c:v>
                </c:pt>
                <c:pt idx="2">
                  <c:v>新疆维吾尔自治区</c:v>
                </c:pt>
                <c:pt idx="3">
                  <c:v>江西省</c:v>
                </c:pt>
                <c:pt idx="4">
                  <c:v>山西省</c:v>
                </c:pt>
                <c:pt idx="5">
                  <c:v>安徽省</c:v>
                </c:pt>
                <c:pt idx="6">
                  <c:v>贵州省</c:v>
                </c:pt>
                <c:pt idx="7">
                  <c:v>内蒙古自治区</c:v>
                </c:pt>
                <c:pt idx="8">
                  <c:v>湖南省</c:v>
                </c:pt>
                <c:pt idx="9">
                  <c:v>云南省</c:v>
                </c:pt>
                <c:pt idx="10">
                  <c:v>河北省</c:v>
                </c:pt>
                <c:pt idx="11">
                  <c:v>重庆市</c:v>
                </c:pt>
                <c:pt idx="12">
                  <c:v>吉林省</c:v>
                </c:pt>
                <c:pt idx="13">
                  <c:v>甘肃省</c:v>
                </c:pt>
                <c:pt idx="14">
                  <c:v>陕西省</c:v>
                </c:pt>
                <c:pt idx="15">
                  <c:v>海南省</c:v>
                </c:pt>
              </c:strCache>
            </c:strRef>
          </c:cat>
          <c:val>
            <c:numRef>
              <c:f>Sheet1!$D$2:$D$17</c:f>
              <c:numCache>
                <c:formatCode>General</c:formatCode>
                <c:ptCount val="16"/>
                <c:pt idx="0">
                  <c:v>77.62</c:v>
                </c:pt>
                <c:pt idx="1">
                  <c:v>73.22</c:v>
                </c:pt>
                <c:pt idx="2">
                  <c:v>78.209999999999994</c:v>
                </c:pt>
                <c:pt idx="3">
                  <c:v>73.59</c:v>
                </c:pt>
                <c:pt idx="4">
                  <c:v>73.13</c:v>
                </c:pt>
                <c:pt idx="5">
                  <c:v>74.28</c:v>
                </c:pt>
                <c:pt idx="6">
                  <c:v>71.22</c:v>
                </c:pt>
                <c:pt idx="7">
                  <c:v>76.78</c:v>
                </c:pt>
                <c:pt idx="8">
                  <c:v>72.650000000000006</c:v>
                </c:pt>
                <c:pt idx="9">
                  <c:v>70.84</c:v>
                </c:pt>
                <c:pt idx="10">
                  <c:v>73.3</c:v>
                </c:pt>
                <c:pt idx="11">
                  <c:v>76.59</c:v>
                </c:pt>
                <c:pt idx="12">
                  <c:v>71.650000000000006</c:v>
                </c:pt>
                <c:pt idx="13">
                  <c:v>74.08</c:v>
                </c:pt>
                <c:pt idx="14">
                  <c:v>75.7</c:v>
                </c:pt>
                <c:pt idx="15">
                  <c:v>71.650000000000006</c:v>
                </c:pt>
              </c:numCache>
            </c:numRef>
          </c:val>
          <c:extLst>
            <c:ext xmlns:c16="http://schemas.microsoft.com/office/drawing/2014/chart" uri="{C3380CC4-5D6E-409C-BE32-E72D297353CC}">
              <c16:uniqueId val="{00000002-8719-411B-9ABE-EAAEBCA0E029}"/>
            </c:ext>
          </c:extLst>
        </c:ser>
        <c:ser>
          <c:idx val="3"/>
          <c:order val="3"/>
          <c:tx>
            <c:strRef>
              <c:f>Sheet1!$E$1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辽宁省</c:v>
                </c:pt>
                <c:pt idx="1">
                  <c:v>河南省</c:v>
                </c:pt>
                <c:pt idx="2">
                  <c:v>新疆维吾尔自治区</c:v>
                </c:pt>
                <c:pt idx="3">
                  <c:v>江西省</c:v>
                </c:pt>
                <c:pt idx="4">
                  <c:v>山西省</c:v>
                </c:pt>
                <c:pt idx="5">
                  <c:v>安徽省</c:v>
                </c:pt>
                <c:pt idx="6">
                  <c:v>贵州省</c:v>
                </c:pt>
                <c:pt idx="7">
                  <c:v>内蒙古自治区</c:v>
                </c:pt>
                <c:pt idx="8">
                  <c:v>湖南省</c:v>
                </c:pt>
                <c:pt idx="9">
                  <c:v>云南省</c:v>
                </c:pt>
                <c:pt idx="10">
                  <c:v>河北省</c:v>
                </c:pt>
                <c:pt idx="11">
                  <c:v>重庆市</c:v>
                </c:pt>
                <c:pt idx="12">
                  <c:v>吉林省</c:v>
                </c:pt>
                <c:pt idx="13">
                  <c:v>甘肃省</c:v>
                </c:pt>
                <c:pt idx="14">
                  <c:v>陕西省</c:v>
                </c:pt>
                <c:pt idx="15">
                  <c:v>海南省</c:v>
                </c:pt>
              </c:strCache>
            </c:strRef>
          </c:cat>
          <c:val>
            <c:numRef>
              <c:f>Sheet1!$E$2:$E$17</c:f>
              <c:numCache>
                <c:formatCode>0.00_);[Red]\(0.00\)</c:formatCode>
                <c:ptCount val="16"/>
                <c:pt idx="0">
                  <c:v>79.8112607172813</c:v>
                </c:pt>
                <c:pt idx="1">
                  <c:v>78.865420828673606</c:v>
                </c:pt>
                <c:pt idx="2">
                  <c:v>79.436374394914395</c:v>
                </c:pt>
                <c:pt idx="3">
                  <c:v>79.592570137732295</c:v>
                </c:pt>
                <c:pt idx="4">
                  <c:v>77.378531629276907</c:v>
                </c:pt>
                <c:pt idx="5">
                  <c:v>78.135381138458698</c:v>
                </c:pt>
                <c:pt idx="6">
                  <c:v>73.669899906276797</c:v>
                </c:pt>
                <c:pt idx="7">
                  <c:v>78.139444040021701</c:v>
                </c:pt>
                <c:pt idx="8">
                  <c:v>75.5182265167374</c:v>
                </c:pt>
                <c:pt idx="9">
                  <c:v>73.688013885307001</c:v>
                </c:pt>
                <c:pt idx="10">
                  <c:v>74.931597279943205</c:v>
                </c:pt>
                <c:pt idx="11">
                  <c:v>77.917163137744495</c:v>
                </c:pt>
                <c:pt idx="12">
                  <c:v>74.466053105896293</c:v>
                </c:pt>
                <c:pt idx="13">
                  <c:v>76.828879978037804</c:v>
                </c:pt>
                <c:pt idx="14">
                  <c:v>77.685495480014296</c:v>
                </c:pt>
                <c:pt idx="15">
                  <c:v>78.820728945192599</c:v>
                </c:pt>
              </c:numCache>
            </c:numRef>
          </c:val>
          <c:extLst>
            <c:ext xmlns:c16="http://schemas.microsoft.com/office/drawing/2014/chart" uri="{C3380CC4-5D6E-409C-BE32-E72D297353CC}">
              <c16:uniqueId val="{00000003-8719-411B-9ABE-EAAEBCA0E029}"/>
            </c:ext>
          </c:extLst>
        </c:ser>
        <c:ser>
          <c:idx val="4"/>
          <c:order val="4"/>
          <c:tx>
            <c:strRef>
              <c:f>Sheet1!$F$1</c:f>
              <c:strCache>
                <c:ptCount val="1"/>
                <c:pt idx="0">
                  <c:v>2021</c:v>
                </c:pt>
              </c:strCache>
            </c:strRef>
          </c:tx>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辽宁省</c:v>
                </c:pt>
                <c:pt idx="1">
                  <c:v>河南省</c:v>
                </c:pt>
                <c:pt idx="2">
                  <c:v>新疆维吾尔自治区</c:v>
                </c:pt>
                <c:pt idx="3">
                  <c:v>江西省</c:v>
                </c:pt>
                <c:pt idx="4">
                  <c:v>山西省</c:v>
                </c:pt>
                <c:pt idx="5">
                  <c:v>安徽省</c:v>
                </c:pt>
                <c:pt idx="6">
                  <c:v>贵州省</c:v>
                </c:pt>
                <c:pt idx="7">
                  <c:v>内蒙古自治区</c:v>
                </c:pt>
                <c:pt idx="8">
                  <c:v>湖南省</c:v>
                </c:pt>
                <c:pt idx="9">
                  <c:v>云南省</c:v>
                </c:pt>
                <c:pt idx="10">
                  <c:v>河北省</c:v>
                </c:pt>
                <c:pt idx="11">
                  <c:v>重庆市</c:v>
                </c:pt>
                <c:pt idx="12">
                  <c:v>吉林省</c:v>
                </c:pt>
                <c:pt idx="13">
                  <c:v>甘肃省</c:v>
                </c:pt>
                <c:pt idx="14">
                  <c:v>陕西省</c:v>
                </c:pt>
                <c:pt idx="15">
                  <c:v>海南省</c:v>
                </c:pt>
              </c:strCache>
            </c:strRef>
          </c:cat>
          <c:val>
            <c:numRef>
              <c:f>Sheet1!$F$2:$F$17</c:f>
              <c:numCache>
                <c:formatCode>0.00_);[Red]\(0.00\)</c:formatCode>
                <c:ptCount val="16"/>
                <c:pt idx="0">
                  <c:v>79.787752999999995</c:v>
                </c:pt>
                <c:pt idx="1">
                  <c:v>79.713280999999995</c:v>
                </c:pt>
                <c:pt idx="2">
                  <c:v>79.455691000000002</c:v>
                </c:pt>
                <c:pt idx="3">
                  <c:v>79.423867999999999</c:v>
                </c:pt>
                <c:pt idx="4">
                  <c:v>79.318622000000005</c:v>
                </c:pt>
                <c:pt idx="5">
                  <c:v>79.212957000000003</c:v>
                </c:pt>
                <c:pt idx="6">
                  <c:v>79.117716000000001</c:v>
                </c:pt>
                <c:pt idx="7">
                  <c:v>78.935524999999998</c:v>
                </c:pt>
                <c:pt idx="8">
                  <c:v>78.900041000000002</c:v>
                </c:pt>
                <c:pt idx="9">
                  <c:v>78.874796000000003</c:v>
                </c:pt>
                <c:pt idx="10">
                  <c:v>78.843777000000003</c:v>
                </c:pt>
                <c:pt idx="11">
                  <c:v>78.793976000000001</c:v>
                </c:pt>
                <c:pt idx="12">
                  <c:v>78.511883999999995</c:v>
                </c:pt>
                <c:pt idx="13">
                  <c:v>78.067520999999999</c:v>
                </c:pt>
                <c:pt idx="14">
                  <c:v>77.780237</c:v>
                </c:pt>
                <c:pt idx="15">
                  <c:v>77.748607000000007</c:v>
                </c:pt>
              </c:numCache>
            </c:numRef>
          </c:val>
          <c:extLst>
            <c:ext xmlns:c16="http://schemas.microsoft.com/office/drawing/2014/chart" uri="{C3380CC4-5D6E-409C-BE32-E72D297353CC}">
              <c16:uniqueId val="{00000004-8719-411B-9ABE-EAAEBCA0E029}"/>
            </c:ext>
          </c:extLst>
        </c:ser>
        <c:dLbls>
          <c:showLegendKey val="0"/>
          <c:showVal val="1"/>
          <c:showCatName val="0"/>
          <c:showSerName val="0"/>
          <c:showPercent val="0"/>
          <c:showBubbleSize val="0"/>
        </c:dLbls>
        <c:gapWidth val="182"/>
        <c:axId val="174881062"/>
        <c:axId val="709473472"/>
      </c:barChart>
      <c:catAx>
        <c:axId val="17488106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9473472"/>
        <c:crosses val="autoZero"/>
        <c:auto val="1"/>
        <c:lblAlgn val="ctr"/>
        <c:lblOffset val="100"/>
        <c:noMultiLvlLbl val="0"/>
      </c:catAx>
      <c:valAx>
        <c:axId val="709473472"/>
        <c:scaling>
          <c:orientation val="minMax"/>
          <c:min val="55"/>
        </c:scaling>
        <c:delete val="1"/>
        <c:axPos val="t"/>
        <c:numFmt formatCode="General" sourceLinked="1"/>
        <c:majorTickMark val="none"/>
        <c:minorTickMark val="none"/>
        <c:tickLblPos val="nextTo"/>
        <c:crossAx val="17488106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Sheet1!$B$2:$B$3</c:f>
              <c:numCache>
                <c:formatCode>General</c:formatCode>
                <c:ptCount val="2"/>
                <c:pt idx="0">
                  <c:v>72.02</c:v>
                </c:pt>
                <c:pt idx="1">
                  <c:v>71.489999999999995</c:v>
                </c:pt>
              </c:numCache>
            </c:numRef>
          </c:val>
          <c:extLst>
            <c:ext xmlns:c16="http://schemas.microsoft.com/office/drawing/2014/chart" uri="{C3380CC4-5D6E-409C-BE32-E72D297353CC}">
              <c16:uniqueId val="{00000000-BE87-416D-87D5-5B8B0F1425B3}"/>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Sheet1!$C$2:$C$3</c:f>
              <c:numCache>
                <c:formatCode>General</c:formatCode>
                <c:ptCount val="2"/>
                <c:pt idx="0">
                  <c:v>73.989999999999995</c:v>
                </c:pt>
                <c:pt idx="1">
                  <c:v>73.42</c:v>
                </c:pt>
              </c:numCache>
            </c:numRef>
          </c:val>
          <c:extLst>
            <c:ext xmlns:c16="http://schemas.microsoft.com/office/drawing/2014/chart" uri="{C3380CC4-5D6E-409C-BE32-E72D297353CC}">
              <c16:uniqueId val="{00000001-BE87-416D-87D5-5B8B0F1425B3}"/>
            </c:ext>
          </c:extLst>
        </c:ser>
        <c:ser>
          <c:idx val="2"/>
          <c:order val="2"/>
          <c:tx>
            <c:strRef>
              <c:f>Sheet1!$D$1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Sheet1!$D$2:$D$3</c:f>
              <c:numCache>
                <c:formatCode>General</c:formatCode>
                <c:ptCount val="2"/>
                <c:pt idx="0">
                  <c:v>77.31</c:v>
                </c:pt>
                <c:pt idx="1">
                  <c:v>76.77</c:v>
                </c:pt>
              </c:numCache>
            </c:numRef>
          </c:val>
          <c:extLst>
            <c:ext xmlns:c16="http://schemas.microsoft.com/office/drawing/2014/chart" uri="{C3380CC4-5D6E-409C-BE32-E72D297353CC}">
              <c16:uniqueId val="{00000002-BE87-416D-87D5-5B8B0F1425B3}"/>
            </c:ext>
          </c:extLst>
        </c:ser>
        <c:ser>
          <c:idx val="3"/>
          <c:order val="3"/>
          <c:tx>
            <c:strRef>
              <c:f>Sheet1!$E$1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Sheet1!$E$2:$E$3</c:f>
              <c:numCache>
                <c:formatCode>0.00_);[Red]\(0.00\)</c:formatCode>
                <c:ptCount val="2"/>
                <c:pt idx="0">
                  <c:v>79.398139467617099</c:v>
                </c:pt>
                <c:pt idx="1">
                  <c:v>79.255442909648494</c:v>
                </c:pt>
              </c:numCache>
            </c:numRef>
          </c:val>
          <c:extLst>
            <c:ext xmlns:c16="http://schemas.microsoft.com/office/drawing/2014/chart" uri="{C3380CC4-5D6E-409C-BE32-E72D297353CC}">
              <c16:uniqueId val="{00000003-BE87-416D-87D5-5B8B0F1425B3}"/>
            </c:ext>
          </c:extLst>
        </c:ser>
        <c:ser>
          <c:idx val="4"/>
          <c:order val="4"/>
          <c:tx>
            <c:strRef>
              <c:f>Sheet1!$F$1</c:f>
              <c:strCache>
                <c:ptCount val="1"/>
                <c:pt idx="0">
                  <c:v>2021</c:v>
                </c:pt>
              </c:strCache>
            </c:strRef>
          </c:tx>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Sheet1!$F$2:$F$3</c:f>
              <c:numCache>
                <c:formatCode>0.00_);[Red]\(0.00\)</c:formatCode>
                <c:ptCount val="2"/>
                <c:pt idx="0">
                  <c:v>80.876018999999999</c:v>
                </c:pt>
                <c:pt idx="1">
                  <c:v>80.300004000000001</c:v>
                </c:pt>
              </c:numCache>
            </c:numRef>
          </c:val>
          <c:extLst>
            <c:ext xmlns:c16="http://schemas.microsoft.com/office/drawing/2014/chart" uri="{C3380CC4-5D6E-409C-BE32-E72D297353CC}">
              <c16:uniqueId val="{00000004-BE87-416D-87D5-5B8B0F1425B3}"/>
            </c:ext>
          </c:extLst>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9557187"/>
        <c:crosses val="autoZero"/>
        <c:auto val="1"/>
        <c:lblAlgn val="ctr"/>
        <c:lblOffset val="100"/>
        <c:noMultiLvlLbl val="0"/>
      </c:catAx>
      <c:valAx>
        <c:axId val="609557187"/>
        <c:scaling>
          <c:orientation val="minMax"/>
          <c:min val="60"/>
        </c:scaling>
        <c:delete val="1"/>
        <c:axPos val="l"/>
        <c:numFmt formatCode="General" sourceLinked="1"/>
        <c:majorTickMark val="out"/>
        <c:minorTickMark val="none"/>
        <c:tickLblPos val="nextTo"/>
        <c:crossAx val="23942283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15-24周岁</c:v>
                </c:pt>
                <c:pt idx="1">
                  <c:v>25-34周岁</c:v>
                </c:pt>
                <c:pt idx="2">
                  <c:v>35-44周岁</c:v>
                </c:pt>
                <c:pt idx="3">
                  <c:v>45-54周岁</c:v>
                </c:pt>
                <c:pt idx="4">
                  <c:v>55-70周岁</c:v>
                </c:pt>
              </c:strCache>
            </c:strRef>
          </c:cat>
          <c:val>
            <c:numRef>
              <c:f>Sheet1!$B$2:$B$6</c:f>
              <c:numCache>
                <c:formatCode>General</c:formatCode>
                <c:ptCount val="5"/>
                <c:pt idx="0">
                  <c:v>72.260000000000005</c:v>
                </c:pt>
                <c:pt idx="1">
                  <c:v>71.319999999999993</c:v>
                </c:pt>
                <c:pt idx="2">
                  <c:v>71.47</c:v>
                </c:pt>
                <c:pt idx="3">
                  <c:v>71.680000000000007</c:v>
                </c:pt>
                <c:pt idx="4">
                  <c:v>72.09</c:v>
                </c:pt>
              </c:numCache>
            </c:numRef>
          </c:val>
          <c:extLst>
            <c:ext xmlns:c16="http://schemas.microsoft.com/office/drawing/2014/chart" uri="{C3380CC4-5D6E-409C-BE32-E72D297353CC}">
              <c16:uniqueId val="{00000000-8324-4A27-8A93-04A41FFD51A3}"/>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15-24周岁</c:v>
                </c:pt>
                <c:pt idx="1">
                  <c:v>25-34周岁</c:v>
                </c:pt>
                <c:pt idx="2">
                  <c:v>35-44周岁</c:v>
                </c:pt>
                <c:pt idx="3">
                  <c:v>45-54周岁</c:v>
                </c:pt>
                <c:pt idx="4">
                  <c:v>55-70周岁</c:v>
                </c:pt>
              </c:strCache>
            </c:strRef>
          </c:cat>
          <c:val>
            <c:numRef>
              <c:f>Sheet1!$C$2:$C$6</c:f>
              <c:numCache>
                <c:formatCode>General</c:formatCode>
                <c:ptCount val="5"/>
                <c:pt idx="0">
                  <c:v>75.56</c:v>
                </c:pt>
                <c:pt idx="1">
                  <c:v>73.349999999999994</c:v>
                </c:pt>
                <c:pt idx="2">
                  <c:v>73.069999999999993</c:v>
                </c:pt>
                <c:pt idx="3">
                  <c:v>72.86</c:v>
                </c:pt>
                <c:pt idx="4">
                  <c:v>73.41</c:v>
                </c:pt>
              </c:numCache>
            </c:numRef>
          </c:val>
          <c:extLst>
            <c:ext xmlns:c16="http://schemas.microsoft.com/office/drawing/2014/chart" uri="{C3380CC4-5D6E-409C-BE32-E72D297353CC}">
              <c16:uniqueId val="{00000001-8324-4A27-8A93-04A41FFD51A3}"/>
            </c:ext>
          </c:extLst>
        </c:ser>
        <c:ser>
          <c:idx val="2"/>
          <c:order val="2"/>
          <c:tx>
            <c:strRef>
              <c:f>Sheet1!$D$1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15-24周岁</c:v>
                </c:pt>
                <c:pt idx="1">
                  <c:v>25-34周岁</c:v>
                </c:pt>
                <c:pt idx="2">
                  <c:v>35-44周岁</c:v>
                </c:pt>
                <c:pt idx="3">
                  <c:v>45-54周岁</c:v>
                </c:pt>
                <c:pt idx="4">
                  <c:v>55-70周岁</c:v>
                </c:pt>
              </c:strCache>
            </c:strRef>
          </c:cat>
          <c:val>
            <c:numRef>
              <c:f>Sheet1!$D$2:$D$6</c:f>
              <c:numCache>
                <c:formatCode>General</c:formatCode>
                <c:ptCount val="5"/>
                <c:pt idx="0">
                  <c:v>79.58</c:v>
                </c:pt>
                <c:pt idx="1">
                  <c:v>75.680000000000007</c:v>
                </c:pt>
                <c:pt idx="2">
                  <c:v>76.540000000000006</c:v>
                </c:pt>
                <c:pt idx="3">
                  <c:v>76.89</c:v>
                </c:pt>
                <c:pt idx="4">
                  <c:v>76.260000000000005</c:v>
                </c:pt>
              </c:numCache>
            </c:numRef>
          </c:val>
          <c:extLst>
            <c:ext xmlns:c16="http://schemas.microsoft.com/office/drawing/2014/chart" uri="{C3380CC4-5D6E-409C-BE32-E72D297353CC}">
              <c16:uniqueId val="{00000002-8324-4A27-8A93-04A41FFD51A3}"/>
            </c:ext>
          </c:extLst>
        </c:ser>
        <c:ser>
          <c:idx val="3"/>
          <c:order val="3"/>
          <c:tx>
            <c:strRef>
              <c:f>Sheet1!$E$1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15-24周岁</c:v>
                </c:pt>
                <c:pt idx="1">
                  <c:v>25-34周岁</c:v>
                </c:pt>
                <c:pt idx="2">
                  <c:v>35-44周岁</c:v>
                </c:pt>
                <c:pt idx="3">
                  <c:v>45-54周岁</c:v>
                </c:pt>
                <c:pt idx="4">
                  <c:v>55-70周岁</c:v>
                </c:pt>
              </c:strCache>
            </c:strRef>
          </c:cat>
          <c:val>
            <c:numRef>
              <c:f>Sheet1!$E$2:$E$6</c:f>
              <c:numCache>
                <c:formatCode>0.00_);[Red]\(0.00\)</c:formatCode>
                <c:ptCount val="5"/>
                <c:pt idx="0">
                  <c:v>80.508088045263506</c:v>
                </c:pt>
                <c:pt idx="1">
                  <c:v>78.884004004973505</c:v>
                </c:pt>
                <c:pt idx="2">
                  <c:v>79.5139598382343</c:v>
                </c:pt>
                <c:pt idx="3">
                  <c:v>79.126842238177701</c:v>
                </c:pt>
                <c:pt idx="4">
                  <c:v>79.058308150086802</c:v>
                </c:pt>
              </c:numCache>
            </c:numRef>
          </c:val>
          <c:extLst>
            <c:ext xmlns:c16="http://schemas.microsoft.com/office/drawing/2014/chart" uri="{C3380CC4-5D6E-409C-BE32-E72D297353CC}">
              <c16:uniqueId val="{00000003-8324-4A27-8A93-04A41FFD51A3}"/>
            </c:ext>
          </c:extLst>
        </c:ser>
        <c:ser>
          <c:idx val="4"/>
          <c:order val="4"/>
          <c:tx>
            <c:strRef>
              <c:f>Sheet1!$F$1</c:f>
              <c:strCache>
                <c:ptCount val="1"/>
                <c:pt idx="0">
                  <c:v>2021</c:v>
                </c:pt>
              </c:strCache>
            </c:strRef>
          </c:tx>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15-24周岁</c:v>
                </c:pt>
                <c:pt idx="1">
                  <c:v>25-34周岁</c:v>
                </c:pt>
                <c:pt idx="2">
                  <c:v>35-44周岁</c:v>
                </c:pt>
                <c:pt idx="3">
                  <c:v>45-54周岁</c:v>
                </c:pt>
                <c:pt idx="4">
                  <c:v>55-70周岁</c:v>
                </c:pt>
              </c:strCache>
            </c:strRef>
          </c:cat>
          <c:val>
            <c:numRef>
              <c:f>Sheet1!$F$2:$F$6</c:f>
              <c:numCache>
                <c:formatCode>0.00_);[Red]\(0.00\)</c:formatCode>
                <c:ptCount val="5"/>
                <c:pt idx="0">
                  <c:v>79.403799000000006</c:v>
                </c:pt>
                <c:pt idx="1">
                  <c:v>80.026313000000002</c:v>
                </c:pt>
                <c:pt idx="2">
                  <c:v>81.148287999999994</c:v>
                </c:pt>
                <c:pt idx="3">
                  <c:v>81.634325000000004</c:v>
                </c:pt>
                <c:pt idx="4">
                  <c:v>80.377112999999994</c:v>
                </c:pt>
              </c:numCache>
            </c:numRef>
          </c:val>
          <c:extLst>
            <c:ext xmlns:c16="http://schemas.microsoft.com/office/drawing/2014/chart" uri="{C3380CC4-5D6E-409C-BE32-E72D297353CC}">
              <c16:uniqueId val="{00000004-8324-4A27-8A93-04A41FFD51A3}"/>
            </c:ext>
          </c:extLst>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9557187"/>
        <c:crosses val="autoZero"/>
        <c:auto val="1"/>
        <c:lblAlgn val="ctr"/>
        <c:lblOffset val="100"/>
        <c:noMultiLvlLbl val="0"/>
      </c:catAx>
      <c:valAx>
        <c:axId val="609557187"/>
        <c:scaling>
          <c:orientation val="minMax"/>
          <c:min val="65"/>
        </c:scaling>
        <c:delete val="1"/>
        <c:axPos val="l"/>
        <c:numFmt formatCode="General" sourceLinked="1"/>
        <c:majorTickMark val="out"/>
        <c:minorTickMark val="none"/>
        <c:tickLblPos val="nextTo"/>
        <c:crossAx val="23942283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消费自主选择权</c:v>
                </c:pt>
                <c:pt idx="1">
                  <c:v>消费知情权</c:v>
                </c:pt>
                <c:pt idx="2">
                  <c:v>权益保护</c:v>
                </c:pt>
                <c:pt idx="3">
                  <c:v>供给丰富性</c:v>
                </c:pt>
                <c:pt idx="4">
                  <c:v>供给便利性</c:v>
                </c:pt>
                <c:pt idx="5">
                  <c:v>价格合理</c:v>
                </c:pt>
                <c:pt idx="6">
                  <c:v>消费设施</c:v>
                </c:pt>
                <c:pt idx="7">
                  <c:v>质量水平</c:v>
                </c:pt>
                <c:pt idx="8">
                  <c:v>商家信任度</c:v>
                </c:pt>
                <c:pt idx="9">
                  <c:v>供给创新性</c:v>
                </c:pt>
                <c:pt idx="10">
                  <c:v>消费宣传</c:v>
                </c:pt>
                <c:pt idx="11">
                  <c:v>售后保障</c:v>
                </c:pt>
                <c:pt idx="12">
                  <c:v>交易安全</c:v>
                </c:pt>
                <c:pt idx="13">
                  <c:v>消费执法</c:v>
                </c:pt>
                <c:pt idx="14">
                  <c:v>服务水平</c:v>
                </c:pt>
                <c:pt idx="15">
                  <c:v>信息真实</c:v>
                </c:pt>
              </c:strCache>
            </c:strRef>
          </c:cat>
          <c:val>
            <c:numRef>
              <c:f>Sheet1!$B$2:$B$17</c:f>
              <c:numCache>
                <c:formatCode>General</c:formatCode>
                <c:ptCount val="16"/>
                <c:pt idx="0">
                  <c:v>86.97</c:v>
                </c:pt>
                <c:pt idx="1">
                  <c:v>83.49</c:v>
                </c:pt>
                <c:pt idx="2">
                  <c:v>82.94</c:v>
                </c:pt>
                <c:pt idx="3">
                  <c:v>82.9</c:v>
                </c:pt>
                <c:pt idx="4">
                  <c:v>82.45</c:v>
                </c:pt>
                <c:pt idx="5">
                  <c:v>82.02</c:v>
                </c:pt>
                <c:pt idx="6">
                  <c:v>81.44</c:v>
                </c:pt>
                <c:pt idx="7">
                  <c:v>81.2</c:v>
                </c:pt>
                <c:pt idx="8">
                  <c:v>80.540000000000006</c:v>
                </c:pt>
                <c:pt idx="9">
                  <c:v>79.930000000000007</c:v>
                </c:pt>
                <c:pt idx="10">
                  <c:v>79.7</c:v>
                </c:pt>
                <c:pt idx="11">
                  <c:v>79.25</c:v>
                </c:pt>
                <c:pt idx="12">
                  <c:v>79.08</c:v>
                </c:pt>
                <c:pt idx="13">
                  <c:v>78.03</c:v>
                </c:pt>
                <c:pt idx="14">
                  <c:v>78</c:v>
                </c:pt>
                <c:pt idx="15">
                  <c:v>74.930000000000007</c:v>
                </c:pt>
              </c:numCache>
            </c:numRef>
          </c:val>
          <c:extLst>
            <c:ext xmlns:c16="http://schemas.microsoft.com/office/drawing/2014/chart" uri="{C3380CC4-5D6E-409C-BE32-E72D297353CC}">
              <c16:uniqueId val="{00000000-CC7B-48B7-B231-073FE0E6DD65}"/>
            </c:ext>
          </c:extLst>
        </c:ser>
        <c:dLbls>
          <c:showLegendKey val="0"/>
          <c:showVal val="1"/>
          <c:showCatName val="0"/>
          <c:showSerName val="0"/>
          <c:showPercent val="0"/>
          <c:showBubbleSize val="0"/>
        </c:dLbls>
        <c:gapWidth val="41"/>
        <c:overlap val="-27"/>
        <c:axId val="741187983"/>
        <c:axId val="741192143"/>
      </c:barChart>
      <c:catAx>
        <c:axId val="741187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41192143"/>
        <c:crosses val="autoZero"/>
        <c:auto val="1"/>
        <c:lblAlgn val="ctr"/>
        <c:lblOffset val="100"/>
        <c:noMultiLvlLbl val="0"/>
      </c:catAx>
      <c:valAx>
        <c:axId val="741192143"/>
        <c:scaling>
          <c:orientation val="minMax"/>
          <c:min val="70"/>
        </c:scaling>
        <c:delete val="0"/>
        <c:axPos val="l"/>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411879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00后</c:v>
                </c:pt>
                <c:pt idx="1">
                  <c:v>90后</c:v>
                </c:pt>
                <c:pt idx="2">
                  <c:v>80后</c:v>
                </c:pt>
                <c:pt idx="3">
                  <c:v>70后</c:v>
                </c:pt>
                <c:pt idx="4">
                  <c:v>60后</c:v>
                </c:pt>
                <c:pt idx="5">
                  <c:v>50后</c:v>
                </c:pt>
              </c:strCache>
            </c:strRef>
          </c:cat>
          <c:val>
            <c:numRef>
              <c:f>Sheet1!$B$2:$B$7</c:f>
              <c:numCache>
                <c:formatCode>General</c:formatCode>
                <c:ptCount val="6"/>
                <c:pt idx="0">
                  <c:v>78.5</c:v>
                </c:pt>
                <c:pt idx="1">
                  <c:v>74.36</c:v>
                </c:pt>
                <c:pt idx="2">
                  <c:v>73.010000000000005</c:v>
                </c:pt>
                <c:pt idx="3">
                  <c:v>73.040000000000006</c:v>
                </c:pt>
                <c:pt idx="4">
                  <c:v>73.03</c:v>
                </c:pt>
                <c:pt idx="5">
                  <c:v>73.45</c:v>
                </c:pt>
              </c:numCache>
            </c:numRef>
          </c:val>
          <c:extLst>
            <c:ext xmlns:c16="http://schemas.microsoft.com/office/drawing/2014/chart" uri="{C3380CC4-5D6E-409C-BE32-E72D297353CC}">
              <c16:uniqueId val="{00000000-49ED-44A5-A2EA-A22FED6775E4}"/>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00后</c:v>
                </c:pt>
                <c:pt idx="1">
                  <c:v>90后</c:v>
                </c:pt>
                <c:pt idx="2">
                  <c:v>80后</c:v>
                </c:pt>
                <c:pt idx="3">
                  <c:v>70后</c:v>
                </c:pt>
                <c:pt idx="4">
                  <c:v>60后</c:v>
                </c:pt>
                <c:pt idx="5">
                  <c:v>50后</c:v>
                </c:pt>
              </c:strCache>
            </c:strRef>
          </c:cat>
          <c:val>
            <c:numRef>
              <c:f>Sheet1!$C$2:$C$7</c:f>
              <c:numCache>
                <c:formatCode>General</c:formatCode>
                <c:ptCount val="6"/>
                <c:pt idx="0">
                  <c:v>80.239999999999995</c:v>
                </c:pt>
                <c:pt idx="1">
                  <c:v>77.790000000000006</c:v>
                </c:pt>
                <c:pt idx="2">
                  <c:v>76.3</c:v>
                </c:pt>
                <c:pt idx="3">
                  <c:v>76.48</c:v>
                </c:pt>
                <c:pt idx="4">
                  <c:v>77.09</c:v>
                </c:pt>
                <c:pt idx="5">
                  <c:v>74.88</c:v>
                </c:pt>
              </c:numCache>
            </c:numRef>
          </c:val>
          <c:extLst>
            <c:ext xmlns:c16="http://schemas.microsoft.com/office/drawing/2014/chart" uri="{C3380CC4-5D6E-409C-BE32-E72D297353CC}">
              <c16:uniqueId val="{00000001-49ED-44A5-A2EA-A22FED6775E4}"/>
            </c:ext>
          </c:extLst>
        </c:ser>
        <c:ser>
          <c:idx val="2"/>
          <c:order val="2"/>
          <c:tx>
            <c:strRef>
              <c:f>Sheet1!$D$1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00后</c:v>
                </c:pt>
                <c:pt idx="1">
                  <c:v>90后</c:v>
                </c:pt>
                <c:pt idx="2">
                  <c:v>80后</c:v>
                </c:pt>
                <c:pt idx="3">
                  <c:v>70后</c:v>
                </c:pt>
                <c:pt idx="4">
                  <c:v>60后</c:v>
                </c:pt>
                <c:pt idx="5">
                  <c:v>50后</c:v>
                </c:pt>
              </c:strCache>
            </c:strRef>
          </c:cat>
          <c:val>
            <c:numRef>
              <c:f>Sheet1!$D$2:$D$7</c:f>
              <c:numCache>
                <c:formatCode>0.00_);[Red]\(0.00\)</c:formatCode>
                <c:ptCount val="6"/>
                <c:pt idx="0">
                  <c:v>80.832488743814196</c:v>
                </c:pt>
                <c:pt idx="1">
                  <c:v>79.428090465972105</c:v>
                </c:pt>
                <c:pt idx="2">
                  <c:v>79.124654854228197</c:v>
                </c:pt>
                <c:pt idx="3">
                  <c:v>79.427448241928104</c:v>
                </c:pt>
                <c:pt idx="4">
                  <c:v>79.366594801878307</c:v>
                </c:pt>
                <c:pt idx="5">
                  <c:v>77.691767805999007</c:v>
                </c:pt>
              </c:numCache>
            </c:numRef>
          </c:val>
          <c:extLst>
            <c:ext xmlns:c16="http://schemas.microsoft.com/office/drawing/2014/chart" uri="{C3380CC4-5D6E-409C-BE32-E72D297353CC}">
              <c16:uniqueId val="{00000002-49ED-44A5-A2EA-A22FED6775E4}"/>
            </c:ext>
          </c:extLst>
        </c:ser>
        <c:ser>
          <c:idx val="3"/>
          <c:order val="3"/>
          <c:tx>
            <c:strRef>
              <c:f>Sheet1!$E$1</c:f>
              <c:strCache>
                <c:ptCount val="1"/>
                <c:pt idx="0">
                  <c:v>2021</c:v>
                </c:pt>
              </c:strCache>
            </c:strRef>
          </c:tx>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00后</c:v>
                </c:pt>
                <c:pt idx="1">
                  <c:v>90后</c:v>
                </c:pt>
                <c:pt idx="2">
                  <c:v>80后</c:v>
                </c:pt>
                <c:pt idx="3">
                  <c:v>70后</c:v>
                </c:pt>
                <c:pt idx="4">
                  <c:v>60后</c:v>
                </c:pt>
                <c:pt idx="5">
                  <c:v>50后</c:v>
                </c:pt>
              </c:strCache>
            </c:strRef>
          </c:cat>
          <c:val>
            <c:numRef>
              <c:f>Sheet1!$E$2:$E$7</c:f>
              <c:numCache>
                <c:formatCode>0.00_);[Red]\(0.00\)</c:formatCode>
                <c:ptCount val="6"/>
                <c:pt idx="0">
                  <c:v>79.227828000000002</c:v>
                </c:pt>
                <c:pt idx="1">
                  <c:v>79.825083000000006</c:v>
                </c:pt>
                <c:pt idx="2">
                  <c:v>81.157906999999994</c:v>
                </c:pt>
                <c:pt idx="3">
                  <c:v>81.484933999999996</c:v>
                </c:pt>
                <c:pt idx="4">
                  <c:v>80.370487999999995</c:v>
                </c:pt>
                <c:pt idx="5">
                  <c:v>81.084485999999998</c:v>
                </c:pt>
              </c:numCache>
            </c:numRef>
          </c:val>
          <c:extLst>
            <c:ext xmlns:c16="http://schemas.microsoft.com/office/drawing/2014/chart" uri="{C3380CC4-5D6E-409C-BE32-E72D297353CC}">
              <c16:uniqueId val="{00000003-49ED-44A5-A2EA-A22FED6775E4}"/>
            </c:ext>
          </c:extLst>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9557187"/>
        <c:crosses val="autoZero"/>
        <c:auto val="1"/>
        <c:lblAlgn val="ctr"/>
        <c:lblOffset val="100"/>
        <c:noMultiLvlLbl val="0"/>
      </c:catAx>
      <c:valAx>
        <c:axId val="609557187"/>
        <c:scaling>
          <c:orientation val="minMax"/>
          <c:min val="65"/>
        </c:scaling>
        <c:delete val="1"/>
        <c:axPos val="l"/>
        <c:numFmt formatCode="General" sourceLinked="1"/>
        <c:majorTickMark val="out"/>
        <c:minorTickMark val="none"/>
        <c:tickLblPos val="nextTo"/>
        <c:crossAx val="23942283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3000元以下（含）</c:v>
                </c:pt>
                <c:pt idx="1">
                  <c:v>3000-5000元（含）</c:v>
                </c:pt>
                <c:pt idx="2">
                  <c:v>5000-8000元（含）</c:v>
                </c:pt>
                <c:pt idx="3">
                  <c:v>8000元以上</c:v>
                </c:pt>
              </c:strCache>
            </c:strRef>
          </c:cat>
          <c:val>
            <c:numRef>
              <c:f>Sheet1!$B$2:$B$5</c:f>
              <c:numCache>
                <c:formatCode>General</c:formatCode>
                <c:ptCount val="4"/>
                <c:pt idx="0">
                  <c:v>71.97</c:v>
                </c:pt>
                <c:pt idx="1">
                  <c:v>71.8</c:v>
                </c:pt>
                <c:pt idx="2">
                  <c:v>71.849999999999994</c:v>
                </c:pt>
                <c:pt idx="3">
                  <c:v>71.569999999999993</c:v>
                </c:pt>
              </c:numCache>
            </c:numRef>
          </c:val>
          <c:extLst>
            <c:ext xmlns:c16="http://schemas.microsoft.com/office/drawing/2014/chart" uri="{C3380CC4-5D6E-409C-BE32-E72D297353CC}">
              <c16:uniqueId val="{00000000-0B45-41FE-84B7-A42D25D5B479}"/>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3000元以下（含）</c:v>
                </c:pt>
                <c:pt idx="1">
                  <c:v>3000-5000元（含）</c:v>
                </c:pt>
                <c:pt idx="2">
                  <c:v>5000-8000元（含）</c:v>
                </c:pt>
                <c:pt idx="3">
                  <c:v>8000元以上</c:v>
                </c:pt>
              </c:strCache>
            </c:strRef>
          </c:cat>
          <c:val>
            <c:numRef>
              <c:f>Sheet1!$C$2:$C$5</c:f>
              <c:numCache>
                <c:formatCode>General</c:formatCode>
                <c:ptCount val="4"/>
                <c:pt idx="0">
                  <c:v>73.400000000000006</c:v>
                </c:pt>
                <c:pt idx="1">
                  <c:v>74.09</c:v>
                </c:pt>
                <c:pt idx="2">
                  <c:v>73.66</c:v>
                </c:pt>
                <c:pt idx="3">
                  <c:v>72.67</c:v>
                </c:pt>
              </c:numCache>
            </c:numRef>
          </c:val>
          <c:extLst>
            <c:ext xmlns:c16="http://schemas.microsoft.com/office/drawing/2014/chart" uri="{C3380CC4-5D6E-409C-BE32-E72D297353CC}">
              <c16:uniqueId val="{00000001-0B45-41FE-84B7-A42D25D5B479}"/>
            </c:ext>
          </c:extLst>
        </c:ser>
        <c:ser>
          <c:idx val="2"/>
          <c:order val="2"/>
          <c:tx>
            <c:strRef>
              <c:f>Sheet1!$D$1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3000元以下（含）</c:v>
                </c:pt>
                <c:pt idx="1">
                  <c:v>3000-5000元（含）</c:v>
                </c:pt>
                <c:pt idx="2">
                  <c:v>5000-8000元（含）</c:v>
                </c:pt>
                <c:pt idx="3">
                  <c:v>8000元以上</c:v>
                </c:pt>
              </c:strCache>
            </c:strRef>
          </c:cat>
          <c:val>
            <c:numRef>
              <c:f>Sheet1!$D$2:$D$5</c:f>
              <c:numCache>
                <c:formatCode>General</c:formatCode>
                <c:ptCount val="4"/>
                <c:pt idx="0">
                  <c:v>76.27</c:v>
                </c:pt>
                <c:pt idx="1">
                  <c:v>76.67</c:v>
                </c:pt>
                <c:pt idx="2">
                  <c:v>77.2</c:v>
                </c:pt>
                <c:pt idx="3">
                  <c:v>78.349999999999994</c:v>
                </c:pt>
              </c:numCache>
            </c:numRef>
          </c:val>
          <c:extLst>
            <c:ext xmlns:c16="http://schemas.microsoft.com/office/drawing/2014/chart" uri="{C3380CC4-5D6E-409C-BE32-E72D297353CC}">
              <c16:uniqueId val="{00000002-0B45-41FE-84B7-A42D25D5B479}"/>
            </c:ext>
          </c:extLst>
        </c:ser>
        <c:ser>
          <c:idx val="3"/>
          <c:order val="3"/>
          <c:tx>
            <c:strRef>
              <c:f>Sheet1!$E$1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3000元以下（含）</c:v>
                </c:pt>
                <c:pt idx="1">
                  <c:v>3000-5000元（含）</c:v>
                </c:pt>
                <c:pt idx="2">
                  <c:v>5000-8000元（含）</c:v>
                </c:pt>
                <c:pt idx="3">
                  <c:v>8000元以上</c:v>
                </c:pt>
              </c:strCache>
            </c:strRef>
          </c:cat>
          <c:val>
            <c:numRef>
              <c:f>Sheet1!$E$2:$E$5</c:f>
              <c:numCache>
                <c:formatCode>0.00_);[Red]\(0.00\)</c:formatCode>
                <c:ptCount val="4"/>
                <c:pt idx="0">
                  <c:v>78.058956956963399</c:v>
                </c:pt>
                <c:pt idx="1">
                  <c:v>79.608675261883107</c:v>
                </c:pt>
                <c:pt idx="2">
                  <c:v>80.150686854690804</c:v>
                </c:pt>
                <c:pt idx="3">
                  <c:v>80.6410938069547</c:v>
                </c:pt>
              </c:numCache>
            </c:numRef>
          </c:val>
          <c:extLst>
            <c:ext xmlns:c16="http://schemas.microsoft.com/office/drawing/2014/chart" uri="{C3380CC4-5D6E-409C-BE32-E72D297353CC}">
              <c16:uniqueId val="{00000003-0B45-41FE-84B7-A42D25D5B479}"/>
            </c:ext>
          </c:extLst>
        </c:ser>
        <c:ser>
          <c:idx val="4"/>
          <c:order val="4"/>
          <c:tx>
            <c:strRef>
              <c:f>Sheet1!$F$1</c:f>
              <c:strCache>
                <c:ptCount val="1"/>
                <c:pt idx="0">
                  <c:v>2021</c:v>
                </c:pt>
              </c:strCache>
            </c:strRef>
          </c:tx>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3000元以下（含）</c:v>
                </c:pt>
                <c:pt idx="1">
                  <c:v>3000-5000元（含）</c:v>
                </c:pt>
                <c:pt idx="2">
                  <c:v>5000-8000元（含）</c:v>
                </c:pt>
                <c:pt idx="3">
                  <c:v>8000元以上</c:v>
                </c:pt>
              </c:strCache>
            </c:strRef>
          </c:cat>
          <c:val>
            <c:numRef>
              <c:f>Sheet1!$F$2:$F$5</c:f>
              <c:numCache>
                <c:formatCode>0.00_);[Red]\(0.00\)</c:formatCode>
                <c:ptCount val="4"/>
                <c:pt idx="0">
                  <c:v>80.120407999999998</c:v>
                </c:pt>
                <c:pt idx="1">
                  <c:v>79.938480999999996</c:v>
                </c:pt>
                <c:pt idx="2">
                  <c:v>80.594547000000006</c:v>
                </c:pt>
                <c:pt idx="3">
                  <c:v>82.546165000000002</c:v>
                </c:pt>
              </c:numCache>
            </c:numRef>
          </c:val>
          <c:extLst>
            <c:ext xmlns:c16="http://schemas.microsoft.com/office/drawing/2014/chart" uri="{C3380CC4-5D6E-409C-BE32-E72D297353CC}">
              <c16:uniqueId val="{00000004-0B45-41FE-84B7-A42D25D5B479}"/>
            </c:ext>
          </c:extLst>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9557187"/>
        <c:crosses val="autoZero"/>
        <c:auto val="1"/>
        <c:lblAlgn val="ctr"/>
        <c:lblOffset val="100"/>
        <c:noMultiLvlLbl val="0"/>
      </c:catAx>
      <c:valAx>
        <c:axId val="609557187"/>
        <c:scaling>
          <c:orientation val="minMax"/>
          <c:min val="65"/>
        </c:scaling>
        <c:delete val="1"/>
        <c:axPos val="l"/>
        <c:numFmt formatCode="General" sourceLinked="1"/>
        <c:majorTickMark val="out"/>
        <c:minorTickMark val="none"/>
        <c:tickLblPos val="nextTo"/>
        <c:crossAx val="23942283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20%以内（含）</c:v>
                </c:pt>
                <c:pt idx="1">
                  <c:v>20%-40%（含）</c:v>
                </c:pt>
                <c:pt idx="2">
                  <c:v>40%-60%（含）</c:v>
                </c:pt>
                <c:pt idx="3">
                  <c:v>60%-80%（含）</c:v>
                </c:pt>
                <c:pt idx="4">
                  <c:v>80%以上</c:v>
                </c:pt>
              </c:strCache>
            </c:strRef>
          </c:cat>
          <c:val>
            <c:numRef>
              <c:f>Sheet1!$B$2:$B$6</c:f>
              <c:numCache>
                <c:formatCode>General</c:formatCode>
                <c:ptCount val="5"/>
                <c:pt idx="0">
                  <c:v>79.44</c:v>
                </c:pt>
                <c:pt idx="1">
                  <c:v>77.7</c:v>
                </c:pt>
                <c:pt idx="2">
                  <c:v>77.489999999999995</c:v>
                </c:pt>
                <c:pt idx="3">
                  <c:v>76.42</c:v>
                </c:pt>
                <c:pt idx="4">
                  <c:v>74.790000000000006</c:v>
                </c:pt>
              </c:numCache>
            </c:numRef>
          </c:val>
          <c:extLst>
            <c:ext xmlns:c16="http://schemas.microsoft.com/office/drawing/2014/chart" uri="{C3380CC4-5D6E-409C-BE32-E72D297353CC}">
              <c16:uniqueId val="{00000000-5D65-4EF9-9A7B-49EE24D672C0}"/>
            </c:ext>
          </c:extLst>
        </c:ser>
        <c:ser>
          <c:idx val="1"/>
          <c:order val="1"/>
          <c:tx>
            <c:strRef>
              <c:f>Sheet1!$C$1</c:f>
              <c:strCache>
                <c:ptCount val="1"/>
                <c:pt idx="0">
                  <c:v>2020</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20%以内（含）</c:v>
                </c:pt>
                <c:pt idx="1">
                  <c:v>20%-40%（含）</c:v>
                </c:pt>
                <c:pt idx="2">
                  <c:v>40%-60%（含）</c:v>
                </c:pt>
                <c:pt idx="3">
                  <c:v>60%-80%（含）</c:v>
                </c:pt>
                <c:pt idx="4">
                  <c:v>80%以上</c:v>
                </c:pt>
              </c:strCache>
            </c:strRef>
          </c:cat>
          <c:val>
            <c:numRef>
              <c:f>Sheet1!$C$2:$C$6</c:f>
              <c:numCache>
                <c:formatCode>0.00_);[Red]\(0.00\)</c:formatCode>
                <c:ptCount val="5"/>
                <c:pt idx="0">
                  <c:v>75.091923430307006</c:v>
                </c:pt>
                <c:pt idx="1">
                  <c:v>78.948429698662196</c:v>
                </c:pt>
                <c:pt idx="2">
                  <c:v>80.398052127621199</c:v>
                </c:pt>
                <c:pt idx="3">
                  <c:v>79.909414061722799</c:v>
                </c:pt>
                <c:pt idx="4">
                  <c:v>78.835126960734399</c:v>
                </c:pt>
              </c:numCache>
            </c:numRef>
          </c:val>
          <c:extLst>
            <c:ext xmlns:c16="http://schemas.microsoft.com/office/drawing/2014/chart" uri="{C3380CC4-5D6E-409C-BE32-E72D297353CC}">
              <c16:uniqueId val="{00000001-5D65-4EF9-9A7B-49EE24D672C0}"/>
            </c:ext>
          </c:extLst>
        </c:ser>
        <c:ser>
          <c:idx val="2"/>
          <c:order val="2"/>
          <c:tx>
            <c:strRef>
              <c:f>Sheet1!$D$1</c:f>
              <c:strCache>
                <c:ptCount val="1"/>
                <c:pt idx="0">
                  <c:v>2021</c:v>
                </c:pt>
              </c:strCache>
            </c:strRef>
          </c:tx>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20%以内（含）</c:v>
                </c:pt>
                <c:pt idx="1">
                  <c:v>20%-40%（含）</c:v>
                </c:pt>
                <c:pt idx="2">
                  <c:v>40%-60%（含）</c:v>
                </c:pt>
                <c:pt idx="3">
                  <c:v>60%-80%（含）</c:v>
                </c:pt>
                <c:pt idx="4">
                  <c:v>80%以上</c:v>
                </c:pt>
              </c:strCache>
            </c:strRef>
          </c:cat>
          <c:val>
            <c:numRef>
              <c:f>Sheet1!$D$2:$D$6</c:f>
              <c:numCache>
                <c:formatCode>0.00_);[Red]\(0.00\)</c:formatCode>
                <c:ptCount val="5"/>
                <c:pt idx="0">
                  <c:v>80.126952000000003</c:v>
                </c:pt>
                <c:pt idx="1">
                  <c:v>80.766105999999994</c:v>
                </c:pt>
                <c:pt idx="2">
                  <c:v>80.827832999999998</c:v>
                </c:pt>
                <c:pt idx="3">
                  <c:v>80.549021999999994</c:v>
                </c:pt>
                <c:pt idx="4">
                  <c:v>80.673804000000004</c:v>
                </c:pt>
              </c:numCache>
            </c:numRef>
          </c:val>
          <c:extLst>
            <c:ext xmlns:c16="http://schemas.microsoft.com/office/drawing/2014/chart" uri="{C3380CC4-5D6E-409C-BE32-E72D297353CC}">
              <c16:uniqueId val="{00000002-5D65-4EF9-9A7B-49EE24D672C0}"/>
            </c:ext>
          </c:extLst>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9557187"/>
        <c:crosses val="autoZero"/>
        <c:auto val="1"/>
        <c:lblAlgn val="ctr"/>
        <c:lblOffset val="100"/>
        <c:noMultiLvlLbl val="0"/>
      </c:catAx>
      <c:valAx>
        <c:axId val="609557187"/>
        <c:scaling>
          <c:orientation val="minMax"/>
          <c:max val="83"/>
          <c:min val="70"/>
        </c:scaling>
        <c:delete val="1"/>
        <c:axPos val="l"/>
        <c:numFmt formatCode="General" sourceLinked="1"/>
        <c:majorTickMark val="out"/>
        <c:minorTickMark val="none"/>
        <c:tickLblPos val="nextTo"/>
        <c:crossAx val="23942283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c:v>
                </c:pt>
              </c:strCache>
            </c:strRef>
          </c:tx>
          <c:spPr>
            <a:solidFill>
              <a:schemeClr val="accent5"/>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55F2-4766-B697-6AB5325DD9ED}"/>
              </c:ext>
            </c:extLst>
          </c:dPt>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3-55F2-4766-B697-6AB5325DD9ED}"/>
              </c:ext>
            </c:extLst>
          </c:dPt>
          <c:dPt>
            <c:idx val="2"/>
            <c:invertIfNegative val="0"/>
            <c:bubble3D val="0"/>
            <c:spPr>
              <a:solidFill>
                <a:schemeClr val="accent5">
                  <a:lumMod val="75000"/>
                </a:schemeClr>
              </a:solidFill>
              <a:ln>
                <a:noFill/>
              </a:ln>
              <a:effectLst/>
            </c:spPr>
            <c:extLst>
              <c:ext xmlns:c16="http://schemas.microsoft.com/office/drawing/2014/chart" uri="{C3380CC4-5D6E-409C-BE32-E72D297353CC}">
                <c16:uniqueId val="{00000005-55F2-4766-B697-6AB5325DD9ED}"/>
              </c:ext>
            </c:extLst>
          </c:dPt>
          <c:dPt>
            <c:idx val="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55F2-4766-B697-6AB5325DD9ED}"/>
              </c:ext>
            </c:extLst>
          </c:dPt>
          <c:dPt>
            <c:idx val="6"/>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55F2-4766-B697-6AB5325DD9ED}"/>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B-55F2-4766-B697-6AB5325DD9ED}"/>
              </c:ext>
            </c:extLst>
          </c:dPt>
          <c:dPt>
            <c:idx val="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D-55F2-4766-B697-6AB5325DD9ED}"/>
              </c:ext>
            </c:extLst>
          </c:dPt>
          <c:dPt>
            <c:idx val="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F-55F2-4766-B697-6AB5325DD9ED}"/>
              </c:ext>
            </c:extLst>
          </c:dPt>
          <c:dPt>
            <c:idx val="1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1-55F2-4766-B697-6AB5325DD9ED}"/>
              </c:ext>
            </c:extLst>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节省时间</c:v>
                </c:pt>
                <c:pt idx="1">
                  <c:v>产品多样</c:v>
                </c:pt>
                <c:pt idx="2">
                  <c:v>价格实惠</c:v>
                </c:pt>
                <c:pt idx="3">
                  <c:v>方便比价</c:v>
                </c:pt>
                <c:pt idx="4">
                  <c:v>物流便捷</c:v>
                </c:pt>
                <c:pt idx="5">
                  <c:v>促销优惠多</c:v>
                </c:pt>
                <c:pt idx="6">
                  <c:v>退换货方便</c:v>
                </c:pt>
                <c:pt idx="7">
                  <c:v>方便记账</c:v>
                </c:pt>
                <c:pt idx="8">
                  <c:v>积累信用积分等</c:v>
                </c:pt>
                <c:pt idx="9">
                  <c:v>线下实体店购物不方便</c:v>
                </c:pt>
                <c:pt idx="10">
                  <c:v>其他</c:v>
                </c:pt>
              </c:strCache>
            </c:strRef>
          </c:cat>
          <c:val>
            <c:numRef>
              <c:f>Sheet1!$B$2:$B$12</c:f>
              <c:numCache>
                <c:formatCode>0.0%</c:formatCode>
                <c:ptCount val="11"/>
                <c:pt idx="0">
                  <c:v>0.54439558082162398</c:v>
                </c:pt>
                <c:pt idx="1">
                  <c:v>0.53384103829239504</c:v>
                </c:pt>
                <c:pt idx="2">
                  <c:v>0.53150273517108204</c:v>
                </c:pt>
                <c:pt idx="3">
                  <c:v>0.32161321463048398</c:v>
                </c:pt>
                <c:pt idx="4">
                  <c:v>0.307411777324895</c:v>
                </c:pt>
                <c:pt idx="5">
                  <c:v>0.18526225463906501</c:v>
                </c:pt>
                <c:pt idx="6">
                  <c:v>0.17290571704387001</c:v>
                </c:pt>
                <c:pt idx="7">
                  <c:v>5.0262790947120002E-2</c:v>
                </c:pt>
                <c:pt idx="8">
                  <c:v>3.8185133540705803E-2</c:v>
                </c:pt>
                <c:pt idx="9">
                  <c:v>3.7198326718867303E-2</c:v>
                </c:pt>
                <c:pt idx="10">
                  <c:v>1.2227823661911401E-3</c:v>
                </c:pt>
              </c:numCache>
            </c:numRef>
          </c:val>
          <c:extLst>
            <c:ext xmlns:c16="http://schemas.microsoft.com/office/drawing/2014/chart" uri="{C3380CC4-5D6E-409C-BE32-E72D297353CC}">
              <c16:uniqueId val="{00000012-55F2-4766-B697-6AB5325DD9ED}"/>
            </c:ext>
          </c:extLst>
        </c:ser>
        <c:dLbls>
          <c:showLegendKey val="0"/>
          <c:showVal val="1"/>
          <c:showCatName val="0"/>
          <c:showSerName val="0"/>
          <c:showPercent val="0"/>
          <c:showBubbleSize val="0"/>
        </c:dLbls>
        <c:gapWidth val="41"/>
        <c:overlap val="-27"/>
        <c:axId val="809927087"/>
        <c:axId val="809927503"/>
      </c:barChart>
      <c:catAx>
        <c:axId val="80992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9927503"/>
        <c:crosses val="autoZero"/>
        <c:auto val="1"/>
        <c:lblAlgn val="ctr"/>
        <c:lblOffset val="100"/>
        <c:noMultiLvlLbl val="0"/>
      </c:catAx>
      <c:valAx>
        <c:axId val="809927503"/>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99270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c:v>
                </c:pt>
              </c:strCache>
            </c:strRef>
          </c:tx>
          <c:spPr>
            <a:solidFill>
              <a:schemeClr val="accent5"/>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1983-4321-83F0-84ADDFF969E7}"/>
              </c:ext>
            </c:extLst>
          </c:dPt>
          <c:dPt>
            <c:idx val="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1983-4321-83F0-84ADDFF969E7}"/>
              </c:ext>
            </c:extLst>
          </c:dPt>
          <c:dPt>
            <c:idx val="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1983-4321-83F0-84ADDFF969E7}"/>
              </c:ext>
            </c:extLst>
          </c:dPt>
          <c:dPt>
            <c:idx val="6"/>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1983-4321-83F0-84ADDFF969E7}"/>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1983-4321-83F0-84ADDFF969E7}"/>
              </c:ext>
            </c:extLst>
          </c:dPt>
          <c:dPt>
            <c:idx val="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B-1983-4321-83F0-84ADDFF969E7}"/>
              </c:ext>
            </c:extLst>
          </c:dPt>
          <c:dPt>
            <c:idx val="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D-1983-4321-83F0-84ADDFF969E7}"/>
              </c:ext>
            </c:extLst>
          </c:dPt>
          <c:dPt>
            <c:idx val="1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F-1983-4321-83F0-84ADDFF969E7}"/>
              </c:ext>
            </c:extLst>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假冒仿冒太多</c:v>
                </c:pt>
                <c:pt idx="1">
                  <c:v>销量造假或刷单</c:v>
                </c:pt>
                <c:pt idx="2">
                  <c:v>商品质量不佳</c:v>
                </c:pt>
                <c:pt idx="3">
                  <c:v>评论信息不可靠</c:v>
                </c:pt>
                <c:pt idx="4">
                  <c:v>促销活动太多</c:v>
                </c:pt>
                <c:pt idx="5">
                  <c:v>担心支付不安全</c:v>
                </c:pt>
                <c:pt idx="6">
                  <c:v>价格波动大</c:v>
                </c:pt>
                <c:pt idx="7">
                  <c:v>支持实体店</c:v>
                </c:pt>
                <c:pt idx="8">
                  <c:v>折扣情况有水分</c:v>
                </c:pt>
                <c:pt idx="9">
                  <c:v>异地维权困难</c:v>
                </c:pt>
                <c:pt idx="10">
                  <c:v>其他</c:v>
                </c:pt>
              </c:strCache>
            </c:strRef>
          </c:cat>
          <c:val>
            <c:numRef>
              <c:f>Sheet1!$B$2:$B$12</c:f>
              <c:numCache>
                <c:formatCode>0.0%</c:formatCode>
                <c:ptCount val="11"/>
                <c:pt idx="0">
                  <c:v>0.433</c:v>
                </c:pt>
                <c:pt idx="1">
                  <c:v>0.33100000000000002</c:v>
                </c:pt>
                <c:pt idx="2">
                  <c:v>0.32700000000000001</c:v>
                </c:pt>
                <c:pt idx="3">
                  <c:v>0.316</c:v>
                </c:pt>
                <c:pt idx="4">
                  <c:v>0.26100000000000001</c:v>
                </c:pt>
                <c:pt idx="5">
                  <c:v>0.182</c:v>
                </c:pt>
                <c:pt idx="6">
                  <c:v>0.14399999999999999</c:v>
                </c:pt>
                <c:pt idx="7">
                  <c:v>0.14000000000000001</c:v>
                </c:pt>
                <c:pt idx="8">
                  <c:v>0.121</c:v>
                </c:pt>
                <c:pt idx="9">
                  <c:v>9.7000000000000003E-2</c:v>
                </c:pt>
                <c:pt idx="10">
                  <c:v>2.5000000000000001E-2</c:v>
                </c:pt>
              </c:numCache>
            </c:numRef>
          </c:val>
          <c:extLst>
            <c:ext xmlns:c16="http://schemas.microsoft.com/office/drawing/2014/chart" uri="{C3380CC4-5D6E-409C-BE32-E72D297353CC}">
              <c16:uniqueId val="{00000010-1983-4321-83F0-84ADDFF969E7}"/>
            </c:ext>
          </c:extLst>
        </c:ser>
        <c:dLbls>
          <c:showLegendKey val="0"/>
          <c:showVal val="1"/>
          <c:showCatName val="0"/>
          <c:showSerName val="0"/>
          <c:showPercent val="0"/>
          <c:showBubbleSize val="0"/>
        </c:dLbls>
        <c:gapWidth val="41"/>
        <c:overlap val="-27"/>
        <c:axId val="809927087"/>
        <c:axId val="809927503"/>
      </c:barChart>
      <c:catAx>
        <c:axId val="80992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9927503"/>
        <c:crosses val="autoZero"/>
        <c:auto val="1"/>
        <c:lblAlgn val="ctr"/>
        <c:lblOffset val="100"/>
        <c:noMultiLvlLbl val="0"/>
      </c:catAx>
      <c:valAx>
        <c:axId val="809927503"/>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99270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满意度</c:v>
                </c:pt>
              </c:strCache>
            </c:strRef>
          </c:tx>
          <c:spPr>
            <a:solidFill>
              <a:schemeClr val="accent6"/>
            </a:solidFill>
            <a:ln>
              <a:noFill/>
            </a:ln>
            <a:effectLst/>
          </c:spPr>
          <c:invertIfNegative val="0"/>
          <c:dPt>
            <c:idx val="37"/>
            <c:invertIfNegative val="0"/>
            <c:bubble3D val="0"/>
            <c:spPr>
              <a:solidFill>
                <a:srgbClr val="C00000"/>
              </a:solidFill>
              <a:ln>
                <a:noFill/>
              </a:ln>
              <a:effectLst/>
            </c:spPr>
            <c:extLst>
              <c:ext xmlns:c16="http://schemas.microsoft.com/office/drawing/2014/chart" uri="{C3380CC4-5D6E-409C-BE32-E72D297353CC}">
                <c16:uniqueId val="{00000001-D0E1-4D5F-91C0-825E8ED25233}"/>
              </c:ext>
            </c:extLst>
          </c:dPt>
          <c:dLbls>
            <c:dLbl>
              <c:idx val="37"/>
              <c:spPr>
                <a:noFill/>
                <a:ln>
                  <a:noFill/>
                </a:ln>
                <a:effectLst/>
              </c:spPr>
              <c:txPr>
                <a:bodyPr rot="-5400000" spcFirstLastPara="0" vertOverflow="ellipsis" wrap="square" lIns="38100" tIns="19050" rIns="38100" bIns="19050" anchor="ctr" anchorCtr="1"/>
                <a:lstStyle/>
                <a:p>
                  <a:pPr>
                    <a:defRPr lang="zh-CN" sz="700" b="1" i="0" u="none" strike="noStrike" kern="1200" baseline="0">
                      <a:solidFill>
                        <a:srgbClr val="C00000"/>
                      </a:solidFill>
                      <a:latin typeface="+mn-lt"/>
                      <a:ea typeface="+mn-ea"/>
                      <a:cs typeface="+mn-cs"/>
                    </a:defRPr>
                  </a:pPr>
                  <a:endParaRPr lang="zh-CN"/>
                </a:p>
              </c:txPr>
              <c:dLblPos val="outEnd"/>
              <c:showLegendKey val="0"/>
              <c:showVal val="1"/>
              <c:showCatName val="0"/>
              <c:showSerName val="0"/>
              <c:showPercent val="0"/>
              <c:showBubbleSize val="0"/>
              <c:extLst>
                <c:ext xmlns:c16="http://schemas.microsoft.com/office/drawing/2014/chart" uri="{C3380CC4-5D6E-409C-BE32-E72D297353CC}">
                  <c16:uniqueId val="{00000001-D0E1-4D5F-91C0-825E8ED25233}"/>
                </c:ext>
              </c:extLst>
            </c:dLbl>
            <c:spPr>
              <a:noFill/>
              <a:ln>
                <a:noFill/>
              </a:ln>
              <a:effectLst/>
            </c:spPr>
            <c:txPr>
              <a:bodyPr rot="-5400000" spcFirstLastPara="0" vertOverflow="ellipsis" wrap="square" lIns="38100" tIns="19050" rIns="38100" bIns="19050" anchor="ctr" anchorCtr="1"/>
              <a:lstStyle/>
              <a:p>
                <a:pPr>
                  <a:defRPr lang="zh-CN" sz="7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Sheet1!$A$2:$A$102</c:f>
              <c:strCache>
                <c:ptCount val="101"/>
                <c:pt idx="0">
                  <c:v>苏州市（1）</c:v>
                </c:pt>
                <c:pt idx="1">
                  <c:v>杭州市（2）</c:v>
                </c:pt>
                <c:pt idx="2">
                  <c:v>青岛市（3）</c:v>
                </c:pt>
                <c:pt idx="3">
                  <c:v>南京市（4）</c:v>
                </c:pt>
                <c:pt idx="4">
                  <c:v>无锡市（5）</c:v>
                </c:pt>
                <c:pt idx="5">
                  <c:v>烟台市（6）</c:v>
                </c:pt>
                <c:pt idx="6">
                  <c:v>常州市（7）</c:v>
                </c:pt>
                <c:pt idx="7">
                  <c:v>上海市（8）</c:v>
                </c:pt>
                <c:pt idx="8">
                  <c:v>北京市（9）</c:v>
                </c:pt>
                <c:pt idx="9">
                  <c:v>厦门市（10）</c:v>
                </c:pt>
                <c:pt idx="10">
                  <c:v>宁波市（11）</c:v>
                </c:pt>
                <c:pt idx="11">
                  <c:v>宜昌市（12）</c:v>
                </c:pt>
                <c:pt idx="12">
                  <c:v>泉州市（13）</c:v>
                </c:pt>
                <c:pt idx="13">
                  <c:v>潍坊市（14）</c:v>
                </c:pt>
                <c:pt idx="14">
                  <c:v>佛山市（15）</c:v>
                </c:pt>
                <c:pt idx="15">
                  <c:v>金华市（16）</c:v>
                </c:pt>
                <c:pt idx="16">
                  <c:v>成都市（17）</c:v>
                </c:pt>
                <c:pt idx="17">
                  <c:v>天津市（18）</c:v>
                </c:pt>
                <c:pt idx="18">
                  <c:v>济宁市（19）</c:v>
                </c:pt>
                <c:pt idx="19">
                  <c:v>嘉兴市（20）</c:v>
                </c:pt>
                <c:pt idx="20">
                  <c:v>吴忠市（21）</c:v>
                </c:pt>
                <c:pt idx="21">
                  <c:v>南通市（22）</c:v>
                </c:pt>
                <c:pt idx="22">
                  <c:v>洛阳市（23）</c:v>
                </c:pt>
                <c:pt idx="23">
                  <c:v>南宁市（24）</c:v>
                </c:pt>
                <c:pt idx="24">
                  <c:v>绍兴市（25）</c:v>
                </c:pt>
                <c:pt idx="25">
                  <c:v>深圳市（26）</c:v>
                </c:pt>
                <c:pt idx="26">
                  <c:v>温州市（27）</c:v>
                </c:pt>
                <c:pt idx="27">
                  <c:v>广州市（28）</c:v>
                </c:pt>
                <c:pt idx="28">
                  <c:v>沈阳市（29）</c:v>
                </c:pt>
                <c:pt idx="29">
                  <c:v>济南市（30）</c:v>
                </c:pt>
                <c:pt idx="30">
                  <c:v>盐城市（31）</c:v>
                </c:pt>
                <c:pt idx="31">
                  <c:v>襄阳市（32）</c:v>
                </c:pt>
                <c:pt idx="32">
                  <c:v>岳阳市（33）</c:v>
                </c:pt>
                <c:pt idx="33">
                  <c:v>临沂市（34）</c:v>
                </c:pt>
                <c:pt idx="34">
                  <c:v>克拉玛依市（35）</c:v>
                </c:pt>
                <c:pt idx="35">
                  <c:v>日喀则市（36）</c:v>
                </c:pt>
                <c:pt idx="36">
                  <c:v>山南市（37）</c:v>
                </c:pt>
                <c:pt idx="37">
                  <c:v>全国综合得分</c:v>
                </c:pt>
                <c:pt idx="38">
                  <c:v>大庆市（38）</c:v>
                </c:pt>
                <c:pt idx="39">
                  <c:v>徐州市（39）</c:v>
                </c:pt>
                <c:pt idx="40">
                  <c:v>银川市（40）</c:v>
                </c:pt>
                <c:pt idx="41">
                  <c:v>哈尔滨市（41）</c:v>
                </c:pt>
                <c:pt idx="42">
                  <c:v>拉萨市（42）</c:v>
                </c:pt>
                <c:pt idx="43">
                  <c:v>芜湖市（43）</c:v>
                </c:pt>
                <c:pt idx="44">
                  <c:v>淄博市（44）</c:v>
                </c:pt>
                <c:pt idx="45">
                  <c:v>武汉市（45）</c:v>
                </c:pt>
                <c:pt idx="46">
                  <c:v>西宁市（46）</c:v>
                </c:pt>
                <c:pt idx="47">
                  <c:v>海西蒙古族藏族自治州（47）</c:v>
                </c:pt>
                <c:pt idx="48">
                  <c:v>石家庄市（48）</c:v>
                </c:pt>
                <c:pt idx="49">
                  <c:v>渭南市（49）</c:v>
                </c:pt>
                <c:pt idx="50">
                  <c:v>包头市（50）</c:v>
                </c:pt>
                <c:pt idx="51">
                  <c:v>太原市（51）</c:v>
                </c:pt>
                <c:pt idx="52">
                  <c:v>大同市（52）</c:v>
                </c:pt>
                <c:pt idx="53">
                  <c:v>上饶市（53）</c:v>
                </c:pt>
                <c:pt idx="54">
                  <c:v>柳州市（54）</c:v>
                </c:pt>
                <c:pt idx="55">
                  <c:v>齐齐哈尔市（55）</c:v>
                </c:pt>
                <c:pt idx="56">
                  <c:v>天水市（56）</c:v>
                </c:pt>
                <c:pt idx="57">
                  <c:v>赣州市（57）</c:v>
                </c:pt>
                <c:pt idx="58">
                  <c:v>毕节市（58）</c:v>
                </c:pt>
                <c:pt idx="59">
                  <c:v>台州市（59）</c:v>
                </c:pt>
                <c:pt idx="60">
                  <c:v>鞍山市（60）</c:v>
                </c:pt>
                <c:pt idx="61">
                  <c:v>福州市（61）</c:v>
                </c:pt>
                <c:pt idx="62">
                  <c:v>鄂尔多斯市（62）</c:v>
                </c:pt>
                <c:pt idx="63">
                  <c:v>海东市（63）</c:v>
                </c:pt>
                <c:pt idx="64">
                  <c:v>石嘴山市（64）</c:v>
                </c:pt>
                <c:pt idx="65">
                  <c:v>东莞市（65）</c:v>
                </c:pt>
                <c:pt idx="66">
                  <c:v>南充市（66）</c:v>
                </c:pt>
                <c:pt idx="67">
                  <c:v>郑州市（67）</c:v>
                </c:pt>
                <c:pt idx="68">
                  <c:v>哈密市（68）</c:v>
                </c:pt>
                <c:pt idx="69">
                  <c:v>昆明市（69）</c:v>
                </c:pt>
                <c:pt idx="70">
                  <c:v>曲靖市（70）</c:v>
                </c:pt>
                <c:pt idx="71">
                  <c:v>吉林市（71）</c:v>
                </c:pt>
                <c:pt idx="72">
                  <c:v>南昌市（72）</c:v>
                </c:pt>
                <c:pt idx="73">
                  <c:v>南阳市（73）</c:v>
                </c:pt>
                <c:pt idx="74">
                  <c:v>长春市（74）</c:v>
                </c:pt>
                <c:pt idx="75">
                  <c:v>贵阳市（75）</c:v>
                </c:pt>
                <c:pt idx="76">
                  <c:v>遵义市（76）</c:v>
                </c:pt>
                <c:pt idx="77">
                  <c:v>长沙市（77）</c:v>
                </c:pt>
                <c:pt idx="78">
                  <c:v>重庆市（78）</c:v>
                </c:pt>
                <c:pt idx="79">
                  <c:v>阜阳市（79）</c:v>
                </c:pt>
                <c:pt idx="80">
                  <c:v>绵阳市（80）</c:v>
                </c:pt>
                <c:pt idx="81">
                  <c:v>儋州市（81）</c:v>
                </c:pt>
                <c:pt idx="82">
                  <c:v>合肥市（82）</c:v>
                </c:pt>
                <c:pt idx="83">
                  <c:v>大连市（83）</c:v>
                </c:pt>
                <c:pt idx="84">
                  <c:v>桂林市（84）</c:v>
                </c:pt>
                <c:pt idx="85">
                  <c:v>邯郸市（85）</c:v>
                </c:pt>
                <c:pt idx="86">
                  <c:v>汕头市（86）</c:v>
                </c:pt>
                <c:pt idx="87">
                  <c:v>运城市（87）</c:v>
                </c:pt>
                <c:pt idx="88">
                  <c:v>保定市（88）</c:v>
                </c:pt>
                <c:pt idx="89">
                  <c:v>玉溪市（89）</c:v>
                </c:pt>
                <c:pt idx="90">
                  <c:v>乌鲁木齐市（90）</c:v>
                </c:pt>
                <c:pt idx="91">
                  <c:v>唐山市（91）</c:v>
                </c:pt>
                <c:pt idx="92">
                  <c:v>兰州市（92）</c:v>
                </c:pt>
                <c:pt idx="93">
                  <c:v>呼和浩特市（93）</c:v>
                </c:pt>
                <c:pt idx="94">
                  <c:v>宝鸡市（94）</c:v>
                </c:pt>
                <c:pt idx="95">
                  <c:v>三亚市（95）</c:v>
                </c:pt>
                <c:pt idx="96">
                  <c:v>松原市（96）</c:v>
                </c:pt>
                <c:pt idx="97">
                  <c:v>衡阳市（97）</c:v>
                </c:pt>
                <c:pt idx="98">
                  <c:v>海口市（98）</c:v>
                </c:pt>
                <c:pt idx="99">
                  <c:v>西安市（99）</c:v>
                </c:pt>
                <c:pt idx="100">
                  <c:v>庆阳市（100）</c:v>
                </c:pt>
              </c:strCache>
            </c:strRef>
          </c:cat>
          <c:val>
            <c:numRef>
              <c:f>Sheet1!$B$2:$B$102</c:f>
              <c:numCache>
                <c:formatCode>0.00_);[Red]\(0.00\)</c:formatCode>
                <c:ptCount val="101"/>
                <c:pt idx="0">
                  <c:v>89.695237730760098</c:v>
                </c:pt>
                <c:pt idx="1">
                  <c:v>87.336925816863996</c:v>
                </c:pt>
                <c:pt idx="2">
                  <c:v>87.005402528301104</c:v>
                </c:pt>
                <c:pt idx="3">
                  <c:v>86.040015010313894</c:v>
                </c:pt>
                <c:pt idx="4">
                  <c:v>86.001102026508704</c:v>
                </c:pt>
                <c:pt idx="5">
                  <c:v>85.293241550520193</c:v>
                </c:pt>
                <c:pt idx="6">
                  <c:v>85.119612892262097</c:v>
                </c:pt>
                <c:pt idx="7">
                  <c:v>84.574184321893</c:v>
                </c:pt>
                <c:pt idx="8">
                  <c:v>83.485326033466393</c:v>
                </c:pt>
                <c:pt idx="9">
                  <c:v>83.163356266636001</c:v>
                </c:pt>
                <c:pt idx="10">
                  <c:v>82.403782358586696</c:v>
                </c:pt>
                <c:pt idx="11">
                  <c:v>82.394383970590297</c:v>
                </c:pt>
                <c:pt idx="12">
                  <c:v>82.196319883717806</c:v>
                </c:pt>
                <c:pt idx="13">
                  <c:v>82.076723962811101</c:v>
                </c:pt>
                <c:pt idx="14">
                  <c:v>81.931174782632397</c:v>
                </c:pt>
                <c:pt idx="15">
                  <c:v>81.904832635211704</c:v>
                </c:pt>
                <c:pt idx="16">
                  <c:v>81.845986949614002</c:v>
                </c:pt>
                <c:pt idx="17">
                  <c:v>81.485000214483605</c:v>
                </c:pt>
                <c:pt idx="18">
                  <c:v>81.460078071023204</c:v>
                </c:pt>
                <c:pt idx="19">
                  <c:v>81.384916947800804</c:v>
                </c:pt>
                <c:pt idx="20">
                  <c:v>81.377707794561104</c:v>
                </c:pt>
                <c:pt idx="21">
                  <c:v>81.296675100805402</c:v>
                </c:pt>
                <c:pt idx="22">
                  <c:v>81.242333928096201</c:v>
                </c:pt>
                <c:pt idx="23">
                  <c:v>81.156242462272203</c:v>
                </c:pt>
                <c:pt idx="24">
                  <c:v>81.115656065479598</c:v>
                </c:pt>
                <c:pt idx="25">
                  <c:v>80.999491915573998</c:v>
                </c:pt>
                <c:pt idx="26">
                  <c:v>80.950332697491703</c:v>
                </c:pt>
                <c:pt idx="27">
                  <c:v>80.895677891776899</c:v>
                </c:pt>
                <c:pt idx="28">
                  <c:v>80.782550189447406</c:v>
                </c:pt>
                <c:pt idx="29">
                  <c:v>80.780112006286899</c:v>
                </c:pt>
                <c:pt idx="30">
                  <c:v>80.773481003939295</c:v>
                </c:pt>
                <c:pt idx="31">
                  <c:v>80.772786861584393</c:v>
                </c:pt>
                <c:pt idx="32">
                  <c:v>80.755820557425906</c:v>
                </c:pt>
                <c:pt idx="33">
                  <c:v>80.745584669154596</c:v>
                </c:pt>
                <c:pt idx="34">
                  <c:v>80.718520898342803</c:v>
                </c:pt>
                <c:pt idx="35">
                  <c:v>80.702486517848797</c:v>
                </c:pt>
                <c:pt idx="36">
                  <c:v>80.636492481154704</c:v>
                </c:pt>
                <c:pt idx="37">
                  <c:v>80.59</c:v>
                </c:pt>
                <c:pt idx="38">
                  <c:v>80.466568093630002</c:v>
                </c:pt>
                <c:pt idx="39">
                  <c:v>80.430787983759103</c:v>
                </c:pt>
                <c:pt idx="40">
                  <c:v>80.300780337533396</c:v>
                </c:pt>
                <c:pt idx="41">
                  <c:v>80.201506820171602</c:v>
                </c:pt>
                <c:pt idx="42">
                  <c:v>80.178079426409198</c:v>
                </c:pt>
                <c:pt idx="43">
                  <c:v>80.151990607895101</c:v>
                </c:pt>
                <c:pt idx="44">
                  <c:v>80.089968110233499</c:v>
                </c:pt>
                <c:pt idx="45">
                  <c:v>80.085150887552302</c:v>
                </c:pt>
                <c:pt idx="46">
                  <c:v>80.065915162289102</c:v>
                </c:pt>
                <c:pt idx="47">
                  <c:v>79.983455452560904</c:v>
                </c:pt>
                <c:pt idx="48">
                  <c:v>79.924773076601497</c:v>
                </c:pt>
                <c:pt idx="49">
                  <c:v>79.909854204306001</c:v>
                </c:pt>
                <c:pt idx="50">
                  <c:v>79.887666608704507</c:v>
                </c:pt>
                <c:pt idx="51">
                  <c:v>79.807631776629407</c:v>
                </c:pt>
                <c:pt idx="52">
                  <c:v>79.756240033989101</c:v>
                </c:pt>
                <c:pt idx="53">
                  <c:v>79.723781720490905</c:v>
                </c:pt>
                <c:pt idx="54">
                  <c:v>79.663469578546</c:v>
                </c:pt>
                <c:pt idx="55">
                  <c:v>79.543903014613406</c:v>
                </c:pt>
                <c:pt idx="56">
                  <c:v>79.493251567448098</c:v>
                </c:pt>
                <c:pt idx="57">
                  <c:v>79.463776931523896</c:v>
                </c:pt>
                <c:pt idx="58">
                  <c:v>79.435693520926506</c:v>
                </c:pt>
                <c:pt idx="59">
                  <c:v>79.383928324144193</c:v>
                </c:pt>
                <c:pt idx="60">
                  <c:v>79.363923855388705</c:v>
                </c:pt>
                <c:pt idx="61">
                  <c:v>79.356507751334902</c:v>
                </c:pt>
                <c:pt idx="62">
                  <c:v>79.348067166681304</c:v>
                </c:pt>
                <c:pt idx="63">
                  <c:v>79.329353333385896</c:v>
                </c:pt>
                <c:pt idx="64">
                  <c:v>79.311931558316203</c:v>
                </c:pt>
                <c:pt idx="65">
                  <c:v>79.306859302645606</c:v>
                </c:pt>
                <c:pt idx="66">
                  <c:v>79.293569100516905</c:v>
                </c:pt>
                <c:pt idx="67">
                  <c:v>79.264422334368007</c:v>
                </c:pt>
                <c:pt idx="68">
                  <c:v>79.249130026292406</c:v>
                </c:pt>
                <c:pt idx="69">
                  <c:v>79.149280411698697</c:v>
                </c:pt>
                <c:pt idx="70">
                  <c:v>79.097690131746603</c:v>
                </c:pt>
                <c:pt idx="71">
                  <c:v>79.093270941225796</c:v>
                </c:pt>
                <c:pt idx="72">
                  <c:v>79.075908374986398</c:v>
                </c:pt>
                <c:pt idx="73">
                  <c:v>79.052484752800694</c:v>
                </c:pt>
                <c:pt idx="74">
                  <c:v>79.008969693772897</c:v>
                </c:pt>
                <c:pt idx="75">
                  <c:v>78.947996848543696</c:v>
                </c:pt>
                <c:pt idx="76">
                  <c:v>78.881318278993305</c:v>
                </c:pt>
                <c:pt idx="77">
                  <c:v>78.826863107648606</c:v>
                </c:pt>
                <c:pt idx="78">
                  <c:v>78.793975709861698</c:v>
                </c:pt>
                <c:pt idx="79">
                  <c:v>78.789432303453495</c:v>
                </c:pt>
                <c:pt idx="80">
                  <c:v>78.7838933620029</c:v>
                </c:pt>
                <c:pt idx="81">
                  <c:v>78.782116963792305</c:v>
                </c:pt>
                <c:pt idx="82">
                  <c:v>78.755749413056193</c:v>
                </c:pt>
                <c:pt idx="83">
                  <c:v>78.735744388414602</c:v>
                </c:pt>
                <c:pt idx="84">
                  <c:v>78.728338339382404</c:v>
                </c:pt>
                <c:pt idx="85">
                  <c:v>78.629741984759406</c:v>
                </c:pt>
                <c:pt idx="86">
                  <c:v>78.540765367767904</c:v>
                </c:pt>
                <c:pt idx="87">
                  <c:v>78.437751451305203</c:v>
                </c:pt>
                <c:pt idx="88">
                  <c:v>78.336054567109997</c:v>
                </c:pt>
                <c:pt idx="89">
                  <c:v>78.296006011569304</c:v>
                </c:pt>
                <c:pt idx="90">
                  <c:v>78.213614720549003</c:v>
                </c:pt>
                <c:pt idx="91">
                  <c:v>78.123464910633501</c:v>
                </c:pt>
                <c:pt idx="92">
                  <c:v>78.028909945870197</c:v>
                </c:pt>
                <c:pt idx="93">
                  <c:v>77.554832104669799</c:v>
                </c:pt>
                <c:pt idx="94">
                  <c:v>77.394108036526703</c:v>
                </c:pt>
                <c:pt idx="95">
                  <c:v>77.377540348227896</c:v>
                </c:pt>
                <c:pt idx="96">
                  <c:v>77.319939320648103</c:v>
                </c:pt>
                <c:pt idx="97">
                  <c:v>77.0467880428629</c:v>
                </c:pt>
                <c:pt idx="98">
                  <c:v>76.801631480936805</c:v>
                </c:pt>
                <c:pt idx="99">
                  <c:v>76.729940568399499</c:v>
                </c:pt>
                <c:pt idx="100">
                  <c:v>76.650779201140097</c:v>
                </c:pt>
              </c:numCache>
            </c:numRef>
          </c:val>
          <c:extLst>
            <c:ext xmlns:c16="http://schemas.microsoft.com/office/drawing/2014/chart" uri="{C3380CC4-5D6E-409C-BE32-E72D297353CC}">
              <c16:uniqueId val="{00000002-D0E1-4D5F-91C0-825E8ED25233}"/>
            </c:ext>
          </c:extLst>
        </c:ser>
        <c:dLbls>
          <c:showLegendKey val="0"/>
          <c:showVal val="1"/>
          <c:showCatName val="0"/>
          <c:showSerName val="0"/>
          <c:showPercent val="0"/>
          <c:showBubbleSize val="0"/>
        </c:dLbls>
        <c:gapWidth val="219"/>
        <c:overlap val="-27"/>
        <c:axId val="327735243"/>
        <c:axId val="424484931"/>
      </c:barChart>
      <c:catAx>
        <c:axId val="32773524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500" b="0" i="0" u="none" strike="noStrike" kern="1200" baseline="0">
                <a:solidFill>
                  <a:schemeClr val="tx1">
                    <a:lumMod val="65000"/>
                    <a:lumOff val="35000"/>
                  </a:schemeClr>
                </a:solidFill>
                <a:latin typeface="+mn-lt"/>
                <a:ea typeface="+mn-ea"/>
                <a:cs typeface="+mn-cs"/>
              </a:defRPr>
            </a:pPr>
            <a:endParaRPr lang="zh-CN"/>
          </a:p>
        </c:txPr>
        <c:crossAx val="424484931"/>
        <c:crosses val="autoZero"/>
        <c:auto val="1"/>
        <c:lblAlgn val="ctr"/>
        <c:lblOffset val="100"/>
        <c:noMultiLvlLbl val="0"/>
      </c:catAx>
      <c:valAx>
        <c:axId val="424484931"/>
        <c:scaling>
          <c:orientation val="minMax"/>
        </c:scaling>
        <c:delete val="1"/>
        <c:axPos val="l"/>
        <c:numFmt formatCode="0.00_);[Red]\(0.00\)" sourceLinked="1"/>
        <c:majorTickMark val="none"/>
        <c:minorTickMark val="none"/>
        <c:tickLblPos val="nextTo"/>
        <c:crossAx val="3277352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2021</c:v>
                </c:pt>
              </c:strCache>
            </c:strRef>
          </c:tx>
          <c:spPr>
            <a:ln w="28575" cap="rnd">
              <a:solidFill>
                <a:srgbClr val="C00000"/>
              </a:solidFill>
              <a:round/>
            </a:ln>
            <a:effectLst/>
          </c:spPr>
          <c:marker>
            <c:symbol val="triangle"/>
            <c:size val="5"/>
            <c:spPr>
              <a:solidFill>
                <a:srgbClr val="C00000"/>
              </a:solidFill>
              <a:ln w="9525">
                <a:solidFill>
                  <a:srgbClr val="C00000"/>
                </a:solidFill>
              </a:ln>
              <a:effectLst/>
            </c:spPr>
          </c:marker>
          <c:dLbls>
            <c:dLbl>
              <c:idx val="2"/>
              <c:layout>
                <c:manualLayout>
                  <c:x val="-2.98959651384351E-2"/>
                  <c:y val="-6.55839938176390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5B-4F70-BBF2-8EEFF27784D3}"/>
                </c:ext>
              </c:extLst>
            </c:dLbl>
            <c:dLbl>
              <c:idx val="5"/>
              <c:layout>
                <c:manualLayout>
                  <c:x val="-2.8387783251699598E-2"/>
                  <c:y val="-5.1289355834862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5B-4F70-BBF2-8EEFF27784D3}"/>
                </c:ext>
              </c:extLst>
            </c:dLbl>
            <c:dLbl>
              <c:idx val="8"/>
              <c:layout>
                <c:manualLayout>
                  <c:x val="-2.8387783251699598E-2"/>
                  <c:y val="-5.3920588567397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5B-4F70-BBF2-8EEFF27784D3}"/>
                </c:ext>
              </c:extLst>
            </c:dLbl>
            <c:dLbl>
              <c:idx val="13"/>
              <c:layout>
                <c:manualLayout>
                  <c:x val="-2.8387783251699598E-2"/>
                  <c:y val="-9.6020312287960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5B-4F70-BBF2-8EEFF27784D3}"/>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C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消费自主选择权</c:v>
                </c:pt>
                <c:pt idx="1">
                  <c:v>消费知情权</c:v>
                </c:pt>
                <c:pt idx="2">
                  <c:v>供给便利性</c:v>
                </c:pt>
                <c:pt idx="3">
                  <c:v>质量水平</c:v>
                </c:pt>
                <c:pt idx="4">
                  <c:v>供给丰富性</c:v>
                </c:pt>
                <c:pt idx="5">
                  <c:v>价格合理</c:v>
                </c:pt>
                <c:pt idx="6">
                  <c:v>消费设施</c:v>
                </c:pt>
                <c:pt idx="7">
                  <c:v>商家信任度</c:v>
                </c:pt>
                <c:pt idx="8">
                  <c:v>售后保障</c:v>
                </c:pt>
                <c:pt idx="9">
                  <c:v>服务水平</c:v>
                </c:pt>
                <c:pt idx="10">
                  <c:v>供给创新性</c:v>
                </c:pt>
                <c:pt idx="11">
                  <c:v>消费执法</c:v>
                </c:pt>
                <c:pt idx="12">
                  <c:v>消费宣传</c:v>
                </c:pt>
                <c:pt idx="13">
                  <c:v>信息真实</c:v>
                </c:pt>
                <c:pt idx="14">
                  <c:v>交易安全</c:v>
                </c:pt>
                <c:pt idx="15">
                  <c:v>权益保护</c:v>
                </c:pt>
              </c:strCache>
            </c:strRef>
          </c:cat>
          <c:val>
            <c:numRef>
              <c:f>Sheet1!$B$2:$B$17</c:f>
              <c:numCache>
                <c:formatCode>General</c:formatCode>
                <c:ptCount val="16"/>
                <c:pt idx="0">
                  <c:v>86.97</c:v>
                </c:pt>
                <c:pt idx="1">
                  <c:v>83.49</c:v>
                </c:pt>
                <c:pt idx="2">
                  <c:v>82.45</c:v>
                </c:pt>
                <c:pt idx="3">
                  <c:v>81.2</c:v>
                </c:pt>
                <c:pt idx="4">
                  <c:v>82.9</c:v>
                </c:pt>
                <c:pt idx="5">
                  <c:v>82.02</c:v>
                </c:pt>
                <c:pt idx="6">
                  <c:v>81.44</c:v>
                </c:pt>
                <c:pt idx="7">
                  <c:v>80.540000000000006</c:v>
                </c:pt>
                <c:pt idx="8">
                  <c:v>79.25</c:v>
                </c:pt>
                <c:pt idx="9">
                  <c:v>78</c:v>
                </c:pt>
                <c:pt idx="10">
                  <c:v>79.930000000000007</c:v>
                </c:pt>
                <c:pt idx="11">
                  <c:v>78.03</c:v>
                </c:pt>
                <c:pt idx="12">
                  <c:v>79.7</c:v>
                </c:pt>
                <c:pt idx="13">
                  <c:v>74.930000000000007</c:v>
                </c:pt>
                <c:pt idx="14">
                  <c:v>79.08</c:v>
                </c:pt>
                <c:pt idx="15">
                  <c:v>82.94</c:v>
                </c:pt>
              </c:numCache>
            </c:numRef>
          </c:val>
          <c:smooth val="1"/>
          <c:extLst>
            <c:ext xmlns:c16="http://schemas.microsoft.com/office/drawing/2014/chart" uri="{C3380CC4-5D6E-409C-BE32-E72D297353CC}">
              <c16:uniqueId val="{00000004-D75B-4F70-BBF2-8EEFF27784D3}"/>
            </c:ext>
          </c:extLst>
        </c:ser>
        <c:ser>
          <c:idx val="1"/>
          <c:order val="1"/>
          <c:tx>
            <c:strRef>
              <c:f>Sheet1!$C$1</c:f>
              <c:strCache>
                <c:ptCount val="1"/>
                <c:pt idx="0">
                  <c:v>2020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2"/>
              <c:layout>
                <c:manualLayout>
                  <c:x val="-2.6879601364963999E-2"/>
                  <c:y val="-8.8126614090354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5B-4F70-BBF2-8EEFF27784D3}"/>
                </c:ext>
              </c:extLst>
            </c:dLbl>
            <c:dLbl>
              <c:idx val="3"/>
              <c:layout>
                <c:manualLayout>
                  <c:x val="-2.8387783251699598E-2"/>
                  <c:y val="-4.6026890369791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5B-4F70-BBF2-8EEFF27784D3}"/>
                </c:ext>
              </c:extLst>
            </c:dLbl>
            <c:dLbl>
              <c:idx val="4"/>
              <c:layout>
                <c:manualLayout>
                  <c:x val="-2.8387783251699501E-2"/>
                  <c:y val="2.23851606761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5B-4F70-BBF2-8EEFF27784D3}"/>
                </c:ext>
              </c:extLst>
            </c:dLbl>
            <c:dLbl>
              <c:idx val="9"/>
              <c:layout>
                <c:manualLayout>
                  <c:x val="-3.2912328911906097E-2"/>
                  <c:y val="-7.23392176951437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5B-4F70-BBF2-8EEFF27784D3}"/>
                </c:ext>
              </c:extLst>
            </c:dLbl>
            <c:dLbl>
              <c:idx val="13"/>
              <c:layout>
                <c:manualLayout>
                  <c:x val="-2.8387783251699598E-2"/>
                  <c:y val="-3.0239493974580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5B-4F70-BBF2-8EEFF27784D3}"/>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6"/>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消费自主选择权</c:v>
                </c:pt>
                <c:pt idx="1">
                  <c:v>消费知情权</c:v>
                </c:pt>
                <c:pt idx="2">
                  <c:v>供给便利性</c:v>
                </c:pt>
                <c:pt idx="3">
                  <c:v>质量水平</c:v>
                </c:pt>
                <c:pt idx="4">
                  <c:v>供给丰富性</c:v>
                </c:pt>
                <c:pt idx="5">
                  <c:v>价格合理</c:v>
                </c:pt>
                <c:pt idx="6">
                  <c:v>消费设施</c:v>
                </c:pt>
                <c:pt idx="7">
                  <c:v>商家信任度</c:v>
                </c:pt>
                <c:pt idx="8">
                  <c:v>售后保障</c:v>
                </c:pt>
                <c:pt idx="9">
                  <c:v>服务水平</c:v>
                </c:pt>
                <c:pt idx="10">
                  <c:v>供给创新性</c:v>
                </c:pt>
                <c:pt idx="11">
                  <c:v>消费执法</c:v>
                </c:pt>
                <c:pt idx="12">
                  <c:v>消费宣传</c:v>
                </c:pt>
                <c:pt idx="13">
                  <c:v>信息真实</c:v>
                </c:pt>
                <c:pt idx="14">
                  <c:v>交易安全</c:v>
                </c:pt>
                <c:pt idx="15">
                  <c:v>权益保护</c:v>
                </c:pt>
              </c:strCache>
            </c:strRef>
          </c:cat>
          <c:val>
            <c:numRef>
              <c:f>Sheet1!$C$2:$C$17</c:f>
              <c:numCache>
                <c:formatCode>General</c:formatCode>
                <c:ptCount val="16"/>
                <c:pt idx="0">
                  <c:v>92.05</c:v>
                </c:pt>
                <c:pt idx="1">
                  <c:v>88.78</c:v>
                </c:pt>
                <c:pt idx="2">
                  <c:v>84.46</c:v>
                </c:pt>
                <c:pt idx="3">
                  <c:v>83.42</c:v>
                </c:pt>
                <c:pt idx="4">
                  <c:v>81.63</c:v>
                </c:pt>
                <c:pt idx="5">
                  <c:v>81.400000000000006</c:v>
                </c:pt>
                <c:pt idx="6">
                  <c:v>79.95</c:v>
                </c:pt>
                <c:pt idx="7">
                  <c:v>79.48</c:v>
                </c:pt>
                <c:pt idx="8">
                  <c:v>78.77</c:v>
                </c:pt>
                <c:pt idx="9">
                  <c:v>78.08</c:v>
                </c:pt>
                <c:pt idx="10">
                  <c:v>76.489999999999995</c:v>
                </c:pt>
                <c:pt idx="11">
                  <c:v>75.7</c:v>
                </c:pt>
                <c:pt idx="12">
                  <c:v>74.62</c:v>
                </c:pt>
                <c:pt idx="13">
                  <c:v>74.540000000000006</c:v>
                </c:pt>
                <c:pt idx="14">
                  <c:v>74.03</c:v>
                </c:pt>
                <c:pt idx="15">
                  <c:v>73.3</c:v>
                </c:pt>
              </c:numCache>
            </c:numRef>
          </c:val>
          <c:smooth val="1"/>
          <c:extLst>
            <c:ext xmlns:c16="http://schemas.microsoft.com/office/drawing/2014/chart" uri="{C3380CC4-5D6E-409C-BE32-E72D297353CC}">
              <c16:uniqueId val="{0000000A-D75B-4F70-BBF2-8EEFF27784D3}"/>
            </c:ext>
          </c:extLst>
        </c:ser>
        <c:ser>
          <c:idx val="2"/>
          <c:order val="2"/>
          <c:tx>
            <c:strRef>
              <c:f>Sheet1!$D$1</c:f>
              <c:strCache>
                <c:ptCount val="1"/>
                <c:pt idx="0">
                  <c:v>2019</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2"/>
              <c:layout>
                <c:manualLayout>
                  <c:x val="-2.8387783251699598E-2"/>
                  <c:y val="-3.5501959439651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5B-4F70-BBF2-8EEFF27784D3}"/>
                </c:ext>
              </c:extLst>
            </c:dLbl>
            <c:dLbl>
              <c:idx val="5"/>
              <c:layout>
                <c:manualLayout>
                  <c:x val="-2.8387783251699598E-2"/>
                  <c:y val="1.7122695211052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5B-4F70-BBF2-8EEFF27784D3}"/>
                </c:ext>
              </c:extLst>
            </c:dLbl>
            <c:dLbl>
              <c:idx val="11"/>
              <c:layout>
                <c:manualLayout>
                  <c:x val="-2.4949128549942499E-2"/>
                  <c:y val="-2.234579577697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5B-4F70-BBF2-8EEFF27784D3}"/>
                </c:ext>
              </c:extLst>
            </c:dLbl>
            <c:dLbl>
              <c:idx val="13"/>
              <c:layout>
                <c:manualLayout>
                  <c:x val="-2.98959651384351E-2"/>
                  <c:y val="-6.1814286765002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75B-4F70-BBF2-8EEFF27784D3}"/>
                </c:ext>
              </c:extLst>
            </c:dLbl>
            <c:dLbl>
              <c:idx val="15"/>
              <c:layout>
                <c:manualLayout>
                  <c:x val="-7.2732368374020702E-3"/>
                  <c:y val="3.96653154837686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75B-4F70-BBF2-8EEFF27784D3}"/>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5"/>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消费自主选择权</c:v>
                </c:pt>
                <c:pt idx="1">
                  <c:v>消费知情权</c:v>
                </c:pt>
                <c:pt idx="2">
                  <c:v>供给便利性</c:v>
                </c:pt>
                <c:pt idx="3">
                  <c:v>质量水平</c:v>
                </c:pt>
                <c:pt idx="4">
                  <c:v>供给丰富性</c:v>
                </c:pt>
                <c:pt idx="5">
                  <c:v>价格合理</c:v>
                </c:pt>
                <c:pt idx="6">
                  <c:v>消费设施</c:v>
                </c:pt>
                <c:pt idx="7">
                  <c:v>商家信任度</c:v>
                </c:pt>
                <c:pt idx="8">
                  <c:v>售后保障</c:v>
                </c:pt>
                <c:pt idx="9">
                  <c:v>服务水平</c:v>
                </c:pt>
                <c:pt idx="10">
                  <c:v>供给创新性</c:v>
                </c:pt>
                <c:pt idx="11">
                  <c:v>消费执法</c:v>
                </c:pt>
                <c:pt idx="12">
                  <c:v>消费宣传</c:v>
                </c:pt>
                <c:pt idx="13">
                  <c:v>信息真实</c:v>
                </c:pt>
                <c:pt idx="14">
                  <c:v>交易安全</c:v>
                </c:pt>
                <c:pt idx="15">
                  <c:v>权益保护</c:v>
                </c:pt>
              </c:strCache>
            </c:strRef>
          </c:cat>
          <c:val>
            <c:numRef>
              <c:f>Sheet1!$D$2:$D$17</c:f>
              <c:numCache>
                <c:formatCode>General</c:formatCode>
                <c:ptCount val="16"/>
                <c:pt idx="0">
                  <c:v>91.47</c:v>
                </c:pt>
                <c:pt idx="1">
                  <c:v>86.97</c:v>
                </c:pt>
                <c:pt idx="2">
                  <c:v>84.34</c:v>
                </c:pt>
                <c:pt idx="3">
                  <c:v>82.85</c:v>
                </c:pt>
                <c:pt idx="4">
                  <c:v>74.98</c:v>
                </c:pt>
                <c:pt idx="5">
                  <c:v>79.14</c:v>
                </c:pt>
                <c:pt idx="6">
                  <c:v>77.19</c:v>
                </c:pt>
                <c:pt idx="7">
                  <c:v>78.849999999999994</c:v>
                </c:pt>
                <c:pt idx="8">
                  <c:v>77.849999999999994</c:v>
                </c:pt>
                <c:pt idx="9">
                  <c:v>77.08</c:v>
                </c:pt>
                <c:pt idx="10">
                  <c:v>74.25</c:v>
                </c:pt>
                <c:pt idx="11">
                  <c:v>73.7</c:v>
                </c:pt>
                <c:pt idx="12">
                  <c:v>71.239999999999995</c:v>
                </c:pt>
                <c:pt idx="13">
                  <c:v>74.75</c:v>
                </c:pt>
                <c:pt idx="14">
                  <c:v>69.31</c:v>
                </c:pt>
                <c:pt idx="15">
                  <c:v>66.92</c:v>
                </c:pt>
              </c:numCache>
            </c:numRef>
          </c:val>
          <c:smooth val="1"/>
          <c:extLst>
            <c:ext xmlns:c16="http://schemas.microsoft.com/office/drawing/2014/chart" uri="{C3380CC4-5D6E-409C-BE32-E72D297353CC}">
              <c16:uniqueId val="{00000010-D75B-4F70-BBF2-8EEFF27784D3}"/>
            </c:ext>
          </c:extLst>
        </c:ser>
        <c:ser>
          <c:idx val="3"/>
          <c:order val="3"/>
          <c:tx>
            <c:strRef>
              <c:f>Sheet1!$E$1</c:f>
              <c:strCache>
                <c:ptCount val="1"/>
                <c:pt idx="0">
                  <c:v>2018</c:v>
                </c:pt>
              </c:strCache>
            </c:strRef>
          </c:tx>
          <c:spPr>
            <a:ln w="28575" cap="rnd">
              <a:solidFill>
                <a:schemeClr val="accent2"/>
              </a:solidFill>
              <a:round/>
            </a:ln>
            <a:effectLst/>
          </c:spPr>
          <c:marker>
            <c:symbol val="circle"/>
            <c:size val="5"/>
            <c:spPr>
              <a:solidFill>
                <a:schemeClr val="accent2">
                  <a:alpha val="92000"/>
                </a:schemeClr>
              </a:solidFill>
              <a:ln w="9525">
                <a:solidFill>
                  <a:schemeClr val="accent2"/>
                </a:solidFill>
              </a:ln>
              <a:effectLst/>
            </c:spPr>
          </c:marker>
          <c:dLbls>
            <c:dLbl>
              <c:idx val="1"/>
              <c:layout>
                <c:manualLayout>
                  <c:x val="-4.04532383455838E-2"/>
                  <c:y val="1.9753927943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75B-4F70-BBF2-8EEFF27784D3}"/>
                </c:ext>
              </c:extLst>
            </c:dLbl>
            <c:dLbl>
              <c:idx val="2"/>
              <c:layout>
                <c:manualLayout>
                  <c:x val="-3.5928692685377302E-2"/>
                  <c:y val="1.7122695211052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75B-4F70-BBF2-8EEFF27784D3}"/>
                </c:ext>
              </c:extLst>
            </c:dLbl>
            <c:dLbl>
              <c:idx val="3"/>
              <c:layout>
                <c:manualLayout>
                  <c:x val="-3.7436874572112797E-2"/>
                  <c:y val="1.4491462478517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75B-4F70-BBF2-8EEFF27784D3}"/>
                </c:ext>
              </c:extLst>
            </c:dLbl>
            <c:dLbl>
              <c:idx val="5"/>
              <c:layout>
                <c:manualLayout>
                  <c:x val="-2.8387783251699598E-2"/>
                  <c:y val="3.817255707133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75B-4F70-BBF2-8EEFF27784D3}"/>
                </c:ext>
              </c:extLst>
            </c:dLbl>
            <c:dLbl>
              <c:idx val="6"/>
              <c:layout>
                <c:manualLayout>
                  <c:x val="-2.6879601364963999E-2"/>
                  <c:y val="1.7122695211052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75B-4F70-BBF2-8EEFF27784D3}"/>
                </c:ext>
              </c:extLst>
            </c:dLbl>
            <c:dLbl>
              <c:idx val="7"/>
              <c:layout>
                <c:manualLayout>
                  <c:x val="-2.04245828897359E-2"/>
                  <c:y val="2.23851606761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75B-4F70-BBF2-8EEFF27784D3}"/>
                </c:ext>
              </c:extLst>
            </c:dLbl>
            <c:dLbl>
              <c:idx val="8"/>
              <c:layout>
                <c:manualLayout>
                  <c:x val="-2.98959651384351E-2"/>
                  <c:y val="1.7122695211052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75B-4F70-BBF2-8EEFF27784D3}"/>
                </c:ext>
              </c:extLst>
            </c:dLbl>
            <c:dLbl>
              <c:idx val="9"/>
              <c:layout>
                <c:manualLayout>
                  <c:x val="-2.98959651384351E-2"/>
                  <c:y val="1.9753927943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75B-4F70-BBF2-8EEFF27784D3}"/>
                </c:ext>
              </c:extLst>
            </c:dLbl>
            <c:dLbl>
              <c:idx val="10"/>
              <c:layout>
                <c:manualLayout>
                  <c:x val="-2.9473674210149101E-2"/>
                  <c:y val="2.50163934086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75B-4F70-BBF2-8EEFF27784D3}"/>
                </c:ext>
              </c:extLst>
            </c:dLbl>
            <c:dLbl>
              <c:idx val="12"/>
              <c:layout>
                <c:manualLayout>
                  <c:x val="-2.8387783251699501E-2"/>
                  <c:y val="2.76476261411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75B-4F70-BBF2-8EEFF27784D3}"/>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2">
                        <a:lumMod val="7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消费自主选择权</c:v>
                </c:pt>
                <c:pt idx="1">
                  <c:v>消费知情权</c:v>
                </c:pt>
                <c:pt idx="2">
                  <c:v>供给便利性</c:v>
                </c:pt>
                <c:pt idx="3">
                  <c:v>质量水平</c:v>
                </c:pt>
                <c:pt idx="4">
                  <c:v>供给丰富性</c:v>
                </c:pt>
                <c:pt idx="5">
                  <c:v>价格合理</c:v>
                </c:pt>
                <c:pt idx="6">
                  <c:v>消费设施</c:v>
                </c:pt>
                <c:pt idx="7">
                  <c:v>商家信任度</c:v>
                </c:pt>
                <c:pt idx="8">
                  <c:v>售后保障</c:v>
                </c:pt>
                <c:pt idx="9">
                  <c:v>服务水平</c:v>
                </c:pt>
                <c:pt idx="10">
                  <c:v>供给创新性</c:v>
                </c:pt>
                <c:pt idx="11">
                  <c:v>消费执法</c:v>
                </c:pt>
                <c:pt idx="12">
                  <c:v>消费宣传</c:v>
                </c:pt>
                <c:pt idx="13">
                  <c:v>信息真实</c:v>
                </c:pt>
                <c:pt idx="14">
                  <c:v>交易安全</c:v>
                </c:pt>
                <c:pt idx="15">
                  <c:v>权益保护</c:v>
                </c:pt>
              </c:strCache>
            </c:strRef>
          </c:cat>
          <c:val>
            <c:numRef>
              <c:f>Sheet1!$E$2:$E$17</c:f>
              <c:numCache>
                <c:formatCode>General</c:formatCode>
                <c:ptCount val="16"/>
                <c:pt idx="0">
                  <c:v>90.13</c:v>
                </c:pt>
                <c:pt idx="1">
                  <c:v>82.78</c:v>
                </c:pt>
                <c:pt idx="2">
                  <c:v>82.02</c:v>
                </c:pt>
                <c:pt idx="3">
                  <c:v>80.89</c:v>
                </c:pt>
                <c:pt idx="4">
                  <c:v>71.760000000000005</c:v>
                </c:pt>
                <c:pt idx="5">
                  <c:v>76.95</c:v>
                </c:pt>
                <c:pt idx="6">
                  <c:v>72.930000000000007</c:v>
                </c:pt>
                <c:pt idx="7">
                  <c:v>76.8</c:v>
                </c:pt>
                <c:pt idx="8">
                  <c:v>75.61</c:v>
                </c:pt>
                <c:pt idx="9">
                  <c:v>74.25</c:v>
                </c:pt>
                <c:pt idx="10">
                  <c:v>71.5</c:v>
                </c:pt>
                <c:pt idx="11">
                  <c:v>68.13</c:v>
                </c:pt>
                <c:pt idx="12">
                  <c:v>66.73</c:v>
                </c:pt>
                <c:pt idx="13">
                  <c:v>71.760000000000005</c:v>
                </c:pt>
                <c:pt idx="14">
                  <c:v>63.62</c:v>
                </c:pt>
                <c:pt idx="15">
                  <c:v>63.65</c:v>
                </c:pt>
              </c:numCache>
            </c:numRef>
          </c:val>
          <c:smooth val="1"/>
          <c:extLst>
            <c:ext xmlns:c16="http://schemas.microsoft.com/office/drawing/2014/chart" uri="{C3380CC4-5D6E-409C-BE32-E72D297353CC}">
              <c16:uniqueId val="{0000001B-D75B-4F70-BBF2-8EEFF27784D3}"/>
            </c:ext>
          </c:extLst>
        </c:ser>
        <c:ser>
          <c:idx val="4"/>
          <c:order val="4"/>
          <c:tx>
            <c:strRef>
              <c:f>Sheet1!$F$1</c:f>
              <c:strCache>
                <c:ptCount val="1"/>
                <c:pt idx="0">
                  <c:v>2017</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2"/>
              <c:layout>
                <c:manualLayout>
                  <c:x val="-2.3863237591492899E-2"/>
                  <c:y val="2.76476261411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75B-4F70-BBF2-8EEFF27784D3}"/>
                </c:ext>
              </c:extLst>
            </c:dLbl>
            <c:dLbl>
              <c:idx val="4"/>
              <c:layout>
                <c:manualLayout>
                  <c:x val="-3.2912328911906097E-2"/>
                  <c:y val="2.23851606761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75B-4F70-BBF2-8EEFF27784D3}"/>
                </c:ext>
              </c:extLst>
            </c:dLbl>
            <c:dLbl>
              <c:idx val="5"/>
              <c:layout>
                <c:manualLayout>
                  <c:x val="-2.5371419478228401E-2"/>
                  <c:y val="2.23851606761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75B-4F70-BBF2-8EEFF27784D3}"/>
                </c:ext>
              </c:extLst>
            </c:dLbl>
            <c:dLbl>
              <c:idx val="6"/>
              <c:layout>
                <c:manualLayout>
                  <c:x val="-2.5371419478228401E-2"/>
                  <c:y val="2.76476261411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75B-4F70-BBF2-8EEFF27784D3}"/>
                </c:ext>
              </c:extLst>
            </c:dLbl>
            <c:dLbl>
              <c:idx val="7"/>
              <c:layout>
                <c:manualLayout>
                  <c:x val="-1.9696855440766201E-2"/>
                  <c:y val="2.50163934086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75B-4F70-BBF2-8EEFF27784D3}"/>
                </c:ext>
              </c:extLst>
            </c:dLbl>
            <c:dLbl>
              <c:idx val="8"/>
              <c:layout>
                <c:manualLayout>
                  <c:x val="-2.8387783251699598E-2"/>
                  <c:y val="2.23851606761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75B-4F70-BBF2-8EEFF27784D3}"/>
                </c:ext>
              </c:extLst>
            </c:dLbl>
            <c:dLbl>
              <c:idx val="10"/>
              <c:layout>
                <c:manualLayout>
                  <c:x val="-1.02896006108732E-2"/>
                  <c:y val="-6.55839938176390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75B-4F70-BBF2-8EEFF27784D3}"/>
                </c:ext>
              </c:extLst>
            </c:dLbl>
            <c:dLbl>
              <c:idx val="11"/>
              <c:layout>
                <c:manualLayout>
                  <c:x val="-4.04532383455838E-2"/>
                  <c:y val="2.23851606761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75B-4F70-BBF2-8EEFF27784D3}"/>
                </c:ext>
              </c:extLst>
            </c:dLbl>
            <c:dLbl>
              <c:idx val="14"/>
              <c:layout>
                <c:manualLayout>
                  <c:x val="-2.8387783251699501E-2"/>
                  <c:y val="2.76476261411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75B-4F70-BBF2-8EEFF27784D3}"/>
                </c:ext>
              </c:extLst>
            </c:dLbl>
            <c:dLbl>
              <c:idx val="15"/>
              <c:layout>
                <c:manualLayout>
                  <c:x val="-2.98959651384351E-2"/>
                  <c:y val="-3.2870726707115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75B-4F70-BBF2-8EEFF27784D3}"/>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3"/>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消费自主选择权</c:v>
                </c:pt>
                <c:pt idx="1">
                  <c:v>消费知情权</c:v>
                </c:pt>
                <c:pt idx="2">
                  <c:v>供给便利性</c:v>
                </c:pt>
                <c:pt idx="3">
                  <c:v>质量水平</c:v>
                </c:pt>
                <c:pt idx="4">
                  <c:v>供给丰富性</c:v>
                </c:pt>
                <c:pt idx="5">
                  <c:v>价格合理</c:v>
                </c:pt>
                <c:pt idx="6">
                  <c:v>消费设施</c:v>
                </c:pt>
                <c:pt idx="7">
                  <c:v>商家信任度</c:v>
                </c:pt>
                <c:pt idx="8">
                  <c:v>售后保障</c:v>
                </c:pt>
                <c:pt idx="9">
                  <c:v>服务水平</c:v>
                </c:pt>
                <c:pt idx="10">
                  <c:v>供给创新性</c:v>
                </c:pt>
                <c:pt idx="11">
                  <c:v>消费执法</c:v>
                </c:pt>
                <c:pt idx="12">
                  <c:v>消费宣传</c:v>
                </c:pt>
                <c:pt idx="13">
                  <c:v>信息真实</c:v>
                </c:pt>
                <c:pt idx="14">
                  <c:v>交易安全</c:v>
                </c:pt>
                <c:pt idx="15">
                  <c:v>权益保护</c:v>
                </c:pt>
              </c:strCache>
            </c:strRef>
          </c:cat>
          <c:val>
            <c:numRef>
              <c:f>Sheet1!$F$2:$F$17</c:f>
              <c:numCache>
                <c:formatCode>General</c:formatCode>
                <c:ptCount val="16"/>
                <c:pt idx="0">
                  <c:v>80.11</c:v>
                </c:pt>
                <c:pt idx="1">
                  <c:v>64.680000000000007</c:v>
                </c:pt>
                <c:pt idx="2">
                  <c:v>79.98</c:v>
                </c:pt>
                <c:pt idx="3">
                  <c:v>75.84</c:v>
                </c:pt>
                <c:pt idx="4">
                  <c:v>71.069999999999993</c:v>
                </c:pt>
                <c:pt idx="5">
                  <c:v>71.77</c:v>
                </c:pt>
                <c:pt idx="6">
                  <c:v>77.17</c:v>
                </c:pt>
                <c:pt idx="7">
                  <c:v>74</c:v>
                </c:pt>
                <c:pt idx="8">
                  <c:v>73.14</c:v>
                </c:pt>
                <c:pt idx="9">
                  <c:v>75.040000000000006</c:v>
                </c:pt>
                <c:pt idx="10">
                  <c:v>72.760000000000005</c:v>
                </c:pt>
                <c:pt idx="11">
                  <c:v>65.66</c:v>
                </c:pt>
                <c:pt idx="12">
                  <c:v>67.62</c:v>
                </c:pt>
                <c:pt idx="13">
                  <c:v>66.319999999999993</c:v>
                </c:pt>
                <c:pt idx="14">
                  <c:v>68.33</c:v>
                </c:pt>
                <c:pt idx="15">
                  <c:v>67.739999999999995</c:v>
                </c:pt>
              </c:numCache>
            </c:numRef>
          </c:val>
          <c:smooth val="1"/>
          <c:extLst>
            <c:ext xmlns:c16="http://schemas.microsoft.com/office/drawing/2014/chart" uri="{C3380CC4-5D6E-409C-BE32-E72D297353CC}">
              <c16:uniqueId val="{00000026-D75B-4F70-BBF2-8EEFF27784D3}"/>
            </c:ext>
          </c:extLst>
        </c:ser>
        <c:dLbls>
          <c:showLegendKey val="0"/>
          <c:showVal val="1"/>
          <c:showCatName val="0"/>
          <c:showSerName val="0"/>
          <c:showPercent val="0"/>
          <c:showBubbleSize val="0"/>
        </c:dLbls>
        <c:marker val="1"/>
        <c:smooth val="0"/>
        <c:axId val="749695455"/>
        <c:axId val="749678815"/>
      </c:lineChart>
      <c:catAx>
        <c:axId val="74969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crossAx val="749678815"/>
        <c:crosses val="autoZero"/>
        <c:auto val="1"/>
        <c:lblAlgn val="ctr"/>
        <c:lblOffset val="100"/>
        <c:noMultiLvlLbl val="0"/>
      </c:catAx>
      <c:valAx>
        <c:axId val="749678815"/>
        <c:scaling>
          <c:orientation val="minMax"/>
          <c:min val="60"/>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49695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6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消费自主选择权</c:v>
                </c:pt>
                <c:pt idx="1">
                  <c:v>公共基础设施完善</c:v>
                </c:pt>
                <c:pt idx="2">
                  <c:v>明码标价</c:v>
                </c:pt>
                <c:pt idx="3">
                  <c:v>替代产品丰富性</c:v>
                </c:pt>
                <c:pt idx="4">
                  <c:v>消费知情权</c:v>
                </c:pt>
                <c:pt idx="5">
                  <c:v>维权结果</c:v>
                </c:pt>
                <c:pt idx="6">
                  <c:v>维权效率</c:v>
                </c:pt>
                <c:pt idx="7">
                  <c:v>维权渠道</c:v>
                </c:pt>
                <c:pt idx="8">
                  <c:v>物流便利</c:v>
                </c:pt>
                <c:pt idx="9">
                  <c:v>货品真实</c:v>
                </c:pt>
                <c:pt idx="10">
                  <c:v>种类丰富性</c:v>
                </c:pt>
                <c:pt idx="11">
                  <c:v>舒适性</c:v>
                </c:pt>
                <c:pt idx="12">
                  <c:v>安全性</c:v>
                </c:pt>
                <c:pt idx="13">
                  <c:v>商家信任度</c:v>
                </c:pt>
                <c:pt idx="14">
                  <c:v>价格公道</c:v>
                </c:pt>
                <c:pt idx="15">
                  <c:v>消费知识法制宣传</c:v>
                </c:pt>
                <c:pt idx="16">
                  <c:v>分布合理</c:v>
                </c:pt>
                <c:pt idx="17">
                  <c:v>商品或服务质量</c:v>
                </c:pt>
                <c:pt idx="18">
                  <c:v>供给创新性</c:v>
                </c:pt>
                <c:pt idx="19">
                  <c:v>售后保障</c:v>
                </c:pt>
                <c:pt idx="20">
                  <c:v>消费警示提示</c:v>
                </c:pt>
                <c:pt idx="21">
                  <c:v>交易安全</c:v>
                </c:pt>
                <c:pt idx="22">
                  <c:v>消费执法</c:v>
                </c:pt>
                <c:pt idx="23">
                  <c:v>服务水平</c:v>
                </c:pt>
                <c:pt idx="24">
                  <c:v>信息真实</c:v>
                </c:pt>
              </c:strCache>
            </c:strRef>
          </c:cat>
          <c:val>
            <c:numRef>
              <c:f>Sheet1!$B$2:$B$26</c:f>
              <c:numCache>
                <c:formatCode>0.00</c:formatCode>
                <c:ptCount val="25"/>
                <c:pt idx="0">
                  <c:v>86.968420590784007</c:v>
                </c:pt>
                <c:pt idx="1">
                  <c:v>84.684209685408007</c:v>
                </c:pt>
                <c:pt idx="2">
                  <c:v>83.648351414252801</c:v>
                </c:pt>
                <c:pt idx="3">
                  <c:v>83.520746457045107</c:v>
                </c:pt>
                <c:pt idx="4">
                  <c:v>83.488917125511804</c:v>
                </c:pt>
                <c:pt idx="5">
                  <c:v>83.023165724025702</c:v>
                </c:pt>
                <c:pt idx="6">
                  <c:v>82.967382040753094</c:v>
                </c:pt>
                <c:pt idx="7">
                  <c:v>82.824256469679398</c:v>
                </c:pt>
                <c:pt idx="8">
                  <c:v>82.555971941962198</c:v>
                </c:pt>
                <c:pt idx="9">
                  <c:v>82.417847081029905</c:v>
                </c:pt>
                <c:pt idx="10">
                  <c:v>82.289220150505699</c:v>
                </c:pt>
                <c:pt idx="11">
                  <c:v>82.079918196488194</c:v>
                </c:pt>
                <c:pt idx="12">
                  <c:v>80.868795752554107</c:v>
                </c:pt>
                <c:pt idx="13">
                  <c:v>80.543874225091102</c:v>
                </c:pt>
                <c:pt idx="14">
                  <c:v>80.394318490469601</c:v>
                </c:pt>
                <c:pt idx="15">
                  <c:v>80.264902778443499</c:v>
                </c:pt>
                <c:pt idx="16">
                  <c:v>80.172844248127504</c:v>
                </c:pt>
                <c:pt idx="17">
                  <c:v>79.999358748276606</c:v>
                </c:pt>
                <c:pt idx="18">
                  <c:v>79.933215101695197</c:v>
                </c:pt>
                <c:pt idx="19">
                  <c:v>79.254821134704201</c:v>
                </c:pt>
                <c:pt idx="20">
                  <c:v>79.150969020115298</c:v>
                </c:pt>
                <c:pt idx="21">
                  <c:v>79.081293538697494</c:v>
                </c:pt>
                <c:pt idx="22">
                  <c:v>78.0332007221716</c:v>
                </c:pt>
                <c:pt idx="23">
                  <c:v>78.002843950214896</c:v>
                </c:pt>
                <c:pt idx="24">
                  <c:v>74.933723196881104</c:v>
                </c:pt>
              </c:numCache>
            </c:numRef>
          </c:val>
          <c:extLst>
            <c:ext xmlns:c16="http://schemas.microsoft.com/office/drawing/2014/chart" uri="{C3380CC4-5D6E-409C-BE32-E72D297353CC}">
              <c16:uniqueId val="{00000000-9D32-4999-9AF9-5A89FA4D0C65}"/>
            </c:ext>
          </c:extLst>
        </c:ser>
        <c:dLbls>
          <c:showLegendKey val="0"/>
          <c:showVal val="1"/>
          <c:showCatName val="0"/>
          <c:showSerName val="0"/>
          <c:showPercent val="0"/>
          <c:showBubbleSize val="0"/>
        </c:dLbls>
        <c:gapWidth val="41"/>
        <c:overlap val="-27"/>
        <c:axId val="809934159"/>
        <c:axId val="809928751"/>
      </c:barChart>
      <c:catAx>
        <c:axId val="80993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9928751"/>
        <c:crosses val="autoZero"/>
        <c:auto val="1"/>
        <c:lblAlgn val="ctr"/>
        <c:lblOffset val="100"/>
        <c:noMultiLvlLbl val="0"/>
      </c:catAx>
      <c:valAx>
        <c:axId val="809928751"/>
        <c:scaling>
          <c:orientation val="minMax"/>
          <c:min val="70"/>
        </c:scaling>
        <c:delete val="0"/>
        <c:axPos val="l"/>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99341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2021</c:v>
                </c:pt>
              </c:strCache>
            </c:strRef>
          </c:tx>
          <c:spPr>
            <a:ln w="28575" cap="rnd">
              <a:solidFill>
                <a:srgbClr val="C00000"/>
              </a:solidFill>
              <a:round/>
            </a:ln>
            <a:effectLst/>
          </c:spPr>
          <c:marker>
            <c:symbol val="triangle"/>
            <c:size val="5"/>
            <c:spPr>
              <a:solidFill>
                <a:srgbClr val="C00000"/>
              </a:solidFill>
              <a:ln w="9525">
                <a:solidFill>
                  <a:srgbClr val="C00000"/>
                </a:solidFill>
              </a:ln>
              <a:effectLst/>
            </c:spPr>
          </c:marker>
          <c:dLbls>
            <c:dLbl>
              <c:idx val="3"/>
              <c:layout>
                <c:manualLayout>
                  <c:x val="-2.8787213711156098E-2"/>
                  <c:y val="1.6860941352404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CF-48F4-9811-7AC912E78DE2}"/>
                </c:ext>
              </c:extLst>
            </c:dLbl>
            <c:dLbl>
              <c:idx val="5"/>
              <c:layout>
                <c:manualLayout>
                  <c:x val="-2.8787213711156001E-2"/>
                  <c:y val="-6.8642362184322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CF-48F4-9811-7AC912E78DE2}"/>
                </c:ext>
              </c:extLst>
            </c:dLbl>
            <c:dLbl>
              <c:idx val="6"/>
              <c:layout>
                <c:manualLayout>
                  <c:x val="-2.8787213711156001E-2"/>
                  <c:y val="-7.1233371382405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CF-48F4-9811-7AC912E78DE2}"/>
                </c:ext>
              </c:extLst>
            </c:dLbl>
            <c:dLbl>
              <c:idx val="8"/>
              <c:layout>
                <c:manualLayout>
                  <c:x val="-3.03166164793751E-2"/>
                  <c:y val="-5.3096306995826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CF-48F4-9811-7AC912E78DE2}"/>
                </c:ext>
              </c:extLst>
            </c:dLbl>
            <c:dLbl>
              <c:idx val="13"/>
              <c:layout>
                <c:manualLayout>
                  <c:x val="-2.8787213711156098E-2"/>
                  <c:y val="-5.56873161939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CF-48F4-9811-7AC912E78DE2}"/>
                </c:ext>
              </c:extLst>
            </c:dLbl>
            <c:dLbl>
              <c:idx val="20"/>
              <c:layout>
                <c:manualLayout>
                  <c:x val="-2.5728408174718002E-2"/>
                  <c:y val="-8.1597408174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CF-48F4-9811-7AC912E78DE2}"/>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C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消费自主选择权</c:v>
                </c:pt>
                <c:pt idx="1">
                  <c:v>消费知情权</c:v>
                </c:pt>
                <c:pt idx="2">
                  <c:v>物流便利</c:v>
                </c:pt>
                <c:pt idx="3">
                  <c:v>货品真实</c:v>
                </c:pt>
                <c:pt idx="4">
                  <c:v>明码标价</c:v>
                </c:pt>
                <c:pt idx="5">
                  <c:v>公共基础设施完善</c:v>
                </c:pt>
                <c:pt idx="6">
                  <c:v>替代产品丰富性</c:v>
                </c:pt>
                <c:pt idx="7">
                  <c:v>分布合理</c:v>
                </c:pt>
                <c:pt idx="8">
                  <c:v>商品或服务质量</c:v>
                </c:pt>
                <c:pt idx="9">
                  <c:v>舒适性</c:v>
                </c:pt>
                <c:pt idx="10">
                  <c:v>种类丰富性</c:v>
                </c:pt>
                <c:pt idx="11">
                  <c:v>安全性</c:v>
                </c:pt>
                <c:pt idx="12">
                  <c:v>商家信任度</c:v>
                </c:pt>
                <c:pt idx="13">
                  <c:v>售后保障</c:v>
                </c:pt>
                <c:pt idx="14">
                  <c:v>价格公道</c:v>
                </c:pt>
                <c:pt idx="15">
                  <c:v>服务水平</c:v>
                </c:pt>
                <c:pt idx="16">
                  <c:v>供给创新性</c:v>
                </c:pt>
                <c:pt idx="17">
                  <c:v>消费知识法制宣传</c:v>
                </c:pt>
                <c:pt idx="18">
                  <c:v>消费执法</c:v>
                </c:pt>
                <c:pt idx="19">
                  <c:v>维权渠道</c:v>
                </c:pt>
                <c:pt idx="20">
                  <c:v>信息真实</c:v>
                </c:pt>
                <c:pt idx="21">
                  <c:v>交易安全</c:v>
                </c:pt>
                <c:pt idx="22">
                  <c:v>维权结果</c:v>
                </c:pt>
                <c:pt idx="23">
                  <c:v>消费警示提示</c:v>
                </c:pt>
                <c:pt idx="24">
                  <c:v>维权效率</c:v>
                </c:pt>
              </c:strCache>
            </c:strRef>
          </c:cat>
          <c:val>
            <c:numRef>
              <c:f>Sheet1!$B$2:$B$26</c:f>
              <c:numCache>
                <c:formatCode>0.00</c:formatCode>
                <c:ptCount val="25"/>
                <c:pt idx="0">
                  <c:v>86.968420590784007</c:v>
                </c:pt>
                <c:pt idx="1">
                  <c:v>83.488917125511804</c:v>
                </c:pt>
                <c:pt idx="2">
                  <c:v>82.555971941962198</c:v>
                </c:pt>
                <c:pt idx="3">
                  <c:v>82.417847081029905</c:v>
                </c:pt>
                <c:pt idx="4">
                  <c:v>83.648351414252801</c:v>
                </c:pt>
                <c:pt idx="5">
                  <c:v>84.684209685408007</c:v>
                </c:pt>
                <c:pt idx="6">
                  <c:v>83.520746457045107</c:v>
                </c:pt>
                <c:pt idx="7">
                  <c:v>80.172844248127504</c:v>
                </c:pt>
                <c:pt idx="8">
                  <c:v>79.999358748276606</c:v>
                </c:pt>
                <c:pt idx="9">
                  <c:v>82.079918196488194</c:v>
                </c:pt>
                <c:pt idx="10">
                  <c:v>82.289220150505699</c:v>
                </c:pt>
                <c:pt idx="11">
                  <c:v>80.868795752554107</c:v>
                </c:pt>
                <c:pt idx="12">
                  <c:v>80.543874225091102</c:v>
                </c:pt>
                <c:pt idx="13">
                  <c:v>79.254821134704201</c:v>
                </c:pt>
                <c:pt idx="14">
                  <c:v>80.394318490469601</c:v>
                </c:pt>
                <c:pt idx="15">
                  <c:v>78.002843950214896</c:v>
                </c:pt>
                <c:pt idx="16">
                  <c:v>79.933215101695197</c:v>
                </c:pt>
                <c:pt idx="17">
                  <c:v>80.264902778443499</c:v>
                </c:pt>
                <c:pt idx="18">
                  <c:v>78.0332007221716</c:v>
                </c:pt>
                <c:pt idx="19">
                  <c:v>82.824256469679398</c:v>
                </c:pt>
                <c:pt idx="20">
                  <c:v>74.933723196881104</c:v>
                </c:pt>
                <c:pt idx="21">
                  <c:v>79.081293538697494</c:v>
                </c:pt>
                <c:pt idx="22">
                  <c:v>83.023165724025702</c:v>
                </c:pt>
                <c:pt idx="23">
                  <c:v>79.150969020115298</c:v>
                </c:pt>
                <c:pt idx="24">
                  <c:v>82.967382040753094</c:v>
                </c:pt>
              </c:numCache>
            </c:numRef>
          </c:val>
          <c:smooth val="1"/>
          <c:extLst>
            <c:ext xmlns:c16="http://schemas.microsoft.com/office/drawing/2014/chart" uri="{C3380CC4-5D6E-409C-BE32-E72D297353CC}">
              <c16:uniqueId val="{00000006-08CF-48F4-9811-7AC912E78DE2}"/>
            </c:ext>
          </c:extLst>
        </c:ser>
        <c:ser>
          <c:idx val="1"/>
          <c:order val="1"/>
          <c:tx>
            <c:strRef>
              <c:f>Sheet1!$C$1</c:f>
              <c:strCache>
                <c:ptCount val="1"/>
                <c:pt idx="0">
                  <c:v>2020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3"/>
              <c:layout>
                <c:manualLayout>
                  <c:x val="-3.03166164793751E-2"/>
                  <c:y val="-4.0141261005413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CF-48F4-9811-7AC912E78DE2}"/>
                </c:ext>
              </c:extLst>
            </c:dLbl>
            <c:dLbl>
              <c:idx val="4"/>
              <c:layout>
                <c:manualLayout>
                  <c:x val="-2.8787213711156001E-2"/>
                  <c:y val="2.2042959748570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CF-48F4-9811-7AC912E78DE2}"/>
                </c:ext>
              </c:extLst>
            </c:dLbl>
            <c:dLbl>
              <c:idx val="5"/>
              <c:layout>
                <c:manualLayout>
                  <c:x val="-3.0316616479374999E-2"/>
                  <c:y val="-2.7186215015000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CF-48F4-9811-7AC912E78DE2}"/>
                </c:ext>
              </c:extLst>
            </c:dLbl>
            <c:dLbl>
              <c:idx val="6"/>
              <c:layout>
                <c:manualLayout>
                  <c:x val="-2.8787213711156001E-2"/>
                  <c:y val="-4.5323279401578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CF-48F4-9811-7AC912E78DE2}"/>
                </c:ext>
              </c:extLst>
            </c:dLbl>
            <c:dLbl>
              <c:idx val="7"/>
              <c:layout>
                <c:manualLayout>
                  <c:x val="-2.8787213711156001E-2"/>
                  <c:y val="-7.3824380580488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CF-48F4-9811-7AC912E78DE2}"/>
                </c:ext>
              </c:extLst>
            </c:dLbl>
            <c:dLbl>
              <c:idx val="8"/>
              <c:layout>
                <c:manualLayout>
                  <c:x val="-3.1846019247594101E-2"/>
                  <c:y val="-7.3824380580488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CF-48F4-9811-7AC912E78DE2}"/>
                </c:ext>
              </c:extLst>
            </c:dLbl>
            <c:dLbl>
              <c:idx val="9"/>
              <c:layout>
                <c:manualLayout>
                  <c:x val="-3.0316616479374999E-2"/>
                  <c:y val="-1.682217822266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CF-48F4-9811-7AC912E78DE2}"/>
                </c:ext>
              </c:extLst>
            </c:dLbl>
            <c:dLbl>
              <c:idx val="10"/>
              <c:layout>
                <c:manualLayout>
                  <c:x val="-2.8787213711156001E-2"/>
                  <c:y val="-2.2004196618835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8CF-48F4-9811-7AC912E78DE2}"/>
                </c:ext>
              </c:extLst>
            </c:dLbl>
            <c:dLbl>
              <c:idx val="14"/>
              <c:layout>
                <c:manualLayout>
                  <c:x val="-3.0316616479374999E-2"/>
                  <c:y val="-1.4231169024586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CF-48F4-9811-7AC912E78DE2}"/>
                </c:ext>
              </c:extLst>
            </c:dLbl>
            <c:dLbl>
              <c:idx val="15"/>
              <c:layout>
                <c:manualLayout>
                  <c:x val="-2.5728408174718002E-2"/>
                  <c:y val="-6.8642362184322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CF-48F4-9811-7AC912E78DE2}"/>
                </c:ext>
              </c:extLst>
            </c:dLbl>
            <c:dLbl>
              <c:idx val="20"/>
              <c:layout>
                <c:manualLayout>
                  <c:x val="-2.2669602638279999E-2"/>
                  <c:y val="-3.7550251807330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8CF-48F4-9811-7AC912E78DE2}"/>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6"/>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消费自主选择权</c:v>
                </c:pt>
                <c:pt idx="1">
                  <c:v>消费知情权</c:v>
                </c:pt>
                <c:pt idx="2">
                  <c:v>物流便利</c:v>
                </c:pt>
                <c:pt idx="3">
                  <c:v>货品真实</c:v>
                </c:pt>
                <c:pt idx="4">
                  <c:v>明码标价</c:v>
                </c:pt>
                <c:pt idx="5">
                  <c:v>公共基础设施完善</c:v>
                </c:pt>
                <c:pt idx="6">
                  <c:v>替代产品丰富性</c:v>
                </c:pt>
                <c:pt idx="7">
                  <c:v>分布合理</c:v>
                </c:pt>
                <c:pt idx="8">
                  <c:v>商品或服务质量</c:v>
                </c:pt>
                <c:pt idx="9">
                  <c:v>舒适性</c:v>
                </c:pt>
                <c:pt idx="10">
                  <c:v>种类丰富性</c:v>
                </c:pt>
                <c:pt idx="11">
                  <c:v>安全性</c:v>
                </c:pt>
                <c:pt idx="12">
                  <c:v>商家信任度</c:v>
                </c:pt>
                <c:pt idx="13">
                  <c:v>售后保障</c:v>
                </c:pt>
                <c:pt idx="14">
                  <c:v>价格公道</c:v>
                </c:pt>
                <c:pt idx="15">
                  <c:v>服务水平</c:v>
                </c:pt>
                <c:pt idx="16">
                  <c:v>供给创新性</c:v>
                </c:pt>
                <c:pt idx="17">
                  <c:v>消费知识法制宣传</c:v>
                </c:pt>
                <c:pt idx="18">
                  <c:v>消费执法</c:v>
                </c:pt>
                <c:pt idx="19">
                  <c:v>维权渠道</c:v>
                </c:pt>
                <c:pt idx="20">
                  <c:v>信息真实</c:v>
                </c:pt>
                <c:pt idx="21">
                  <c:v>交易安全</c:v>
                </c:pt>
                <c:pt idx="22">
                  <c:v>维权结果</c:v>
                </c:pt>
                <c:pt idx="23">
                  <c:v>消费警示提示</c:v>
                </c:pt>
                <c:pt idx="24">
                  <c:v>维权效率</c:v>
                </c:pt>
              </c:strCache>
            </c:strRef>
          </c:cat>
          <c:val>
            <c:numRef>
              <c:f>Sheet1!$C$2:$C$26</c:f>
              <c:numCache>
                <c:formatCode>0.00</c:formatCode>
                <c:ptCount val="25"/>
                <c:pt idx="0">
                  <c:v>92.05</c:v>
                </c:pt>
                <c:pt idx="1">
                  <c:v>88.780267314191306</c:v>
                </c:pt>
                <c:pt idx="2">
                  <c:v>87.2579965344448</c:v>
                </c:pt>
                <c:pt idx="3">
                  <c:v>86.501748342988293</c:v>
                </c:pt>
                <c:pt idx="4">
                  <c:v>84.220343133423995</c:v>
                </c:pt>
                <c:pt idx="5">
                  <c:v>84.190037216400199</c:v>
                </c:pt>
                <c:pt idx="6">
                  <c:v>83.287513247303806</c:v>
                </c:pt>
                <c:pt idx="7">
                  <c:v>82.323203989403197</c:v>
                </c:pt>
                <c:pt idx="8">
                  <c:v>80.3732111121504</c:v>
                </c:pt>
                <c:pt idx="9">
                  <c:v>80.08</c:v>
                </c:pt>
                <c:pt idx="10">
                  <c:v>79.952199101135307</c:v>
                </c:pt>
                <c:pt idx="11">
                  <c:v>79.811538581546998</c:v>
                </c:pt>
                <c:pt idx="12">
                  <c:v>79.48</c:v>
                </c:pt>
                <c:pt idx="13">
                  <c:v>78.77</c:v>
                </c:pt>
                <c:pt idx="14">
                  <c:v>78.570288414891806</c:v>
                </c:pt>
                <c:pt idx="15">
                  <c:v>78.08</c:v>
                </c:pt>
                <c:pt idx="16">
                  <c:v>76.489999999999995</c:v>
                </c:pt>
                <c:pt idx="17">
                  <c:v>76.092923358759407</c:v>
                </c:pt>
                <c:pt idx="18">
                  <c:v>75.7</c:v>
                </c:pt>
                <c:pt idx="19">
                  <c:v>75.073235685752394</c:v>
                </c:pt>
                <c:pt idx="20">
                  <c:v>74.540000000000006</c:v>
                </c:pt>
                <c:pt idx="21">
                  <c:v>74.03</c:v>
                </c:pt>
                <c:pt idx="22">
                  <c:v>73.695216907675203</c:v>
                </c:pt>
                <c:pt idx="23">
                  <c:v>73.157485191596194</c:v>
                </c:pt>
                <c:pt idx="24">
                  <c:v>71.168888888888802</c:v>
                </c:pt>
              </c:numCache>
            </c:numRef>
          </c:val>
          <c:smooth val="1"/>
          <c:extLst>
            <c:ext xmlns:c16="http://schemas.microsoft.com/office/drawing/2014/chart" uri="{C3380CC4-5D6E-409C-BE32-E72D297353CC}">
              <c16:uniqueId val="{00000012-08CF-48F4-9811-7AC912E78DE2}"/>
            </c:ext>
          </c:extLst>
        </c:ser>
        <c:ser>
          <c:idx val="2"/>
          <c:order val="2"/>
          <c:tx>
            <c:strRef>
              <c:f>Sheet1!$D$1</c:f>
              <c:strCache>
                <c:ptCount val="1"/>
                <c:pt idx="0">
                  <c:v>2019</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4.2551838625127097E-2"/>
                  <c:y val="-1.682217822266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8CF-48F4-9811-7AC912E78DE2}"/>
                </c:ext>
              </c:extLst>
            </c:dLbl>
            <c:dLbl>
              <c:idx val="3"/>
              <c:layout>
                <c:manualLayout>
                  <c:x val="-1.6551991565403899E-2"/>
                  <c:y val="-2.9777224213083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8CF-48F4-9811-7AC912E78DE2}"/>
                </c:ext>
              </c:extLst>
            </c:dLbl>
            <c:dLbl>
              <c:idx val="4"/>
              <c:layout>
                <c:manualLayout>
                  <c:x val="-2.2669602638279999E-2"/>
                  <c:y val="2.463396894665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8CF-48F4-9811-7AC912E78DE2}"/>
                </c:ext>
              </c:extLst>
            </c:dLbl>
            <c:dLbl>
              <c:idx val="5"/>
              <c:layout>
                <c:manualLayout>
                  <c:x val="-2.8787213711156001E-2"/>
                  <c:y val="-5.0505297797744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8CF-48F4-9811-7AC912E78DE2}"/>
                </c:ext>
              </c:extLst>
            </c:dLbl>
            <c:dLbl>
              <c:idx val="6"/>
              <c:layout>
                <c:manualLayout>
                  <c:x val="-2.7257810942937E-2"/>
                  <c:y val="-4.0141261005413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8CF-48F4-9811-7AC912E78DE2}"/>
                </c:ext>
              </c:extLst>
            </c:dLbl>
            <c:dLbl>
              <c:idx val="7"/>
              <c:layout>
                <c:manualLayout>
                  <c:x val="-3.03166164793751E-2"/>
                  <c:y val="-6.6051352986240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8CF-48F4-9811-7AC912E78DE2}"/>
                </c:ext>
              </c:extLst>
            </c:dLbl>
            <c:dLbl>
              <c:idx val="8"/>
              <c:layout>
                <c:manualLayout>
                  <c:x val="-3.03166164793751E-2"/>
                  <c:y val="-3.2368233411165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8CF-48F4-9811-7AC912E78DE2}"/>
                </c:ext>
              </c:extLst>
            </c:dLbl>
            <c:dLbl>
              <c:idx val="9"/>
              <c:layout>
                <c:manualLayout>
                  <c:x val="-2.8787213711156001E-2"/>
                  <c:y val="-1.682217822266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8CF-48F4-9811-7AC912E78DE2}"/>
                </c:ext>
              </c:extLst>
            </c:dLbl>
            <c:dLbl>
              <c:idx val="11"/>
              <c:layout>
                <c:manualLayout>
                  <c:x val="-2.5728408174718002E-2"/>
                  <c:y val="4.2771033333231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8CF-48F4-9811-7AC912E78DE2}"/>
                </c:ext>
              </c:extLst>
            </c:dLbl>
            <c:dLbl>
              <c:idx val="14"/>
              <c:layout>
                <c:manualLayout>
                  <c:x val="-2.7257810942937E-2"/>
                  <c:y val="-1.42311690245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8CF-48F4-9811-7AC912E78DE2}"/>
                </c:ext>
              </c:extLst>
            </c:dLbl>
            <c:dLbl>
              <c:idx val="19"/>
              <c:layout>
                <c:manualLayout>
                  <c:x val="-3.3375422015813103E-2"/>
                  <c:y val="-6.34603437881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8CF-48F4-9811-7AC912E78DE2}"/>
                </c:ext>
              </c:extLst>
            </c:dLbl>
            <c:dLbl>
              <c:idx val="20"/>
              <c:layout>
                <c:manualLayout>
                  <c:x val="-2.5728408174718002E-2"/>
                  <c:y val="-5.56873161939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8CF-48F4-9811-7AC912E78DE2}"/>
                </c:ext>
              </c:extLst>
            </c:dLbl>
            <c:dLbl>
              <c:idx val="24"/>
              <c:layout>
                <c:manualLayout>
                  <c:x val="-2.26696026382802E-2"/>
                  <c:y val="9.087913758156830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8CF-48F4-9811-7AC912E78DE2}"/>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5"/>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消费自主选择权</c:v>
                </c:pt>
                <c:pt idx="1">
                  <c:v>消费知情权</c:v>
                </c:pt>
                <c:pt idx="2">
                  <c:v>物流便利</c:v>
                </c:pt>
                <c:pt idx="3">
                  <c:v>货品真实</c:v>
                </c:pt>
                <c:pt idx="4">
                  <c:v>明码标价</c:v>
                </c:pt>
                <c:pt idx="5">
                  <c:v>公共基础设施完善</c:v>
                </c:pt>
                <c:pt idx="6">
                  <c:v>替代产品丰富性</c:v>
                </c:pt>
                <c:pt idx="7">
                  <c:v>分布合理</c:v>
                </c:pt>
                <c:pt idx="8">
                  <c:v>商品或服务质量</c:v>
                </c:pt>
                <c:pt idx="9">
                  <c:v>舒适性</c:v>
                </c:pt>
                <c:pt idx="10">
                  <c:v>种类丰富性</c:v>
                </c:pt>
                <c:pt idx="11">
                  <c:v>安全性</c:v>
                </c:pt>
                <c:pt idx="12">
                  <c:v>商家信任度</c:v>
                </c:pt>
                <c:pt idx="13">
                  <c:v>售后保障</c:v>
                </c:pt>
                <c:pt idx="14">
                  <c:v>价格公道</c:v>
                </c:pt>
                <c:pt idx="15">
                  <c:v>服务水平</c:v>
                </c:pt>
                <c:pt idx="16">
                  <c:v>供给创新性</c:v>
                </c:pt>
                <c:pt idx="17">
                  <c:v>消费知识法制宣传</c:v>
                </c:pt>
                <c:pt idx="18">
                  <c:v>消费执法</c:v>
                </c:pt>
                <c:pt idx="19">
                  <c:v>维权渠道</c:v>
                </c:pt>
                <c:pt idx="20">
                  <c:v>信息真实</c:v>
                </c:pt>
                <c:pt idx="21">
                  <c:v>交易安全</c:v>
                </c:pt>
                <c:pt idx="22">
                  <c:v>维权结果</c:v>
                </c:pt>
                <c:pt idx="23">
                  <c:v>消费警示提示</c:v>
                </c:pt>
                <c:pt idx="24">
                  <c:v>维权效率</c:v>
                </c:pt>
              </c:strCache>
            </c:strRef>
          </c:cat>
          <c:val>
            <c:numRef>
              <c:f>Sheet1!$D$2:$D$26</c:f>
              <c:numCache>
                <c:formatCode>0.00</c:formatCode>
                <c:ptCount val="25"/>
                <c:pt idx="0">
                  <c:v>91.4666218403231</c:v>
                </c:pt>
                <c:pt idx="1">
                  <c:v>86.967459503734403</c:v>
                </c:pt>
                <c:pt idx="2">
                  <c:v>88.710900883931799</c:v>
                </c:pt>
                <c:pt idx="3">
                  <c:v>85.959827423492399</c:v>
                </c:pt>
                <c:pt idx="4">
                  <c:v>81.887537698992901</c:v>
                </c:pt>
                <c:pt idx="5">
                  <c:v>84.353930803402605</c:v>
                </c:pt>
                <c:pt idx="6">
                  <c:v>82.461062771206102</c:v>
                </c:pt>
                <c:pt idx="7">
                  <c:v>80.568194739009598</c:v>
                </c:pt>
                <c:pt idx="8">
                  <c:v>79.792914424218694</c:v>
                </c:pt>
                <c:pt idx="9">
                  <c:v>77.673633305818001</c:v>
                </c:pt>
                <c:pt idx="10">
                  <c:v>74.980319442429703</c:v>
                </c:pt>
                <c:pt idx="11">
                  <c:v>76.750540070299706</c:v>
                </c:pt>
                <c:pt idx="12">
                  <c:v>78.848874500095505</c:v>
                </c:pt>
                <c:pt idx="13">
                  <c:v>77.854936343250998</c:v>
                </c:pt>
                <c:pt idx="14">
                  <c:v>76.399510917045106</c:v>
                </c:pt>
                <c:pt idx="15">
                  <c:v>77.078515425587199</c:v>
                </c:pt>
                <c:pt idx="16">
                  <c:v>74.249077865176105</c:v>
                </c:pt>
                <c:pt idx="17">
                  <c:v>73.7860368581416</c:v>
                </c:pt>
                <c:pt idx="18">
                  <c:v>73.701038670588005</c:v>
                </c:pt>
                <c:pt idx="19">
                  <c:v>70.051161224473304</c:v>
                </c:pt>
                <c:pt idx="20">
                  <c:v>74.751360323351904</c:v>
                </c:pt>
                <c:pt idx="21">
                  <c:v>69.311332784183506</c:v>
                </c:pt>
                <c:pt idx="22">
                  <c:v>66.100347911952596</c:v>
                </c:pt>
                <c:pt idx="23">
                  <c:v>68.760493628491403</c:v>
                </c:pt>
                <c:pt idx="24">
                  <c:v>64.836135539411501</c:v>
                </c:pt>
              </c:numCache>
            </c:numRef>
          </c:val>
          <c:smooth val="1"/>
          <c:extLst>
            <c:ext xmlns:c16="http://schemas.microsoft.com/office/drawing/2014/chart" uri="{C3380CC4-5D6E-409C-BE32-E72D297353CC}">
              <c16:uniqueId val="{00000020-08CF-48F4-9811-7AC912E78DE2}"/>
            </c:ext>
          </c:extLst>
        </c:ser>
        <c:ser>
          <c:idx val="3"/>
          <c:order val="3"/>
          <c:tx>
            <c:strRef>
              <c:f>Sheet1!$E$1</c:f>
              <c:strCache>
                <c:ptCount val="1"/>
                <c:pt idx="0">
                  <c:v>2018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2551838625127097E-2"/>
                  <c:y val="-1.16401598265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8CF-48F4-9811-7AC912E78DE2}"/>
                </c:ext>
              </c:extLst>
            </c:dLbl>
            <c:dLbl>
              <c:idx val="1"/>
              <c:layout>
                <c:manualLayout>
                  <c:x val="-2.8787213711156001E-2"/>
                  <c:y val="1.9451950550487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8CF-48F4-9811-7AC912E78DE2}"/>
                </c:ext>
              </c:extLst>
            </c:dLbl>
            <c:dLbl>
              <c:idx val="2"/>
              <c:layout>
                <c:manualLayout>
                  <c:x val="-3.1846019247594101E-2"/>
                  <c:y val="1.6860941352404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8CF-48F4-9811-7AC912E78DE2}"/>
                </c:ext>
              </c:extLst>
            </c:dLbl>
            <c:dLbl>
              <c:idx val="4"/>
              <c:layout>
                <c:manualLayout>
                  <c:x val="-2.5728408174718002E-2"/>
                  <c:y val="2.2042959748570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8CF-48F4-9811-7AC912E78DE2}"/>
                </c:ext>
              </c:extLst>
            </c:dLbl>
            <c:dLbl>
              <c:idx val="5"/>
              <c:layout>
                <c:manualLayout>
                  <c:x val="-2.8787213711156001E-2"/>
                  <c:y val="-1.16401598265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8CF-48F4-9811-7AC912E78DE2}"/>
                </c:ext>
              </c:extLst>
            </c:dLbl>
            <c:dLbl>
              <c:idx val="8"/>
              <c:layout>
                <c:manualLayout>
                  <c:x val="-2.72578109429371E-2"/>
                  <c:y val="1.4269932154322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8CF-48F4-9811-7AC912E78DE2}"/>
                </c:ext>
              </c:extLst>
            </c:dLbl>
            <c:dLbl>
              <c:idx val="9"/>
              <c:layout>
                <c:manualLayout>
                  <c:x val="-2.7257810942937E-2"/>
                  <c:y val="2.46339689466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8CF-48F4-9811-7AC912E78DE2}"/>
                </c:ext>
              </c:extLst>
            </c:dLbl>
            <c:dLbl>
              <c:idx val="12"/>
              <c:layout>
                <c:manualLayout>
                  <c:x val="-2.8787213711156098E-2"/>
                  <c:y val="-9.049150628421740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08CF-48F4-9811-7AC912E78DE2}"/>
                </c:ext>
              </c:extLst>
            </c:dLbl>
            <c:dLbl>
              <c:idx val="14"/>
              <c:layout>
                <c:manualLayout>
                  <c:x val="-2.8787213711156001E-2"/>
                  <c:y val="-9.04915062842178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8CF-48F4-9811-7AC912E78DE2}"/>
                </c:ext>
              </c:extLst>
            </c:dLbl>
            <c:dLbl>
              <c:idx val="15"/>
              <c:layout>
                <c:manualLayout>
                  <c:x val="-2.8787213711156001E-2"/>
                  <c:y val="-2.4595205816917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08CF-48F4-9811-7AC912E78DE2}"/>
                </c:ext>
              </c:extLst>
            </c:dLbl>
            <c:dLbl>
              <c:idx val="16"/>
              <c:layout>
                <c:manualLayout>
                  <c:x val="-3.0316616479374999E-2"/>
                  <c:y val="2.463396894665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08CF-48F4-9811-7AC912E78DE2}"/>
                </c:ext>
              </c:extLst>
            </c:dLbl>
            <c:dLbl>
              <c:idx val="19"/>
              <c:layout>
                <c:manualLayout>
                  <c:x val="-2.4199005406499E-2"/>
                  <c:y val="4.2771033333231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08CF-48F4-9811-7AC912E78DE2}"/>
                </c:ext>
              </c:extLst>
            </c:dLbl>
            <c:dLbl>
              <c:idx val="20"/>
              <c:layout>
                <c:manualLayout>
                  <c:x val="-2.8787213711156001E-2"/>
                  <c:y val="-1.16401598265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08CF-48F4-9811-7AC912E78DE2}"/>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2"/>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消费自主选择权</c:v>
                </c:pt>
                <c:pt idx="1">
                  <c:v>消费知情权</c:v>
                </c:pt>
                <c:pt idx="2">
                  <c:v>物流便利</c:v>
                </c:pt>
                <c:pt idx="3">
                  <c:v>货品真实</c:v>
                </c:pt>
                <c:pt idx="4">
                  <c:v>明码标价</c:v>
                </c:pt>
                <c:pt idx="5">
                  <c:v>公共基础设施完善</c:v>
                </c:pt>
                <c:pt idx="6">
                  <c:v>替代产品丰富性</c:v>
                </c:pt>
                <c:pt idx="7">
                  <c:v>分布合理</c:v>
                </c:pt>
                <c:pt idx="8">
                  <c:v>商品或服务质量</c:v>
                </c:pt>
                <c:pt idx="9">
                  <c:v>舒适性</c:v>
                </c:pt>
                <c:pt idx="10">
                  <c:v>种类丰富性</c:v>
                </c:pt>
                <c:pt idx="11">
                  <c:v>安全性</c:v>
                </c:pt>
                <c:pt idx="12">
                  <c:v>商家信任度</c:v>
                </c:pt>
                <c:pt idx="13">
                  <c:v>售后保障</c:v>
                </c:pt>
                <c:pt idx="14">
                  <c:v>价格公道</c:v>
                </c:pt>
                <c:pt idx="15">
                  <c:v>服务水平</c:v>
                </c:pt>
                <c:pt idx="16">
                  <c:v>供给创新性</c:v>
                </c:pt>
                <c:pt idx="17">
                  <c:v>消费知识法制宣传</c:v>
                </c:pt>
                <c:pt idx="18">
                  <c:v>消费执法</c:v>
                </c:pt>
                <c:pt idx="19">
                  <c:v>维权渠道</c:v>
                </c:pt>
                <c:pt idx="20">
                  <c:v>信息真实</c:v>
                </c:pt>
                <c:pt idx="21">
                  <c:v>交易安全</c:v>
                </c:pt>
                <c:pt idx="22">
                  <c:v>维权结果</c:v>
                </c:pt>
                <c:pt idx="23">
                  <c:v>消费警示提示</c:v>
                </c:pt>
                <c:pt idx="24">
                  <c:v>维权效率</c:v>
                </c:pt>
              </c:strCache>
            </c:strRef>
          </c:cat>
          <c:val>
            <c:numRef>
              <c:f>Sheet1!$E$2:$E$26</c:f>
              <c:numCache>
                <c:formatCode>0.00</c:formatCode>
                <c:ptCount val="25"/>
                <c:pt idx="0">
                  <c:v>90.128871332276404</c:v>
                </c:pt>
                <c:pt idx="1">
                  <c:v>82.779494313706394</c:v>
                </c:pt>
                <c:pt idx="2">
                  <c:v>87.095354127041801</c:v>
                </c:pt>
                <c:pt idx="3">
                  <c:v>84.330685175092</c:v>
                </c:pt>
                <c:pt idx="4">
                  <c:v>79.036541364796307</c:v>
                </c:pt>
                <c:pt idx="5">
                  <c:v>81.614844694833394</c:v>
                </c:pt>
                <c:pt idx="6">
                  <c:v>79.842436385692693</c:v>
                </c:pt>
                <c:pt idx="7">
                  <c:v>78.070028076551907</c:v>
                </c:pt>
                <c:pt idx="8">
                  <c:v>77.513739113111001</c:v>
                </c:pt>
                <c:pt idx="9">
                  <c:v>74.735317768807903</c:v>
                </c:pt>
                <c:pt idx="10">
                  <c:v>71.7615940528799</c:v>
                </c:pt>
                <c:pt idx="11">
                  <c:v>71.285126075464703</c:v>
                </c:pt>
                <c:pt idx="12">
                  <c:v>76.795517301495394</c:v>
                </c:pt>
                <c:pt idx="13">
                  <c:v>75.606975849835806</c:v>
                </c:pt>
                <c:pt idx="14">
                  <c:v>74.861197767984706</c:v>
                </c:pt>
                <c:pt idx="15">
                  <c:v>74.246172359412597</c:v>
                </c:pt>
                <c:pt idx="16">
                  <c:v>71.500662300787198</c:v>
                </c:pt>
                <c:pt idx="17">
                  <c:v>69.864757482016003</c:v>
                </c:pt>
                <c:pt idx="18">
                  <c:v>68.128917264301194</c:v>
                </c:pt>
                <c:pt idx="19">
                  <c:v>68.419560582771496</c:v>
                </c:pt>
                <c:pt idx="20">
                  <c:v>71.758304906645805</c:v>
                </c:pt>
                <c:pt idx="21">
                  <c:v>63.621990888933297</c:v>
                </c:pt>
                <c:pt idx="22">
                  <c:v>62.218509291033598</c:v>
                </c:pt>
                <c:pt idx="23">
                  <c:v>63.6810970480241</c:v>
                </c:pt>
                <c:pt idx="24">
                  <c:v>60.689925667609202</c:v>
                </c:pt>
              </c:numCache>
            </c:numRef>
          </c:val>
          <c:smooth val="1"/>
          <c:extLst>
            <c:ext xmlns:c16="http://schemas.microsoft.com/office/drawing/2014/chart" uri="{C3380CC4-5D6E-409C-BE32-E72D297353CC}">
              <c16:uniqueId val="{0000002E-08CF-48F4-9811-7AC912E78DE2}"/>
            </c:ext>
          </c:extLst>
        </c:ser>
        <c:ser>
          <c:idx val="4"/>
          <c:order val="4"/>
          <c:tx>
            <c:strRef>
              <c:f>Sheet1!$F$1</c:f>
              <c:strCache>
                <c:ptCount val="1"/>
                <c:pt idx="0">
                  <c:v>2017</c:v>
                </c:pt>
              </c:strCache>
            </c:strRef>
          </c:tx>
          <c:spPr>
            <a:ln w="28575" cap="rnd">
              <a:solidFill>
                <a:schemeClr val="bg2">
                  <a:lumMod val="75000"/>
                </a:schemeClr>
              </a:solidFill>
              <a:round/>
            </a:ln>
            <a:effectLst/>
          </c:spPr>
          <c:marker>
            <c:symbol val="circle"/>
            <c:size val="5"/>
            <c:spPr>
              <a:solidFill>
                <a:schemeClr val="bg2">
                  <a:lumMod val="75000"/>
                </a:schemeClr>
              </a:solidFill>
              <a:ln w="9525">
                <a:solidFill>
                  <a:schemeClr val="bg2">
                    <a:lumMod val="75000"/>
                  </a:schemeClr>
                </a:solidFill>
              </a:ln>
              <a:effectLst/>
            </c:spPr>
          </c:marker>
          <c:dLbls>
            <c:dLbl>
              <c:idx val="2"/>
              <c:layout>
                <c:manualLayout>
                  <c:x val="-2.5728408174718002E-2"/>
                  <c:y val="3.7589014937065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08CF-48F4-9811-7AC912E78DE2}"/>
                </c:ext>
              </c:extLst>
            </c:dLbl>
            <c:dLbl>
              <c:idx val="5"/>
              <c:layout>
                <c:manualLayout>
                  <c:x val="-1.8081394333623001E-2"/>
                  <c:y val="2.2042959748570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08CF-48F4-9811-7AC912E78DE2}"/>
                </c:ext>
              </c:extLst>
            </c:dLbl>
            <c:dLbl>
              <c:idx val="7"/>
              <c:layout>
                <c:manualLayout>
                  <c:x val="-2.8787213711156001E-2"/>
                  <c:y val="2.46339689466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08CF-48F4-9811-7AC912E78DE2}"/>
                </c:ext>
              </c:extLst>
            </c:dLbl>
            <c:dLbl>
              <c:idx val="8"/>
              <c:layout>
                <c:manualLayout>
                  <c:x val="-2.5728408174718002E-2"/>
                  <c:y val="2.463396894665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08CF-48F4-9811-7AC912E78DE2}"/>
                </c:ext>
              </c:extLst>
            </c:dLbl>
            <c:dLbl>
              <c:idx val="9"/>
              <c:layout>
                <c:manualLayout>
                  <c:x val="-3.1846019247594101E-2"/>
                  <c:y val="-1.4231169024586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08CF-48F4-9811-7AC912E78DE2}"/>
                </c:ext>
              </c:extLst>
            </c:dLbl>
            <c:dLbl>
              <c:idx val="10"/>
              <c:layout>
                <c:manualLayout>
                  <c:x val="-2.8787213711156001E-2"/>
                  <c:y val="2.2042959748570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08CF-48F4-9811-7AC912E78DE2}"/>
                </c:ext>
              </c:extLst>
            </c:dLbl>
            <c:dLbl>
              <c:idx val="11"/>
              <c:layout>
                <c:manualLayout>
                  <c:x val="-2.8787213711156001E-2"/>
                  <c:y val="-1.682217822266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08CF-48F4-9811-7AC912E78DE2}"/>
                </c:ext>
              </c:extLst>
            </c:dLbl>
            <c:dLbl>
              <c:idx val="12"/>
              <c:layout>
                <c:manualLayout>
                  <c:x val="-2.72578109429371E-2"/>
                  <c:y val="2.7224978144735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08CF-48F4-9811-7AC912E78DE2}"/>
                </c:ext>
              </c:extLst>
            </c:dLbl>
            <c:dLbl>
              <c:idx val="13"/>
              <c:layout>
                <c:manualLayout>
                  <c:x val="-2.5728408174718099E-2"/>
                  <c:y val="1.9451950550487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08CF-48F4-9811-7AC912E78DE2}"/>
                </c:ext>
              </c:extLst>
            </c:dLbl>
            <c:dLbl>
              <c:idx val="14"/>
              <c:layout>
                <c:manualLayout>
                  <c:x val="-2.4199005406499E-2"/>
                  <c:y val="2.2042959748570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08CF-48F4-9811-7AC912E78DE2}"/>
                </c:ext>
              </c:extLst>
            </c:dLbl>
            <c:dLbl>
              <c:idx val="15"/>
              <c:layout>
                <c:manualLayout>
                  <c:x val="-2.7257810942937E-2"/>
                  <c:y val="1.6860941352404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08CF-48F4-9811-7AC912E78DE2}"/>
                </c:ext>
              </c:extLst>
            </c:dLbl>
            <c:dLbl>
              <c:idx val="17"/>
              <c:layout>
                <c:manualLayout>
                  <c:x val="-3.4904824784032097E-2"/>
                  <c:y val="2.2042959748570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08CF-48F4-9811-7AC912E78DE2}"/>
                </c:ext>
              </c:extLst>
            </c:dLbl>
            <c:dLbl>
              <c:idx val="18"/>
              <c:layout>
                <c:manualLayout>
                  <c:x val="-2.8787213711156001E-2"/>
                  <c:y val="2.2042959748569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08CF-48F4-9811-7AC912E78DE2}"/>
                </c:ext>
              </c:extLst>
            </c:dLbl>
            <c:dLbl>
              <c:idx val="19"/>
              <c:layout>
                <c:manualLayout>
                  <c:x val="-3.03166164793752E-2"/>
                  <c:y val="-2.9777224213083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08CF-48F4-9811-7AC912E78DE2}"/>
                </c:ext>
              </c:extLst>
            </c:dLbl>
            <c:dLbl>
              <c:idx val="20"/>
              <c:layout>
                <c:manualLayout>
                  <c:x val="-2.5728408174718002E-2"/>
                  <c:y val="3.4998005738983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08CF-48F4-9811-7AC912E78DE2}"/>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2">
                        <a:lumMod val="7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消费自主选择权</c:v>
                </c:pt>
                <c:pt idx="1">
                  <c:v>消费知情权</c:v>
                </c:pt>
                <c:pt idx="2">
                  <c:v>物流便利</c:v>
                </c:pt>
                <c:pt idx="3">
                  <c:v>货品真实</c:v>
                </c:pt>
                <c:pt idx="4">
                  <c:v>明码标价</c:v>
                </c:pt>
                <c:pt idx="5">
                  <c:v>公共基础设施完善</c:v>
                </c:pt>
                <c:pt idx="6">
                  <c:v>替代产品丰富性</c:v>
                </c:pt>
                <c:pt idx="7">
                  <c:v>分布合理</c:v>
                </c:pt>
                <c:pt idx="8">
                  <c:v>商品或服务质量</c:v>
                </c:pt>
                <c:pt idx="9">
                  <c:v>舒适性</c:v>
                </c:pt>
                <c:pt idx="10">
                  <c:v>种类丰富性</c:v>
                </c:pt>
                <c:pt idx="11">
                  <c:v>安全性</c:v>
                </c:pt>
                <c:pt idx="12">
                  <c:v>商家信任度</c:v>
                </c:pt>
                <c:pt idx="13">
                  <c:v>售后保障</c:v>
                </c:pt>
                <c:pt idx="14">
                  <c:v>价格公道</c:v>
                </c:pt>
                <c:pt idx="15">
                  <c:v>服务水平</c:v>
                </c:pt>
                <c:pt idx="16">
                  <c:v>供给创新性</c:v>
                </c:pt>
                <c:pt idx="17">
                  <c:v>消费知识法制宣传</c:v>
                </c:pt>
                <c:pt idx="18">
                  <c:v>消费执法</c:v>
                </c:pt>
                <c:pt idx="19">
                  <c:v>维权渠道</c:v>
                </c:pt>
                <c:pt idx="20">
                  <c:v>信息真实</c:v>
                </c:pt>
                <c:pt idx="21">
                  <c:v>交易安全</c:v>
                </c:pt>
                <c:pt idx="22">
                  <c:v>维权结果</c:v>
                </c:pt>
                <c:pt idx="23">
                  <c:v>消费警示提示</c:v>
                </c:pt>
                <c:pt idx="24">
                  <c:v>维权效率</c:v>
                </c:pt>
              </c:strCache>
            </c:strRef>
          </c:cat>
          <c:val>
            <c:numRef>
              <c:f>Sheet1!$F$2:$F$26</c:f>
              <c:numCache>
                <c:formatCode>0.00</c:formatCode>
                <c:ptCount val="25"/>
                <c:pt idx="0">
                  <c:v>80.113059363409704</c:v>
                </c:pt>
                <c:pt idx="1">
                  <c:v>64.679020376473204</c:v>
                </c:pt>
                <c:pt idx="2">
                  <c:v>82.679169066574502</c:v>
                </c:pt>
                <c:pt idx="3">
                  <c:v>76.159341008524507</c:v>
                </c:pt>
                <c:pt idx="4">
                  <c:v>70.209216291643699</c:v>
                </c:pt>
                <c:pt idx="5">
                  <c:v>79.833460884997606</c:v>
                </c:pt>
                <c:pt idx="6">
                  <c:v>78.826113623694596</c:v>
                </c:pt>
                <c:pt idx="7">
                  <c:v>77.8187663623916</c:v>
                </c:pt>
                <c:pt idx="8">
                  <c:v>75.529486836106102</c:v>
                </c:pt>
                <c:pt idx="9">
                  <c:v>76.335238442885398</c:v>
                </c:pt>
                <c:pt idx="10">
                  <c:v>71.069919095524298</c:v>
                </c:pt>
                <c:pt idx="11">
                  <c:v>77.9258212297634</c:v>
                </c:pt>
                <c:pt idx="12">
                  <c:v>74.002502235570802</c:v>
                </c:pt>
                <c:pt idx="13">
                  <c:v>73.142984351706104</c:v>
                </c:pt>
                <c:pt idx="14">
                  <c:v>73.328546123671799</c:v>
                </c:pt>
                <c:pt idx="15">
                  <c:v>73.044705145616902</c:v>
                </c:pt>
                <c:pt idx="16">
                  <c:v>72.760864167562005</c:v>
                </c:pt>
                <c:pt idx="17">
                  <c:v>68.751031218393393</c:v>
                </c:pt>
                <c:pt idx="18">
                  <c:v>65.664942082154397</c:v>
                </c:pt>
                <c:pt idx="19">
                  <c:v>69.911250763693403</c:v>
                </c:pt>
                <c:pt idx="20">
                  <c:v>66.323071455879997</c:v>
                </c:pt>
                <c:pt idx="21">
                  <c:v>66.670491406877304</c:v>
                </c:pt>
                <c:pt idx="22">
                  <c:v>67.017911357874596</c:v>
                </c:pt>
                <c:pt idx="23">
                  <c:v>66.521209037879203</c:v>
                </c:pt>
                <c:pt idx="24">
                  <c:v>66.467267272554906</c:v>
                </c:pt>
              </c:numCache>
            </c:numRef>
          </c:val>
          <c:smooth val="1"/>
          <c:extLst>
            <c:ext xmlns:c16="http://schemas.microsoft.com/office/drawing/2014/chart" uri="{C3380CC4-5D6E-409C-BE32-E72D297353CC}">
              <c16:uniqueId val="{0000003E-08CF-48F4-9811-7AC912E78DE2}"/>
            </c:ext>
          </c:extLst>
        </c:ser>
        <c:dLbls>
          <c:showLegendKey val="0"/>
          <c:showVal val="1"/>
          <c:showCatName val="0"/>
          <c:showSerName val="0"/>
          <c:showPercent val="0"/>
          <c:showBubbleSize val="0"/>
        </c:dLbls>
        <c:marker val="1"/>
        <c:smooth val="0"/>
        <c:axId val="809975759"/>
        <c:axId val="809952879"/>
      </c:lineChart>
      <c:catAx>
        <c:axId val="809975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9952879"/>
        <c:crosses val="autoZero"/>
        <c:auto val="1"/>
        <c:lblAlgn val="ctr"/>
        <c:lblOffset val="100"/>
        <c:noMultiLvlLbl val="0"/>
      </c:catAx>
      <c:valAx>
        <c:axId val="809952879"/>
        <c:scaling>
          <c:orientation val="minMax"/>
          <c:min val="55"/>
        </c:scaling>
        <c:delete val="0"/>
        <c:axPos val="l"/>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9975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Pt>
            <c:idx val="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89DD-435F-A907-ED93130C99B3}"/>
              </c:ext>
            </c:extLst>
          </c:dPt>
          <c:dPt>
            <c:idx val="6"/>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89DD-435F-A907-ED93130C99B3}"/>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89DD-435F-A907-ED93130C99B3}"/>
              </c:ext>
            </c:extLst>
          </c:dPt>
          <c:dPt>
            <c:idx val="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89DD-435F-A907-ED93130C99B3}"/>
              </c:ext>
            </c:extLst>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投资、理财、贷款类</c:v>
                </c:pt>
                <c:pt idx="1">
                  <c:v>教育培训机构</c:v>
                </c:pt>
                <c:pt idx="2">
                  <c:v>电信诈骗类</c:v>
                </c:pt>
                <c:pt idx="3">
                  <c:v>寿险、车险、医疗险类</c:v>
                </c:pt>
                <c:pt idx="4">
                  <c:v>房产中介</c:v>
                </c:pt>
                <c:pt idx="5">
                  <c:v>装修公司</c:v>
                </c:pt>
                <c:pt idx="6">
                  <c:v>美容医疗类</c:v>
                </c:pt>
                <c:pt idx="7">
                  <c:v>赌博彩票类</c:v>
                </c:pt>
                <c:pt idx="8">
                  <c:v>健身机构</c:v>
                </c:pt>
              </c:strCache>
            </c:strRef>
          </c:cat>
          <c:val>
            <c:numRef>
              <c:f>Sheet1!$B$2:$B$10</c:f>
              <c:numCache>
                <c:formatCode>0.0_);[Red]\(0.0\)</c:formatCode>
                <c:ptCount val="9"/>
                <c:pt idx="0">
                  <c:v>56.107322857989899</c:v>
                </c:pt>
                <c:pt idx="1">
                  <c:v>43.744441150311303</c:v>
                </c:pt>
                <c:pt idx="2">
                  <c:v>43.292321375630003</c:v>
                </c:pt>
                <c:pt idx="3">
                  <c:v>41.809961458642199</c:v>
                </c:pt>
                <c:pt idx="4">
                  <c:v>37.651941891491298</c:v>
                </c:pt>
                <c:pt idx="5">
                  <c:v>17.432552623777099</c:v>
                </c:pt>
                <c:pt idx="6">
                  <c:v>14.4752445893863</c:v>
                </c:pt>
                <c:pt idx="7">
                  <c:v>12.6148828935666</c:v>
                </c:pt>
                <c:pt idx="8">
                  <c:v>11.769937740883501</c:v>
                </c:pt>
              </c:numCache>
            </c:numRef>
          </c:val>
          <c:extLst>
            <c:ext xmlns:c16="http://schemas.microsoft.com/office/drawing/2014/chart" uri="{C3380CC4-5D6E-409C-BE32-E72D297353CC}">
              <c16:uniqueId val="{00000008-89DD-435F-A907-ED93130C99B3}"/>
            </c:ext>
          </c:extLst>
        </c:ser>
        <c:dLbls>
          <c:showLegendKey val="0"/>
          <c:showVal val="1"/>
          <c:showCatName val="0"/>
          <c:showSerName val="0"/>
          <c:showPercent val="0"/>
          <c:showBubbleSize val="0"/>
        </c:dLbls>
        <c:gapWidth val="41"/>
        <c:overlap val="-27"/>
        <c:axId val="809927087"/>
        <c:axId val="809927503"/>
      </c:barChart>
      <c:catAx>
        <c:axId val="80992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9927503"/>
        <c:crosses val="autoZero"/>
        <c:auto val="1"/>
        <c:lblAlgn val="ctr"/>
        <c:lblOffset val="100"/>
        <c:noMultiLvlLbl val="0"/>
      </c:catAx>
      <c:valAx>
        <c:axId val="809927503"/>
        <c:scaling>
          <c:orientation val="minMax"/>
        </c:scaling>
        <c:delete val="0"/>
        <c:axPos val="l"/>
        <c:numFmt formatCode="0.0_);[Red]\(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99270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Pt>
            <c:idx val="1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7613-4E1A-9010-F6C7CD363CEE}"/>
              </c:ext>
            </c:extLst>
          </c:dPt>
          <c:dPt>
            <c:idx val="1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7613-4E1A-9010-F6C7CD363CEE}"/>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7613-4E1A-9010-F6C7CD363CEE}"/>
              </c:ext>
            </c:extLst>
          </c:dPt>
          <c:dPt>
            <c:idx val="1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7613-4E1A-9010-F6C7CD363CEE}"/>
              </c:ext>
            </c:extLst>
          </c:dPt>
          <c:dPt>
            <c:idx val="1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7613-4E1A-9010-F6C7CD363CEE}"/>
              </c:ext>
            </c:extLst>
          </c:dPt>
          <c:dPt>
            <c:idx val="16"/>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B-7613-4E1A-9010-F6C7CD363CEE}"/>
              </c:ext>
            </c:extLst>
          </c:dPt>
          <c:dPt>
            <c:idx val="1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D-7613-4E1A-9010-F6C7CD363CEE}"/>
              </c:ext>
            </c:extLst>
          </c:dPt>
          <c:dPt>
            <c:idx val="1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F-7613-4E1A-9010-F6C7CD363CEE}"/>
              </c:ext>
            </c:extLst>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食品类</c:v>
                </c:pt>
                <c:pt idx="1">
                  <c:v>智能产品类</c:v>
                </c:pt>
                <c:pt idx="2">
                  <c:v>家用电器类</c:v>
                </c:pt>
                <c:pt idx="3">
                  <c:v>日用百货商品</c:v>
                </c:pt>
                <c:pt idx="4">
                  <c:v>服装鞋帽类商品</c:v>
                </c:pt>
                <c:pt idx="5">
                  <c:v>儿童用品类</c:v>
                </c:pt>
                <c:pt idx="6">
                  <c:v>美容美发美妆类</c:v>
                </c:pt>
                <c:pt idx="7">
                  <c:v>餐饮消费类</c:v>
                </c:pt>
                <c:pt idx="8">
                  <c:v>保健品类</c:v>
                </c:pt>
                <c:pt idx="9">
                  <c:v>教育培训类</c:v>
                </c:pt>
                <c:pt idx="10">
                  <c:v>文体用品类</c:v>
                </c:pt>
                <c:pt idx="11">
                  <c:v>金融保险理财类</c:v>
                </c:pt>
                <c:pt idx="12">
                  <c:v>文体娱乐等服务消费类</c:v>
                </c:pt>
                <c:pt idx="13">
                  <c:v>旅游服务类</c:v>
                </c:pt>
                <c:pt idx="14">
                  <c:v>家居家装类</c:v>
                </c:pt>
                <c:pt idx="15">
                  <c:v>交通出行类</c:v>
                </c:pt>
                <c:pt idx="16">
                  <c:v>中介服务类</c:v>
                </c:pt>
                <c:pt idx="17">
                  <c:v>家政服务类</c:v>
                </c:pt>
                <c:pt idx="18">
                  <c:v>宠物及宠物用品类</c:v>
                </c:pt>
              </c:strCache>
            </c:strRef>
          </c:cat>
          <c:val>
            <c:numRef>
              <c:f>Sheet1!$B$2:$B$20</c:f>
              <c:numCache>
                <c:formatCode>0.0</c:formatCode>
                <c:ptCount val="19"/>
                <c:pt idx="0">
                  <c:v>41.540845835530199</c:v>
                </c:pt>
                <c:pt idx="1">
                  <c:v>38.602629855086398</c:v>
                </c:pt>
                <c:pt idx="2">
                  <c:v>36.816373484158603</c:v>
                </c:pt>
                <c:pt idx="3">
                  <c:v>30.753007717010998</c:v>
                </c:pt>
                <c:pt idx="4">
                  <c:v>30.697087347617</c:v>
                </c:pt>
                <c:pt idx="5">
                  <c:v>15.743980571665899</c:v>
                </c:pt>
                <c:pt idx="6">
                  <c:v>14.5968141366694</c:v>
                </c:pt>
                <c:pt idx="7">
                  <c:v>13.925769703941601</c:v>
                </c:pt>
                <c:pt idx="8">
                  <c:v>13.9018038313442</c:v>
                </c:pt>
                <c:pt idx="9">
                  <c:v>13.6925018773267</c:v>
                </c:pt>
                <c:pt idx="10">
                  <c:v>13.115723210148699</c:v>
                </c:pt>
                <c:pt idx="11">
                  <c:v>9.7413283484318303</c:v>
                </c:pt>
                <c:pt idx="12">
                  <c:v>8.1899375289587599</c:v>
                </c:pt>
                <c:pt idx="13">
                  <c:v>6.5378900445765202</c:v>
                </c:pt>
                <c:pt idx="14">
                  <c:v>6.2295291504897001</c:v>
                </c:pt>
                <c:pt idx="15">
                  <c:v>6.1128952371822498</c:v>
                </c:pt>
                <c:pt idx="16">
                  <c:v>5.78056847049801</c:v>
                </c:pt>
                <c:pt idx="17">
                  <c:v>5.734234450143</c:v>
                </c:pt>
                <c:pt idx="18">
                  <c:v>5.3459873140647698</c:v>
                </c:pt>
              </c:numCache>
            </c:numRef>
          </c:val>
          <c:extLst>
            <c:ext xmlns:c16="http://schemas.microsoft.com/office/drawing/2014/chart" uri="{C3380CC4-5D6E-409C-BE32-E72D297353CC}">
              <c16:uniqueId val="{00000010-7613-4E1A-9010-F6C7CD363CEE}"/>
            </c:ext>
          </c:extLst>
        </c:ser>
        <c:dLbls>
          <c:showLegendKey val="0"/>
          <c:showVal val="1"/>
          <c:showCatName val="0"/>
          <c:showSerName val="0"/>
          <c:showPercent val="0"/>
          <c:showBubbleSize val="0"/>
        </c:dLbls>
        <c:gapWidth val="41"/>
        <c:overlap val="-27"/>
        <c:axId val="741177167"/>
        <c:axId val="741185071"/>
      </c:barChart>
      <c:catAx>
        <c:axId val="741177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41185071"/>
        <c:crosses val="autoZero"/>
        <c:auto val="1"/>
        <c:lblAlgn val="ctr"/>
        <c:lblOffset val="100"/>
        <c:noMultiLvlLbl val="0"/>
      </c:catAx>
      <c:valAx>
        <c:axId val="741185071"/>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411771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Pt>
            <c:idx val="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E290-41C7-AD31-7E3A268B7DC2}"/>
              </c:ext>
            </c:extLst>
          </c:dPt>
          <c:dPt>
            <c:idx val="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E290-41C7-AD31-7E3A268B7DC2}"/>
              </c:ext>
            </c:extLst>
          </c:dPt>
          <c:dPt>
            <c:idx val="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E290-41C7-AD31-7E3A268B7DC2}"/>
              </c:ext>
            </c:extLst>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向经营者投诉</c:v>
                </c:pt>
                <c:pt idx="1">
                  <c:v>向消协等消费者权益保护组织投诉</c:v>
                </c:pt>
                <c:pt idx="2">
                  <c:v>向有关行政部门投诉</c:v>
                </c:pt>
                <c:pt idx="3">
                  <c:v>向仲裁机构申请仲裁</c:v>
                </c:pt>
                <c:pt idx="4">
                  <c:v>向法院提起诉讼</c:v>
                </c:pt>
              </c:strCache>
            </c:strRef>
          </c:cat>
          <c:val>
            <c:numRef>
              <c:f>Sheet1!$B$2:$B$6</c:f>
              <c:numCache>
                <c:formatCode>0.0</c:formatCode>
                <c:ptCount val="5"/>
                <c:pt idx="0">
                  <c:v>58.419217357613299</c:v>
                </c:pt>
                <c:pt idx="1">
                  <c:v>56.148779542812903</c:v>
                </c:pt>
                <c:pt idx="2">
                  <c:v>27.307245253777602</c:v>
                </c:pt>
                <c:pt idx="3">
                  <c:v>8.8725300271212699</c:v>
                </c:pt>
                <c:pt idx="4">
                  <c:v>3.1770631538163498</c:v>
                </c:pt>
              </c:numCache>
            </c:numRef>
          </c:val>
          <c:extLst>
            <c:ext xmlns:c16="http://schemas.microsoft.com/office/drawing/2014/chart" uri="{C3380CC4-5D6E-409C-BE32-E72D297353CC}">
              <c16:uniqueId val="{00000006-E290-41C7-AD31-7E3A268B7DC2}"/>
            </c:ext>
          </c:extLst>
        </c:ser>
        <c:dLbls>
          <c:showLegendKey val="0"/>
          <c:showVal val="1"/>
          <c:showCatName val="0"/>
          <c:showSerName val="0"/>
          <c:showPercent val="0"/>
          <c:showBubbleSize val="0"/>
        </c:dLbls>
        <c:gapWidth val="41"/>
        <c:overlap val="-27"/>
        <c:axId val="919237967"/>
        <c:axId val="919242127"/>
      </c:barChart>
      <c:catAx>
        <c:axId val="91923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19242127"/>
        <c:crosses val="autoZero"/>
        <c:auto val="1"/>
        <c:lblAlgn val="ctr"/>
        <c:lblOffset val="100"/>
        <c:noMultiLvlLbl val="0"/>
      </c:catAx>
      <c:valAx>
        <c:axId val="919242127"/>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192379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0.4382</cdr:x>
      <cdr:y>0.92679</cdr:y>
    </cdr:from>
    <cdr:to>
      <cdr:x>0.49378</cdr:x>
      <cdr:y>1</cdr:y>
    </cdr:to>
    <cdr:sp macro="" textlink="">
      <cdr:nvSpPr>
        <cdr:cNvPr id="2" name="矩形 1"/>
        <cdr:cNvSpPr/>
      </cdr:nvSpPr>
      <cdr:spPr>
        <a:xfrm xmlns:a="http://schemas.openxmlformats.org/drawingml/2006/main">
          <a:off x="3664635" y="3948918"/>
          <a:ext cx="464820" cy="311932"/>
        </a:xfrm>
        <a:prstGeom xmlns:a="http://schemas.openxmlformats.org/drawingml/2006/main" prst="rect">
          <a:avLst/>
        </a:prstGeom>
        <a:noFill xmlns:a="http://schemas.openxmlformats.org/drawingml/2006/main"/>
        <a:ln xmlns:a="http://schemas.openxmlformats.org/drawingml/2006/main" w="6350">
          <a:noFill/>
        </a:l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p xmlns:a="http://schemas.openxmlformats.org/drawingml/2006/main">
          <a:pPr algn="ctr">
            <a:spcAft>
              <a:spcPts val="0"/>
            </a:spcAft>
          </a:pPr>
          <a:r>
            <a:rPr lang="en-US" sz="1500" b="1">
              <a:effectLst/>
              <a:latin typeface="黑体" panose="02010609060101010101" charset="-122"/>
              <a:ea typeface="宋体" panose="02010600030101010101" charset="-122"/>
              <a:cs typeface="黑体" panose="02010609060101010101" charset="-122"/>
            </a:rPr>
            <a:t>74</a:t>
          </a:r>
          <a:endParaRPr lang="zh-CN" sz="1200">
            <a:effectLst/>
            <a:latin typeface="宋体" panose="02010600030101010101" charset="-122"/>
            <a:ea typeface="宋体" panose="02010600030101010101" charset="-122"/>
            <a:cs typeface="宋体" panose="02010600030101010101" charset="-122"/>
          </a:endParaRPr>
        </a:p>
      </cdr:txBody>
    </cdr:sp>
  </cdr:relSizeAnchor>
  <cdr:relSizeAnchor xmlns:cdr="http://schemas.openxmlformats.org/drawingml/2006/chartDrawing">
    <cdr:from>
      <cdr:x>0.00657</cdr:x>
      <cdr:y>0.44218</cdr:y>
    </cdr:from>
    <cdr:to>
      <cdr:x>0.09464</cdr:x>
      <cdr:y>0.55961</cdr:y>
    </cdr:to>
    <cdr:sp macro="" textlink="">
      <cdr:nvSpPr>
        <cdr:cNvPr id="3" name="矩形 2"/>
        <cdr:cNvSpPr/>
      </cdr:nvSpPr>
      <cdr:spPr>
        <a:xfrm xmlns:a="http://schemas.openxmlformats.org/drawingml/2006/main">
          <a:off x="54903" y="1884045"/>
          <a:ext cx="736600" cy="500380"/>
        </a:xfrm>
        <a:prstGeom xmlns:a="http://schemas.openxmlformats.org/drawingml/2006/main" prst="rect">
          <a:avLst/>
        </a:prstGeom>
        <a:noFill xmlns:a="http://schemas.openxmlformats.org/drawingml/2006/main"/>
        <a:ln xmlns:a="http://schemas.openxmlformats.org/drawingml/2006/main" w="6350">
          <a:noFill/>
        </a:l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p xmlns:a="http://schemas.openxmlformats.org/drawingml/2006/main">
          <a:pPr algn="ctr">
            <a:spcAft>
              <a:spcPts val="0"/>
            </a:spcAft>
          </a:pPr>
          <a:r>
            <a:rPr lang="en-US" sz="1500" b="1">
              <a:effectLst/>
              <a:latin typeface="黑体" panose="02010609060101010101" charset="-122"/>
              <a:ea typeface="宋体" panose="02010600030101010101" charset="-122"/>
              <a:cs typeface="黑体" panose="02010609060101010101" charset="-122"/>
            </a:rPr>
            <a:t>0.00</a:t>
          </a:r>
          <a:endParaRPr lang="zh-CN" sz="1200">
            <a:effectLst/>
            <a:latin typeface="宋体" panose="02010600030101010101" charset="-122"/>
            <a:ea typeface="宋体" panose="02010600030101010101" charset="-122"/>
            <a:cs typeface="宋体" panose="02010600030101010101" charset="-122"/>
          </a:endParaRPr>
        </a:p>
      </cdr:txBody>
    </cdr:sp>
  </cdr:relSizeAnchor>
  <cdr:relSizeAnchor xmlns:cdr="http://schemas.openxmlformats.org/drawingml/2006/chartDrawing">
    <cdr:from>
      <cdr:x>0.91192</cdr:x>
      <cdr:y>0.44097</cdr:y>
    </cdr:from>
    <cdr:to>
      <cdr:x>1</cdr:x>
      <cdr:y>0.55841</cdr:y>
    </cdr:to>
    <cdr:sp macro="" textlink="">
      <cdr:nvSpPr>
        <cdr:cNvPr id="4" name="矩形 3"/>
        <cdr:cNvSpPr/>
      </cdr:nvSpPr>
      <cdr:spPr>
        <a:xfrm xmlns:a="http://schemas.openxmlformats.org/drawingml/2006/main">
          <a:off x="7626350" y="1878916"/>
          <a:ext cx="736600" cy="500380"/>
        </a:xfrm>
        <a:prstGeom xmlns:a="http://schemas.openxmlformats.org/drawingml/2006/main" prst="rect">
          <a:avLst/>
        </a:prstGeom>
        <a:noFill xmlns:a="http://schemas.openxmlformats.org/drawingml/2006/main"/>
        <a:ln xmlns:a="http://schemas.openxmlformats.org/drawingml/2006/main" w="6350">
          <a:noFill/>
        </a:l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p xmlns:a="http://schemas.openxmlformats.org/drawingml/2006/main">
          <a:pPr algn="ctr">
            <a:spcAft>
              <a:spcPts val="0"/>
            </a:spcAft>
          </a:pPr>
          <a:r>
            <a:rPr lang="en-US" sz="1500" b="1">
              <a:effectLst/>
              <a:latin typeface="黑体" panose="02010609060101010101" charset="-122"/>
              <a:ea typeface="宋体" panose="02010600030101010101" charset="-122"/>
              <a:cs typeface="黑体" panose="02010609060101010101" charset="-122"/>
            </a:rPr>
            <a:t>0.09</a:t>
          </a:r>
          <a:endParaRPr lang="zh-CN" sz="1200">
            <a:effectLst/>
            <a:latin typeface="宋体" panose="02010600030101010101" charset="-122"/>
            <a:ea typeface="宋体" panose="02010600030101010101" charset="-122"/>
            <a:cs typeface="宋体" panose="02010600030101010101" charset="-122"/>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0F4E86-DAE9-47E6-B1E7-36BA299B7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9712</Words>
  <Characters>55363</Characters>
  <Application>Microsoft Office Word</Application>
  <DocSecurity>0</DocSecurity>
  <Lines>461</Lines>
  <Paragraphs>129</Paragraphs>
  <ScaleCrop>false</ScaleCrop>
  <Company/>
  <LinksUpToDate>false</LinksUpToDate>
  <CharactersWithSpaces>64946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25</cp:revision>
  <cp:lastPrinted>2021-03-12T23:22:00Z</cp:lastPrinted>
  <dcterms:created xsi:type="dcterms:W3CDTF">2022-02-24T06:49:00Z</dcterms:created>
  <dcterms:modified xsi:type="dcterms:W3CDTF">2022-03-15T02:55:00Z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EB17536EA77B444C924D240E8D36AE19</vt:lpwstr>
  </property>
</Properties>
</file>